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85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1014730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1040130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SECURITIES AND EXCHANGE COMMISSION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60325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1"/>
          <w:szCs w:val="31"/>
          <w:b w:val="1"/>
          <w:bCs w:val="1"/>
          <w:color w:val="auto"/>
        </w:rPr>
        <w:t>SCHEDULE 14A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Proxy Statement Pursuant to Section 14(a) of the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Securities Exchange Act of 1934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74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(Amendment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64770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  <w:t>x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ab/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1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0" w:hanging="392"/>
        <w:spacing w:after="0"/>
        <w:tabs>
          <w:tab w:leader="none" w:pos="400" w:val="left"/>
        </w:tabs>
        <w:numPr>
          <w:ilvl w:val="0"/>
          <w:numId w:val="2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8"/>
          <w:szCs w:val="38"/>
          <w:b w:val="1"/>
          <w:bCs w:val="1"/>
          <w:color w:val="auto"/>
        </w:rPr>
        <w:t>Gossamer Bio, Inc.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4"/>
        </w:numPr>
        <w:rPr>
          <w:rFonts w:ascii="Wingdings" w:cs="Wingdings" w:eastAsia="Wingdings" w:hAnsi="Wingdings"/>
          <w:sz w:val="18"/>
          <w:szCs w:val="18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34"/>
        <w:spacing w:after="0"/>
        <w:tabs>
          <w:tab w:leader="none" w:pos="4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 with preliminary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221615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911860</wp:posOffset>
            </wp:positionV>
            <wp:extent cx="5349240" cy="72091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7209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1099820</wp:posOffset>
            </wp:positionH>
            <wp:positionV relativeFrom="page">
              <wp:posOffset>911860</wp:posOffset>
            </wp:positionV>
            <wp:extent cx="5349240" cy="23399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233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auto"/>
    <w:pitch w:val="variable"/>
    <w:sig w:usb0="00000000" w:usb1="0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2026-04-24T15:16:14Z</dcterms:created>
  <dcterms:modified xsi:type="dcterms:W3CDTF">2026-04-24T15:16:14Z</dcterms:modified>
</cp:coreProperties>
</file>