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ind w:left="46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SCHEDULE 14A</w:t>
      </w:r>
    </w:p>
    <w:p>
      <w:pPr>
        <w:spacing w:after="0" w:line="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 the</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6" w:lineRule="exact"/>
        <w:rPr>
          <w:sz w:val="24"/>
          <w:szCs w:val="24"/>
          <w:color w:val="auto"/>
        </w:rPr>
      </w:pPr>
    </w:p>
    <w:p>
      <w:pPr>
        <w:ind w:left="4740"/>
        <w:spacing w:after="0"/>
        <w:tabs>
          <w:tab w:leader="none" w:pos="6420" w:val="left"/>
        </w:tabs>
        <w:rPr>
          <w:sz w:val="20"/>
          <w:szCs w:val="20"/>
          <w:color w:val="auto"/>
        </w:rPr>
      </w:pPr>
      <w:r>
        <w:rPr>
          <w:rFonts w:ascii="Times New Roman" w:cs="Times New Roman" w:eastAsia="Times New Roman" w:hAnsi="Times New Roman"/>
          <w:sz w:val="20"/>
          <w:szCs w:val="20"/>
          <w:b w:val="1"/>
          <w:bCs w:val="1"/>
          <w:color w:val="auto"/>
        </w:rPr>
        <w:t>(Amendment No.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5" w:lineRule="exact"/>
        <w:rPr>
          <w:sz w:val="24"/>
          <w:szCs w:val="24"/>
          <w:color w:val="auto"/>
        </w:rPr>
      </w:pPr>
    </w:p>
    <w:p>
      <w:pPr>
        <w:spacing w:after="0" w:line="207" w:lineRule="exact"/>
        <w:tabs>
          <w:tab w:leader="none" w:pos="210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Filed by a Party other than the Registrant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17" w:lineRule="exact"/>
        <w:rPr>
          <w:sz w:val="24"/>
          <w:szCs w:val="24"/>
          <w:color w:val="auto"/>
        </w:rPr>
      </w:pPr>
    </w:p>
    <w:p>
      <w:pPr>
        <w:ind w:left="400" w:hanging="392"/>
        <w:spacing w:after="0"/>
        <w:tabs>
          <w:tab w:leader="none" w:pos="40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6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38"/>
          <w:szCs w:val="38"/>
          <w:b w:val="1"/>
          <w:bCs w:val="1"/>
          <w:color w:val="auto"/>
        </w:rPr>
        <w:t>Gossamer Bio, Inc.</w:t>
      </w:r>
    </w:p>
    <w:p>
      <w:pPr>
        <w:spacing w:after="0" w:line="4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62"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3"/>
          <w:szCs w:val="13"/>
          <w:b w:val="1"/>
          <w:bCs w:val="1"/>
          <w:color w:val="auto"/>
        </w:rPr>
        <w:t>(Name of Person(s) Filing Proxy Statement, if other than the Registrant)</w:t>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55" w:lineRule="exact"/>
        <w:rPr>
          <w:sz w:val="24"/>
          <w:szCs w:val="24"/>
          <w:color w:val="auto"/>
        </w:rPr>
      </w:pPr>
    </w:p>
    <w:p>
      <w:pPr>
        <w:ind w:left="460" w:hanging="434"/>
        <w:spacing w:after="0"/>
        <w:tabs>
          <w:tab w:leader="none" w:pos="46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27" w:lineRule="exact"/>
        <w:rPr>
          <w:sz w:val="24"/>
          <w:szCs w:val="24"/>
          <w:color w:val="auto"/>
        </w:rPr>
      </w:pPr>
    </w:p>
    <w:p>
      <w:pPr>
        <w:ind w:left="460" w:hanging="434"/>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7" w:lineRule="exact"/>
        <w:rPr>
          <w:rFonts w:ascii="MS PGothic" w:cs="MS PGothic" w:eastAsia="MS PGothic" w:hAnsi="MS PGothic"/>
          <w:sz w:val="18"/>
          <w:szCs w:val="18"/>
          <w:color w:val="auto"/>
        </w:rPr>
      </w:pPr>
    </w:p>
    <w:p>
      <w:pPr>
        <w:ind w:left="460" w:hanging="434"/>
        <w:spacing w:after="0"/>
        <w:tabs>
          <w:tab w:leader="none" w:pos="46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 with preliminary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822325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339"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911860</wp:posOffset>
            </wp:positionV>
            <wp:extent cx="2486025" cy="12001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48602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3115 Merryfield Row, Suite 120</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San Diego, CA 92121</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9,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48"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color w:val="auto"/>
        </w:rPr>
        <w:t>On behalf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Gossamer Bio, Inc., a Delaware corporation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Gossamer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you are cordially invited to attend a Special Meeting of Stockholders (the “</w:t>
      </w:r>
      <w:r>
        <w:rPr>
          <w:rFonts w:ascii="Times New Roman" w:cs="Times New Roman" w:eastAsia="Times New Roman" w:hAnsi="Times New Roman"/>
          <w:sz w:val="18"/>
          <w:szCs w:val="18"/>
          <w:b w:val="1"/>
          <w:bCs w:val="1"/>
          <w:i w:val="1"/>
          <w:iCs w:val="1"/>
          <w:color w:val="auto"/>
        </w:rPr>
        <w:t>Special Meeting</w:t>
      </w:r>
      <w:r>
        <w:rPr>
          <w:rFonts w:ascii="Times New Roman" w:cs="Times New Roman" w:eastAsia="Times New Roman" w:hAnsi="Times New Roman"/>
          <w:sz w:val="18"/>
          <w:szCs w:val="18"/>
          <w:color w:val="auto"/>
        </w:rPr>
        <w:t>”), to be held virtually, via live webcast, on Tuesday, July 14, 2026 at 9:00 a.m. Pacific Time, unless postponed or adjourned to a later date.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the Special Meeting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Special Meeting is being held to consider various proposals arising out of the Company’s offer to exchange (the “</w:t>
      </w:r>
      <w:r>
        <w:rPr>
          <w:rFonts w:ascii="Times New Roman" w:cs="Times New Roman" w:eastAsia="Times New Roman" w:hAnsi="Times New Roman"/>
          <w:sz w:val="18"/>
          <w:szCs w:val="18"/>
          <w:b w:val="1"/>
          <w:bCs w:val="1"/>
          <w:i w:val="1"/>
          <w:iCs w:val="1"/>
          <w:color w:val="auto"/>
        </w:rPr>
        <w:t>Exchange Offer</w:t>
      </w:r>
      <w:r>
        <w:rPr>
          <w:rFonts w:ascii="Times New Roman" w:cs="Times New Roman" w:eastAsia="Times New Roman" w:hAnsi="Times New Roman"/>
          <w:sz w:val="18"/>
          <w:szCs w:val="18"/>
          <w:color w:val="auto"/>
        </w:rPr>
        <w:t>”), its outstanding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million in aggregate principal amount of 5.00% Convertible Senior Notes due 2027 (the “</w:t>
      </w:r>
      <w:r>
        <w:rPr>
          <w:rFonts w:ascii="Times New Roman" w:cs="Times New Roman" w:eastAsia="Times New Roman" w:hAnsi="Times New Roman"/>
          <w:sz w:val="18"/>
          <w:szCs w:val="18"/>
          <w:b w:val="1"/>
          <w:bCs w:val="1"/>
          <w:i w:val="1"/>
          <w:iCs w:val="1"/>
          <w:color w:val="auto"/>
        </w:rPr>
        <w:t>Existing Convertible Notes</w:t>
      </w:r>
      <w:r>
        <w:rPr>
          <w:rFonts w:ascii="Times New Roman" w:cs="Times New Roman" w:eastAsia="Times New Roman" w:hAnsi="Times New Roman"/>
          <w:sz w:val="18"/>
          <w:szCs w:val="18"/>
          <w:color w:val="auto"/>
        </w:rPr>
        <w:t>”), for a combination of (i) 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$72.0 million in aggregate principal amount of newly issued 7.50% Convertible Senior Secured First Lien Notes due 2030, which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unconditionally guaranteed on a senior first-priority secured basis by each of the Company’s current and future wholly-owned domestic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certain customary exceptions (the “</w:t>
      </w:r>
      <w:r>
        <w:rPr>
          <w:rFonts w:ascii="Times New Roman" w:cs="Times New Roman" w:eastAsia="Times New Roman" w:hAnsi="Times New Roman"/>
          <w:sz w:val="18"/>
          <w:szCs w:val="18"/>
          <w:b w:val="1"/>
          <w:bCs w:val="1"/>
          <w:i w:val="1"/>
          <w:iCs w:val="1"/>
          <w:color w:val="auto"/>
        </w:rPr>
        <w:t>New Convertible Notes</w:t>
      </w:r>
      <w:r>
        <w:rPr>
          <w:rFonts w:ascii="Times New Roman" w:cs="Times New Roman" w:eastAsia="Times New Roman" w:hAnsi="Times New Roman"/>
          <w:sz w:val="18"/>
          <w:szCs w:val="18"/>
          <w:color w:val="auto"/>
        </w:rPr>
        <w:t>”), (ii) up to 317,647,058 shares (the “</w:t>
      </w:r>
      <w:r>
        <w:rPr>
          <w:rFonts w:ascii="Times New Roman" w:cs="Times New Roman" w:eastAsia="Times New Roman" w:hAnsi="Times New Roman"/>
          <w:sz w:val="18"/>
          <w:szCs w:val="18"/>
          <w:b w:val="1"/>
          <w:bCs w:val="1"/>
          <w:i w:val="1"/>
          <w:iCs w:val="1"/>
          <w:color w:val="auto"/>
        </w:rPr>
        <w:t>New Shares</w:t>
      </w:r>
      <w:r>
        <w:rPr>
          <w:rFonts w:ascii="Times New Roman" w:cs="Times New Roman" w:eastAsia="Times New Roman" w:hAnsi="Times New Roman"/>
          <w:sz w:val="18"/>
          <w:szCs w:val="18"/>
          <w:color w:val="auto"/>
        </w:rPr>
        <w:t>”), of the Company’s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or, in lieu of issuing shares of Common Stock to the extent such shares would cause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Holder (as defined in the accompanying proxy statement) to beneficially own greater than 9.99% of the outstanding Common Stock, prefunded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to purchase shares of Common Stock (the “</w:t>
      </w:r>
      <w:r>
        <w:rPr>
          <w:rFonts w:ascii="Times New Roman" w:cs="Times New Roman" w:eastAsia="Times New Roman" w:hAnsi="Times New Roman"/>
          <w:sz w:val="18"/>
          <w:szCs w:val="18"/>
          <w:b w:val="1"/>
          <w:bCs w:val="1"/>
          <w:i w:val="1"/>
          <w:iCs w:val="1"/>
          <w:color w:val="auto"/>
        </w:rPr>
        <w:t>Prefunded Warrants</w:t>
      </w:r>
      <w:r>
        <w:rPr>
          <w:rFonts w:ascii="Times New Roman" w:cs="Times New Roman" w:eastAsia="Times New Roman" w:hAnsi="Times New Roman"/>
          <w:sz w:val="18"/>
          <w:szCs w:val="18"/>
          <w:color w:val="auto"/>
        </w:rPr>
        <w:t>,” and, together with the New Shares, the “</w:t>
      </w:r>
      <w:r>
        <w:rPr>
          <w:rFonts w:ascii="Times New Roman" w:cs="Times New Roman" w:eastAsia="Times New Roman" w:hAnsi="Times New Roman"/>
          <w:sz w:val="18"/>
          <w:szCs w:val="18"/>
          <w:b w:val="1"/>
          <w:bCs w:val="1"/>
          <w:i w:val="1"/>
          <w:iCs w:val="1"/>
          <w:color w:val="auto"/>
        </w:rPr>
        <w:t>Equity Securities</w:t>
      </w:r>
      <w:r>
        <w:rPr>
          <w:rFonts w:ascii="Times New Roman" w:cs="Times New Roman" w:eastAsia="Times New Roman" w:hAnsi="Times New Roman"/>
          <w:sz w:val="18"/>
          <w:szCs w:val="18"/>
          <w:color w:val="auto"/>
        </w:rPr>
        <w:t>”), and (iii)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Eligible Holders who validly tendered (and did not validly withdraw at or prior to 5:00 p.m., New York City Time, on June 1, 2026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Withdrawal Deadline</w:t>
      </w:r>
      <w:r>
        <w:rPr>
          <w:rFonts w:ascii="Times New Roman" w:cs="Times New Roman" w:eastAsia="Times New Roman" w:hAnsi="Times New Roman"/>
          <w:sz w:val="17"/>
          <w:szCs w:val="17"/>
          <w:color w:val="auto"/>
        </w:rPr>
        <w:t>”)) their Existing Convertible Notes and validly delivered their related Consents (as defined in the accompanying proxy statement) 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prior to the extended early tender date of 5:00 p.m., New York City time, on June 2, 2026 (such time and date, the “</w:t>
      </w:r>
      <w:r>
        <w:rPr>
          <w:rFonts w:ascii="Times New Roman" w:cs="Times New Roman" w:eastAsia="Times New Roman" w:hAnsi="Times New Roman"/>
          <w:sz w:val="18"/>
          <w:szCs w:val="18"/>
          <w:b w:val="1"/>
          <w:bCs w:val="1"/>
          <w:i w:val="1"/>
          <w:iCs w:val="1"/>
          <w:color w:val="auto"/>
        </w:rPr>
        <w:t>Extended Early Tender Date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135,789,000 warrants to purchase shares of Common Stock (the “</w:t>
      </w:r>
      <w:r>
        <w:rPr>
          <w:rFonts w:ascii="Times New Roman" w:cs="Times New Roman" w:eastAsia="Times New Roman" w:hAnsi="Times New Roman"/>
          <w:sz w:val="18"/>
          <w:szCs w:val="18"/>
          <w:b w:val="1"/>
          <w:bCs w:val="1"/>
          <w:i w:val="1"/>
          <w:iCs w:val="1"/>
          <w:color w:val="auto"/>
        </w:rPr>
        <w:t>Purchase Warrants</w:t>
      </w:r>
      <w:r>
        <w:rPr>
          <w:rFonts w:ascii="Times New Roman" w:cs="Times New Roman" w:eastAsia="Times New Roman" w:hAnsi="Times New Roman"/>
          <w:sz w:val="18"/>
          <w:szCs w:val="18"/>
          <w:color w:val="auto"/>
        </w:rPr>
        <w:t>” and, together with the New Convertible Notes and the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the “</w:t>
      </w:r>
      <w:r>
        <w:rPr>
          <w:rFonts w:ascii="Times New Roman" w:cs="Times New Roman" w:eastAsia="Times New Roman" w:hAnsi="Times New Roman"/>
          <w:sz w:val="18"/>
          <w:szCs w:val="18"/>
          <w:b w:val="1"/>
          <w:bCs w:val="1"/>
          <w:i w:val="1"/>
          <w:iCs w:val="1"/>
          <w:color w:val="auto"/>
        </w:rPr>
        <w:t>Offered Securities</w:t>
      </w:r>
      <w:r>
        <w:rPr>
          <w:rFonts w:ascii="Times New Roman" w:cs="Times New Roman" w:eastAsia="Times New Roman" w:hAnsi="Times New Roman"/>
          <w:sz w:val="18"/>
          <w:szCs w:val="18"/>
          <w:color w:val="auto"/>
        </w:rPr>
        <w:t>”). The Exchange Offer is intended to address the future debt repayment obligations related to the Existing Convertible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in a timely and organized manner prior to their maturity, provide the Company with an enhanced capital structure and strengthen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sheet.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Exchange Offer, on May 18, 2026, the Company entered into a transaction support agreement with certain beneficial owners or</w:t>
      </w:r>
    </w:p>
    <w:p>
      <w:pPr>
        <w:spacing w:after="0" w:line="237" w:lineRule="auto"/>
        <w:rPr>
          <w:sz w:val="20"/>
          <w:szCs w:val="20"/>
          <w:color w:val="auto"/>
        </w:rPr>
      </w:pPr>
      <w:r>
        <w:rPr>
          <w:rFonts w:ascii="Times New Roman" w:cs="Times New Roman" w:eastAsia="Times New Roman" w:hAnsi="Times New Roman"/>
          <w:sz w:val="18"/>
          <w:szCs w:val="18"/>
          <w:color w:val="auto"/>
        </w:rPr>
        <w:t>nominees, investment managers or advisors for beneficial holders of the Existing Convertible Notes (the “</w:t>
      </w:r>
      <w:r>
        <w:rPr>
          <w:rFonts w:ascii="Times New Roman" w:cs="Times New Roman" w:eastAsia="Times New Roman" w:hAnsi="Times New Roman"/>
          <w:sz w:val="18"/>
          <w:szCs w:val="18"/>
          <w:b w:val="1"/>
          <w:bCs w:val="1"/>
          <w:i w:val="1"/>
          <w:iCs w:val="1"/>
          <w:color w:val="auto"/>
        </w:rPr>
        <w:t>Supporting Noteholders</w:t>
      </w:r>
      <w:r>
        <w:rPr>
          <w:rFonts w:ascii="Times New Roman" w:cs="Times New Roman" w:eastAsia="Times New Roman" w:hAnsi="Times New Roman"/>
          <w:sz w:val="18"/>
          <w:szCs w:val="18"/>
          <w:color w:val="auto"/>
        </w:rPr>
        <w:t>”), who held, as of the</w:t>
      </w:r>
    </w:p>
    <w:p>
      <w:pPr>
        <w:spacing w:after="0" w:line="234" w:lineRule="auto"/>
        <w:rPr>
          <w:sz w:val="20"/>
          <w:szCs w:val="20"/>
          <w:color w:val="auto"/>
        </w:rPr>
      </w:pPr>
      <w:r>
        <w:rPr>
          <w:rFonts w:ascii="Times New Roman" w:cs="Times New Roman" w:eastAsia="Times New Roman" w:hAnsi="Times New Roman"/>
          <w:sz w:val="18"/>
          <w:szCs w:val="18"/>
          <w:color w:val="auto"/>
        </w:rPr>
        <w:t>effective date of the Transaction Support Agreement, approximately 75.2% of the aggregate principal amount of the Existing Convertible Notes (the</w:t>
      </w:r>
    </w:p>
    <w:p>
      <w:pPr>
        <w:spacing w:after="0" w:line="23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Support Agreement</w:t>
      </w:r>
      <w:r>
        <w:rPr>
          <w:rFonts w:ascii="Times New Roman" w:cs="Times New Roman" w:eastAsia="Times New Roman" w:hAnsi="Times New Roman"/>
          <w:sz w:val="18"/>
          <w:szCs w:val="18"/>
          <w:color w:val="auto"/>
        </w:rPr>
        <w:t>”), pursuant to which the Supporting Noteholders individually agreed, among other things, to support the Exchange Offer</w:t>
      </w:r>
    </w:p>
    <w:p>
      <w:pPr>
        <w:spacing w:after="0" w:line="235" w:lineRule="auto"/>
        <w:rPr>
          <w:sz w:val="20"/>
          <w:szCs w:val="20"/>
          <w:color w:val="auto"/>
        </w:rPr>
      </w:pPr>
      <w:r>
        <w:rPr>
          <w:rFonts w:ascii="Times New Roman" w:cs="Times New Roman" w:eastAsia="Times New Roman" w:hAnsi="Times New Roman"/>
          <w:sz w:val="18"/>
          <w:szCs w:val="18"/>
          <w:color w:val="auto"/>
        </w:rPr>
        <w:t>and Consent Solicitation (as defined in the accompanying proxy statement), including by tendering all of their Existing Convertible Notes in the Exchange</w:t>
      </w:r>
    </w:p>
    <w:p>
      <w:pPr>
        <w:spacing w:after="0"/>
        <w:rPr>
          <w:sz w:val="20"/>
          <w:szCs w:val="20"/>
          <w:color w:val="auto"/>
        </w:rPr>
      </w:pPr>
      <w:r>
        <w:rPr>
          <w:rFonts w:ascii="Times New Roman" w:cs="Times New Roman" w:eastAsia="Times New Roman" w:hAnsi="Times New Roman"/>
          <w:sz w:val="18"/>
          <w:szCs w:val="18"/>
          <w:color w:val="auto"/>
        </w:rPr>
        <w:t>Offer prior to the Extended Early Tender Date.</w:t>
      </w:r>
    </w:p>
    <w:p>
      <w:pPr>
        <w:spacing w:after="0" w:line="21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Exchange Offer commenced on May 18, 2026 and is expected to expire on June 16, 2026, unless extended or earlier terminated subject to the terms of the Transaction Support Agreement and Exchange Offer, with final settlement, if any, expected to occur on June 18, 2026 (the date on which the final settlement occurs, the “</w:t>
      </w:r>
      <w:r>
        <w:rPr>
          <w:rFonts w:ascii="Times New Roman" w:cs="Times New Roman" w:eastAsia="Times New Roman" w:hAnsi="Times New Roman"/>
          <w:sz w:val="18"/>
          <w:szCs w:val="18"/>
          <w:b w:val="1"/>
          <w:bCs w:val="1"/>
          <w:i w:val="1"/>
          <w:iCs w:val="1"/>
          <w:color w:val="auto"/>
        </w:rPr>
        <w:t>Final Settlement Date</w:t>
      </w:r>
      <w:r>
        <w:rPr>
          <w:rFonts w:ascii="Times New Roman" w:cs="Times New Roman" w:eastAsia="Times New Roman" w:hAnsi="Times New Roman"/>
          <w:sz w:val="18"/>
          <w:szCs w:val="18"/>
          <w:color w:val="auto"/>
        </w:rPr>
        <w:t>”). The 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right="40"/>
        <w:spacing w:after="0"/>
        <w:rPr>
          <w:sz w:val="20"/>
          <w:szCs w:val="20"/>
          <w:color w:val="auto"/>
        </w:rPr>
      </w:pPr>
      <w:r>
        <w:rPr>
          <w:rFonts w:ascii="Times New Roman" w:cs="Times New Roman" w:eastAsia="Times New Roman" w:hAnsi="Times New Roman"/>
          <w:sz w:val="18"/>
          <w:szCs w:val="18"/>
          <w:color w:val="auto"/>
        </w:rPr>
        <w:t>Settlement Date is referred to herein as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provided, however, if there is no Final Settlement Date, the Early Settlement Date (as defined below) shall be deemed to be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for purposes hereof. The Company’s obligation to accept the Existing Convertible Notes for exchange from holders of the Existing Convertible Notes (the “</w:t>
      </w:r>
      <w:r>
        <w:rPr>
          <w:rFonts w:ascii="Times New Roman" w:cs="Times New Roman" w:eastAsia="Times New Roman" w:hAnsi="Times New Roman"/>
          <w:sz w:val="18"/>
          <w:szCs w:val="18"/>
          <w:b w:val="1"/>
          <w:bCs w:val="1"/>
          <w:i w:val="1"/>
          <w:iCs w:val="1"/>
          <w:color w:val="auto"/>
        </w:rPr>
        <w:t>Existing Noteholders</w:t>
      </w:r>
      <w:r>
        <w:rPr>
          <w:rFonts w:ascii="Times New Roman" w:cs="Times New Roman" w:eastAsia="Times New Roman" w:hAnsi="Times New Roman"/>
          <w:sz w:val="18"/>
          <w:szCs w:val="18"/>
          <w:color w:val="auto"/>
        </w:rPr>
        <w:t>”) was subject to the satisfaction of certain conditions, unless such conditions were waived in accordance with the terms of the Exchange Offer and the Transaction Support Agreement. Existing Noteholders have agreed to vote their New Shares by validly tendering and exchanging their Existing Notes in accordance with the Exchange Offer; Supporting Noteholders additionally entered into voting agreements where they agreed to vote their New Shares as further described below. The Exchange Offer itself is not subject to stockholder approval.</w:t>
      </w:r>
    </w:p>
    <w:p>
      <w:pPr>
        <w:spacing w:after="0" w:line="202"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As of the Extended Early Tender Date, $181,052,000 in aggregate principal amount of Existing Convertible Notes was validly tendered in the Exchange Offer and not validly withdrawn (such notes, the “</w:t>
      </w:r>
      <w:r>
        <w:rPr>
          <w:rFonts w:ascii="Times New Roman" w:cs="Times New Roman" w:eastAsia="Times New Roman" w:hAnsi="Times New Roman"/>
          <w:sz w:val="18"/>
          <w:szCs w:val="18"/>
          <w:b w:val="1"/>
          <w:bCs w:val="1"/>
          <w:i w:val="1"/>
          <w:iCs w:val="1"/>
          <w:color w:val="auto"/>
        </w:rPr>
        <w:t>Early Tendered Notes</w:t>
      </w:r>
      <w:r>
        <w:rPr>
          <w:rFonts w:ascii="Times New Roman" w:cs="Times New Roman" w:eastAsia="Times New Roman" w:hAnsi="Times New Roman"/>
          <w:sz w:val="18"/>
          <w:szCs w:val="18"/>
          <w:color w:val="auto"/>
        </w:rPr>
        <w:t>”), and related consents to the Proposed Amendments (as defined below) were validly delivered and not validly withdrawn as of such time. The Early Tendered Notes represented 90.526% of the aggregate outstanding principal amount of Existing Convertible Notes. The Company and the Supporting Noteholders representing a majority of the Existing Convertible Notes held by such Supporting Noteholders agreed to amend the condition to the Exchange Offer that a minimum of 98% of the aggregate principal amount of Existing Convertible Notes be validly tendered to a minimum of 90.5% of the aggregate principal amount of Existing Convertible Notes be validly tendered. As a result, on June 4, 2026 (the “</w:t>
      </w:r>
      <w:r>
        <w:rPr>
          <w:rFonts w:ascii="Times New Roman" w:cs="Times New Roman" w:eastAsia="Times New Roman" w:hAnsi="Times New Roman"/>
          <w:sz w:val="18"/>
          <w:szCs w:val="18"/>
          <w:b w:val="1"/>
          <w:bCs w:val="1"/>
          <w:i w:val="1"/>
          <w:iCs w:val="1"/>
          <w:color w:val="auto"/>
        </w:rPr>
        <w:t>Early Settlement Date</w:t>
      </w:r>
      <w:r>
        <w:rPr>
          <w:rFonts w:ascii="Times New Roman" w:cs="Times New Roman" w:eastAsia="Times New Roman" w:hAnsi="Times New Roman"/>
          <w:sz w:val="18"/>
          <w:szCs w:val="18"/>
          <w:color w:val="auto"/>
        </w:rPr>
        <w:t>”), the Company completed the early settlement of the Exchange Offer in which the Early Tendered Notes were accepted for exchange by the Company and subsequently cancelled. Following the cancellation of the Early Tendered Notes, $18,948,000 in aggregate principal amount of the Existing Convertible Notes remains outstanding. On the Early Settlement Date, the Company issued (i) $65,174,000 in aggregate principal amount of New Convertible Notes, (ii) 254,150,441 New Shares, (iii) 33,402,727 Prefunded Warrants and (iv) 135,789,000 Purchase Warrants, in exchange for the Early Tendered Notes. In accordance with the terms of the Transaction Support Agreement, the Transaction Support Agreement automatically terminated on the Early Settlement Date.</w:t>
      </w:r>
    </w:p>
    <w:p>
      <w:pPr>
        <w:spacing w:after="0" w:line="220"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color w:val="auto"/>
        </w:rPr>
        <w:t>For the remaining holders of Existing Convertible Notes that did not tender their Existing Convertible Notes prior to the Extended Early Tender Date, the Exchange Offer will expire at 5:00 p.m., New York City time, on June 16, 2026 (such time and date, as the same may be extended, the “</w:t>
      </w:r>
      <w:r>
        <w:rPr>
          <w:rFonts w:ascii="Times New Roman" w:cs="Times New Roman" w:eastAsia="Times New Roman" w:hAnsi="Times New Roman"/>
          <w:sz w:val="18"/>
          <w:szCs w:val="18"/>
          <w:b w:val="1"/>
          <w:bCs w:val="1"/>
          <w:i w:val="1"/>
          <w:iCs w:val="1"/>
          <w:color w:val="auto"/>
        </w:rPr>
        <w:t>Expiration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Deadline</w:t>
      </w:r>
      <w:r>
        <w:rPr>
          <w:rFonts w:ascii="Times New Roman" w:cs="Times New Roman" w:eastAsia="Times New Roman" w:hAnsi="Times New Roman"/>
          <w:sz w:val="18"/>
          <w:szCs w:val="18"/>
          <w:color w:val="auto"/>
        </w:rPr>
        <w:t>”), unless extended or earlier terminated. Since the Withdrawal Deadline already occurred and is not being extended, tenders of the Existing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Convertible Notes and related consents may no longer be withdrawn, except in limited circumstances where additional withdrawal rights are required by law. If all conditions to the Exchange Offer have been or are concurrently satisfied or waived at or prior to the Expiration Deadline, unless extended, the Company will accept for exchange any remaining Existing Convertible Notes that were validly tendered in the Exchange Offer following the Extended Early Tender Date and at or prior to the Expiration Deadline, with settlement to occur on the Final Settlement Date.</w:t>
      </w:r>
    </w:p>
    <w:p>
      <w:pPr>
        <w:spacing w:after="0" w:line="21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Offered Securities have not been, and will not be, registered under the Securities Act of 1933, as amended, or any other securities laws. The accompanying proxy statement shall not constitute an offer to sell, or the solicitation of an offer to buy, the Offered Securities, any shares underlying the Offered Securities, the Existing Convertible Notes or any other securities, nor will there be any sale of such securities or any other securities, in any state or other jurisdiction in which such offer, sale or solicitation would be unlawful.</w:t>
      </w:r>
    </w:p>
    <w:p>
      <w:pPr>
        <w:spacing w:after="0" w:line="2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early settlement of the Exchange Offer has resulted in substantial dilution to existing holders of Common Stock and may result in additional dilution to holders of Common Stock. Based on the number of shares of Common Stock outstanding as of March 31, 2026 and assuming (i) the Existing Noteholders validly tender and exchange 100% of the aggregate outstanding principal amount of the Existing Convertible Notes in the Exchange Offer (of which 90.526% was already tendered and exchanged on the Early Settlement Date) and (ii) all Prefunded Warrants that are issued have been exercised, immediately following the Closing Date, the Existing Noteholders would own in the aggregate 317,647,058 shares, or approximately 57.5%, of the issued and outstanding Common Stock, and would receive in the aggregate $72.0 million in principal amount of New Convertible Notes. Existing holders of Common Stock will be subject to further dilution in the event the New Convertible Notes convert into shares of Common Stock or the Purchase Warrants are exercised for shares of Common Stock. Based on the number of shares of Common Stock outstanding as of March 31, 2026 and assuming (i) the Existing Noteholders validly tender and exchange 100% of the aggregate outstanding principal amount of the Existing Convertible Notes in the Exchange Offer, (ii) all Prefunded Warrants that are issued have been exercised and (iii) the Existing Noteholders subsequently convert 100% of the New Convertible Notes into shares of Common Stock at the floor conversion price in the New Convertible Notes, immediately following the Closing Date and upon such conversion, the Existing Noteholders would own, in the aggregate 868,235,293 shares, or approximately 78.7%, of the issued and outstanding Common Stock, inclusive of the maximum number of make-whole shares issuable. The foregoing dilution is prior to giving effect to shares of Common Stock (i) available for issuance, or that may become available for issuance, under the Company’s equity plans; (ii) issuable under outstanding awards granted under the Company’s equity plans; and (iii) reserved for issuance under outstanding warrants, including the Purchase Warrants. Additional information concerning the Exchange Offer, the New Convertible Notes and dilution to existing holders of Common Stock is available under the sections of the accompanying proxy statement entitled “Background of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567690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4"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Exchange Offer,” “Background of the Special Meeting—Dilution” and “Proposal No. 1: Nasdaq 5635(d) Issuance of Additional Shares.”</w:t>
      </w:r>
    </w:p>
    <w:p>
      <w:pPr>
        <w:spacing w:after="0" w:line="248"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color w:val="auto"/>
        </w:rPr>
        <w:t>On May 15, 2026, the Board approved an amendment and restatement of the Gossamer Bio, Inc. 2019 Incentive Award Plan ( the “</w:t>
      </w:r>
      <w:r>
        <w:rPr>
          <w:rFonts w:ascii="Times New Roman" w:cs="Times New Roman" w:eastAsia="Times New Roman" w:hAnsi="Times New Roman"/>
          <w:sz w:val="18"/>
          <w:szCs w:val="18"/>
          <w:b w:val="1"/>
          <w:bCs w:val="1"/>
          <w:i w:val="1"/>
          <w:iCs w:val="1"/>
          <w:color w:val="auto"/>
        </w:rPr>
        <w:t>Restated Plan</w:t>
      </w:r>
      <w:r>
        <w:rPr>
          <w:rFonts w:ascii="Times New Roman" w:cs="Times New Roman" w:eastAsia="Times New Roman" w:hAnsi="Times New Roman"/>
          <w:sz w:val="18"/>
          <w:szCs w:val="18"/>
          <w:color w:val="auto"/>
        </w:rPr>
        <w:t>”), to increase the number of shares of Common Stock authorized for issuance thereunder. The Restated Plan was effective on May 18, 2026, subject to the occurrence of the Closing Date and stockholder approval at the Special Meeting.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Special Meeting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has called the Special Meeting to consider the following proposals, each of which is more fully described in the accompanying proxy statement:</w:t>
      </w:r>
    </w:p>
    <w:p>
      <w:pPr>
        <w:sectPr>
          <w:pgSz w:w="11900" w:h="16838" w:orient="portrait"/>
          <w:cols w:equalWidth="0" w:num="1">
            <w:col w:w="11200"/>
          </w:cols>
          <w:pgMar w:left="320" w:top="931" w:right="379" w:bottom="1440" w:gutter="0" w:footer="0" w:header="0"/>
        </w:sectPr>
      </w:pPr>
    </w:p>
    <w:p>
      <w:pPr>
        <w:spacing w:after="0" w:line="28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8"/>
          <w:szCs w:val="18"/>
          <w:b w:val="1"/>
          <w:bCs w:val="1"/>
          <w:color w:val="FFFFFF"/>
        </w:rPr>
        <w:t>PROPOSAL</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31849B"/>
        </w:rPr>
        <w:t>PROPOSAL NO. 1</w:t>
      </w:r>
    </w:p>
    <w:p>
      <w:pPr>
        <w:spacing w:after="0" w:line="50" w:lineRule="exact"/>
        <w:rPr>
          <w:sz w:val="20"/>
          <w:szCs w:val="20"/>
          <w:color w:val="auto"/>
        </w:rPr>
      </w:pPr>
    </w:p>
    <w:p>
      <w:pPr>
        <w:ind w:left="20"/>
        <w:spacing w:after="0" w:line="236" w:lineRule="auto"/>
        <w:rPr>
          <w:sz w:val="20"/>
          <w:szCs w:val="20"/>
          <w:color w:val="auto"/>
        </w:rPr>
      </w:pPr>
      <w:r>
        <w:rPr>
          <w:rFonts w:ascii="Times New Roman" w:cs="Times New Roman" w:eastAsia="Times New Roman" w:hAnsi="Times New Roman"/>
          <w:sz w:val="18"/>
          <w:szCs w:val="18"/>
          <w:color w:val="auto"/>
        </w:rPr>
        <w:t>To approve, in accordance with Nasdaq Listing Rule 5635(d), the potential issuance of shares of Common Stock upon (i) conversion of up to $72.0 million in aggregate principal amount of the New Convertible Notes and make-whole payments in the form of Common Stock and (ii) exercise of 135,789,000 Purchase Warrants, which issuances would, in the aggregate, exceed 20% of the number of shares of Common Stock issued and outstanding immediately prior to the time of commencement of the Exchange Offer, as described in Proposal No. 1 in the accompanying proxy statement.</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ind w:left="2040"/>
        <w:spacing w:after="0"/>
        <w:tabs>
          <w:tab w:leader="none" w:pos="5200" w:val="left"/>
        </w:tabs>
        <w:rPr>
          <w:sz w:val="20"/>
          <w:szCs w:val="20"/>
          <w:color w:val="auto"/>
        </w:rPr>
      </w:pPr>
      <w:r>
        <w:rPr>
          <w:rFonts w:ascii="Times New Roman" w:cs="Times New Roman" w:eastAsia="Times New Roman" w:hAnsi="Times New Roman"/>
          <w:sz w:val="18"/>
          <w:szCs w:val="18"/>
          <w:b w:val="1"/>
          <w:bCs w:val="1"/>
          <w:color w:val="FFFFFF"/>
        </w:rPr>
        <w:t>PURPOSE</w:t>
      </w:r>
      <w:r>
        <w:rPr>
          <w:sz w:val="20"/>
          <w:szCs w:val="20"/>
          <w:color w:val="auto"/>
        </w:rPr>
        <w:tab/>
      </w:r>
      <w:r>
        <w:rPr>
          <w:rFonts w:ascii="Times New Roman" w:cs="Times New Roman" w:eastAsia="Times New Roman" w:hAnsi="Times New Roman"/>
          <w:sz w:val="18"/>
          <w:szCs w:val="18"/>
          <w:b w:val="1"/>
          <w:bCs w:val="1"/>
          <w:color w:val="FFFFFF"/>
        </w:rPr>
        <w:t>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-125095</wp:posOffset>
            </wp:positionV>
            <wp:extent cx="7003415"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3415" cy="163195"/>
                    </a:xfrm>
                    <a:prstGeom prst="rect">
                      <a:avLst/>
                    </a:prstGeom>
                    <a:noFill/>
                  </pic:spPr>
                </pic:pic>
              </a:graphicData>
            </a:graphic>
          </wp:anchor>
        </w:drawing>
      </w:r>
    </w:p>
    <w:p>
      <w:pPr>
        <w:spacing w:after="0" w:line="290" w:lineRule="exact"/>
        <w:rPr>
          <w:sz w:val="20"/>
          <w:szCs w:val="20"/>
          <w:color w:val="auto"/>
        </w:rPr>
      </w:pPr>
    </w:p>
    <w:p>
      <w:pPr>
        <w:ind w:right="440"/>
        <w:spacing w:after="0" w:line="246" w:lineRule="auto"/>
        <w:rPr>
          <w:sz w:val="20"/>
          <w:szCs w:val="20"/>
          <w:color w:val="auto"/>
        </w:rPr>
      </w:pPr>
      <w:r>
        <w:rPr>
          <w:rFonts w:ascii="Times New Roman" w:cs="Times New Roman" w:eastAsia="Times New Roman" w:hAnsi="Times New Roman"/>
          <w:sz w:val="18"/>
          <w:szCs w:val="18"/>
          <w:color w:val="auto"/>
        </w:rPr>
        <w:t>Because the conversion of the New Convertible Notes into shares of Approval of Common Stock, or make-whole payments in the form of Common Proposal No. 1 is</w:t>
      </w:r>
    </w:p>
    <w:p>
      <w:pPr>
        <w:spacing w:after="0" w:line="235" w:lineRule="auto"/>
        <w:tabs>
          <w:tab w:leader="none" w:pos="5040" w:val="left"/>
        </w:tabs>
        <w:rPr>
          <w:sz w:val="20"/>
          <w:szCs w:val="20"/>
          <w:color w:val="auto"/>
        </w:rPr>
      </w:pPr>
      <w:r>
        <w:rPr>
          <w:rFonts w:ascii="Times New Roman" w:cs="Times New Roman" w:eastAsia="Times New Roman" w:hAnsi="Times New Roman"/>
          <w:sz w:val="18"/>
          <w:szCs w:val="18"/>
          <w:color w:val="auto"/>
        </w:rPr>
        <w:t>Stock, and the exercise of the Purchase Warrants, would, in the</w:t>
      </w:r>
      <w:r>
        <w:rPr>
          <w:sz w:val="20"/>
          <w:szCs w:val="20"/>
          <w:color w:val="auto"/>
        </w:rPr>
        <w:tab/>
      </w:r>
      <w:r>
        <w:rPr>
          <w:rFonts w:ascii="Times New Roman" w:cs="Times New Roman" w:eastAsia="Times New Roman" w:hAnsi="Times New Roman"/>
          <w:sz w:val="18"/>
          <w:szCs w:val="18"/>
          <w:color w:val="auto"/>
        </w:rPr>
        <w:t>conditioned upon</w:t>
      </w:r>
    </w:p>
    <w:p>
      <w:pPr>
        <w:spacing w:after="0"/>
        <w:tabs>
          <w:tab w:leader="none" w:pos="5040" w:val="left"/>
        </w:tabs>
        <w:rPr>
          <w:sz w:val="20"/>
          <w:szCs w:val="20"/>
          <w:color w:val="auto"/>
        </w:rPr>
      </w:pPr>
      <w:r>
        <w:rPr>
          <w:rFonts w:ascii="Times New Roman" w:cs="Times New Roman" w:eastAsia="Times New Roman" w:hAnsi="Times New Roman"/>
          <w:sz w:val="18"/>
          <w:szCs w:val="18"/>
          <w:color w:val="auto"/>
        </w:rPr>
        <w:t>aggregate, result in the potential issuance of greater than 20% of the</w:t>
      </w:r>
      <w:r>
        <w:rPr>
          <w:sz w:val="20"/>
          <w:szCs w:val="20"/>
          <w:color w:val="auto"/>
        </w:rPr>
        <w:tab/>
      </w:r>
      <w:r>
        <w:rPr>
          <w:rFonts w:ascii="Times New Roman" w:cs="Times New Roman" w:eastAsia="Times New Roman" w:hAnsi="Times New Roman"/>
          <w:sz w:val="17"/>
          <w:szCs w:val="17"/>
          <w:color w:val="auto"/>
        </w:rPr>
        <w:t>approval of Proposal</w:t>
      </w:r>
    </w:p>
    <w:p>
      <w:pPr>
        <w:spacing w:after="0"/>
        <w:tabs>
          <w:tab w:leader="none" w:pos="5040" w:val="left"/>
        </w:tabs>
        <w:rPr>
          <w:sz w:val="20"/>
          <w:szCs w:val="20"/>
          <w:color w:val="auto"/>
        </w:rPr>
      </w:pPr>
      <w:r>
        <w:rPr>
          <w:rFonts w:ascii="Times New Roman" w:cs="Times New Roman" w:eastAsia="Times New Roman" w:hAnsi="Times New Roman"/>
          <w:sz w:val="18"/>
          <w:szCs w:val="18"/>
          <w:color w:val="auto"/>
        </w:rPr>
        <w:t>number of shares of Common Stock issued and outstanding</w:t>
      </w:r>
      <w:r>
        <w:rPr>
          <w:sz w:val="20"/>
          <w:szCs w:val="20"/>
          <w:color w:val="auto"/>
        </w:rPr>
        <w:tab/>
      </w:r>
      <w:r>
        <w:rPr>
          <w:rFonts w:ascii="Times New Roman" w:cs="Times New Roman" w:eastAsia="Times New Roman" w:hAnsi="Times New Roman"/>
          <w:sz w:val="17"/>
          <w:szCs w:val="17"/>
          <w:color w:val="auto"/>
        </w:rPr>
        <w:t>No. 3.</w:t>
      </w:r>
    </w:p>
    <w:p>
      <w:pPr>
        <w:spacing w:after="0" w:line="234" w:lineRule="auto"/>
        <w:rPr>
          <w:sz w:val="20"/>
          <w:szCs w:val="20"/>
          <w:color w:val="auto"/>
        </w:rPr>
      </w:pPr>
      <w:r>
        <w:rPr>
          <w:rFonts w:ascii="Times New Roman" w:cs="Times New Roman" w:eastAsia="Times New Roman" w:hAnsi="Times New Roman"/>
          <w:sz w:val="18"/>
          <w:szCs w:val="18"/>
          <w:color w:val="auto"/>
        </w:rPr>
        <w:t>immediately prior to the time of commencement of the Exchange</w:t>
      </w:r>
    </w:p>
    <w:p>
      <w:pPr>
        <w:spacing w:after="0" w:line="220" w:lineRule="auto"/>
        <w:rPr>
          <w:sz w:val="20"/>
          <w:szCs w:val="20"/>
          <w:color w:val="auto"/>
        </w:rPr>
      </w:pPr>
      <w:r>
        <w:rPr>
          <w:rFonts w:ascii="Times New Roman" w:cs="Times New Roman" w:eastAsia="Times New Roman" w:hAnsi="Times New Roman"/>
          <w:sz w:val="18"/>
          <w:szCs w:val="18"/>
          <w:color w:val="auto"/>
        </w:rPr>
        <w:t>Offer, we are required to obtain stockholder approval for such</w:t>
      </w:r>
    </w:p>
    <w:p>
      <w:pPr>
        <w:spacing w:after="0"/>
        <w:rPr>
          <w:sz w:val="20"/>
          <w:szCs w:val="20"/>
          <w:color w:val="auto"/>
        </w:rPr>
      </w:pPr>
      <w:r>
        <w:rPr>
          <w:rFonts w:ascii="Times New Roman" w:cs="Times New Roman" w:eastAsia="Times New Roman" w:hAnsi="Times New Roman"/>
          <w:sz w:val="18"/>
          <w:szCs w:val="18"/>
          <w:color w:val="auto"/>
        </w:rPr>
        <w:t>potential issuances pursuant to Nasdaq Listing Rule 5635(d).</w:t>
      </w:r>
    </w:p>
    <w:p>
      <w:pPr>
        <w:spacing w:after="0" w:line="758" w:lineRule="exact"/>
        <w:rPr>
          <w:sz w:val="20"/>
          <w:szCs w:val="20"/>
          <w:color w:val="auto"/>
        </w:rPr>
      </w:pPr>
    </w:p>
    <w:p>
      <w:pPr>
        <w:sectPr>
          <w:pgSz w:w="11900" w:h="16838" w:orient="portrait"/>
          <w:cols w:equalWidth="0" w:num="2">
            <w:col w:w="4240" w:space="220"/>
            <w:col w:w="6740"/>
          </w:cols>
          <w:pgMar w:left="320" w:top="931"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31849B"/>
        </w:rPr>
        <w:t>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978015" cy="14744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78015" cy="1474470"/>
                    </a:xfrm>
                    <a:prstGeom prst="rect">
                      <a:avLst/>
                    </a:prstGeom>
                    <a:noFill/>
                  </pic:spPr>
                </pic:pic>
              </a:graphicData>
            </a:graphic>
          </wp:anchor>
        </w:drawing>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To approve the Restated Plan to increase the number of</w:t>
            </w:r>
          </w:p>
        </w:tc>
        <w:tc>
          <w:tcPr>
            <w:tcW w:w="5140" w:type="dxa"/>
            <w:vAlign w:val="bottom"/>
            <w:shd w:val="clear" w:color="auto" w:fill="CCCCCC"/>
          </w:tcPr>
          <w:p>
            <w:pPr>
              <w:ind w:left="220"/>
              <w:spacing w:after="0"/>
              <w:rPr>
                <w:sz w:val="20"/>
                <w:szCs w:val="20"/>
                <w:color w:val="auto"/>
              </w:rPr>
            </w:pPr>
            <w:r>
              <w:rPr>
                <w:rFonts w:ascii="Times New Roman" w:cs="Times New Roman" w:eastAsia="Times New Roman" w:hAnsi="Times New Roman"/>
                <w:sz w:val="18"/>
                <w:szCs w:val="18"/>
                <w:color w:val="auto"/>
              </w:rPr>
              <w:t>As a result of the substantial dilution that has occurred as a result</w:t>
            </w:r>
          </w:p>
        </w:tc>
        <w:tc>
          <w:tcPr>
            <w:tcW w:w="1600" w:type="dxa"/>
            <w:vAlign w:val="bottom"/>
            <w:shd w:val="clear" w:color="auto" w:fill="CCCCCC"/>
          </w:tcPr>
          <w:p>
            <w:pPr>
              <w:ind w:left="80"/>
              <w:spacing w:after="0"/>
              <w:rPr>
                <w:sz w:val="20"/>
                <w:szCs w:val="20"/>
                <w:color w:val="auto"/>
              </w:rPr>
            </w:pPr>
            <w:r>
              <w:rPr>
                <w:rFonts w:ascii="Times New Roman" w:cs="Times New Roman" w:eastAsia="Times New Roman" w:hAnsi="Times New Roman"/>
                <w:sz w:val="18"/>
                <w:szCs w:val="18"/>
                <w:color w:val="auto"/>
              </w:rPr>
              <w:t>Approval of</w:t>
            </w:r>
          </w:p>
        </w:tc>
      </w:tr>
      <w:tr>
        <w:trPr>
          <w:trHeight w:val="203"/>
        </w:trPr>
        <w:tc>
          <w:tcPr>
            <w:tcW w:w="42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shares of Common Stock authorized for issuance</w:t>
            </w:r>
          </w:p>
        </w:tc>
        <w:tc>
          <w:tcPr>
            <w:tcW w:w="5140" w:type="dxa"/>
            <w:vAlign w:val="bottom"/>
            <w:shd w:val="clear" w:color="auto" w:fill="CCCCCC"/>
          </w:tcPr>
          <w:p>
            <w:pPr>
              <w:ind w:left="220"/>
              <w:spacing w:after="0" w:line="202" w:lineRule="exact"/>
              <w:rPr>
                <w:sz w:val="20"/>
                <w:szCs w:val="20"/>
                <w:color w:val="auto"/>
              </w:rPr>
            </w:pPr>
            <w:r>
              <w:rPr>
                <w:rFonts w:ascii="Times New Roman" w:cs="Times New Roman" w:eastAsia="Times New Roman" w:hAnsi="Times New Roman"/>
                <w:sz w:val="18"/>
                <w:szCs w:val="18"/>
                <w:color w:val="auto"/>
              </w:rPr>
              <w:t>of the early settlement of the Exchange Offer and potential future</w:t>
            </w:r>
          </w:p>
        </w:tc>
        <w:tc>
          <w:tcPr>
            <w:tcW w:w="1600" w:type="dxa"/>
            <w:vAlign w:val="bottom"/>
            <w:shd w:val="clear" w:color="auto" w:fill="CCCCCC"/>
          </w:tcPr>
          <w:p>
            <w:pPr>
              <w:ind w:left="80"/>
              <w:spacing w:after="0" w:line="202" w:lineRule="exact"/>
              <w:rPr>
                <w:sz w:val="20"/>
                <w:szCs w:val="20"/>
                <w:color w:val="auto"/>
              </w:rPr>
            </w:pPr>
            <w:r>
              <w:rPr>
                <w:rFonts w:ascii="Times New Roman" w:cs="Times New Roman" w:eastAsia="Times New Roman" w:hAnsi="Times New Roman"/>
                <w:sz w:val="18"/>
                <w:szCs w:val="18"/>
                <w:color w:val="auto"/>
              </w:rPr>
              <w:t>Proposal No. 2 is</w:t>
            </w:r>
          </w:p>
        </w:tc>
      </w:tr>
      <w:tr>
        <w:trPr>
          <w:trHeight w:val="189"/>
        </w:trPr>
        <w:tc>
          <w:tcPr>
            <w:tcW w:w="4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thereunder, as described in Proposal No. 2 in the</w:t>
            </w:r>
          </w:p>
        </w:tc>
        <w:tc>
          <w:tcPr>
            <w:tcW w:w="5140" w:type="dxa"/>
            <w:vAlign w:val="bottom"/>
            <w:shd w:val="clear" w:color="auto" w:fill="CCCCCC"/>
          </w:tcPr>
          <w:p>
            <w:pPr>
              <w:ind w:left="220"/>
              <w:spacing w:after="0" w:line="189" w:lineRule="exact"/>
              <w:rPr>
                <w:sz w:val="20"/>
                <w:szCs w:val="20"/>
                <w:color w:val="auto"/>
              </w:rPr>
            </w:pPr>
            <w:r>
              <w:rPr>
                <w:rFonts w:ascii="Times New Roman" w:cs="Times New Roman" w:eastAsia="Times New Roman" w:hAnsi="Times New Roman"/>
                <w:sz w:val="18"/>
                <w:szCs w:val="18"/>
                <w:color w:val="auto"/>
              </w:rPr>
              <w:t>dilution resulting from the final settlement of the Exchange Offer</w:t>
            </w:r>
          </w:p>
        </w:tc>
        <w:tc>
          <w:tcPr>
            <w:tcW w:w="1600" w:type="dxa"/>
            <w:vAlign w:val="bottom"/>
            <w:shd w:val="clear" w:color="auto" w:fill="CCCCCC"/>
          </w:tcPr>
          <w:p>
            <w:pPr>
              <w:ind w:left="80"/>
              <w:spacing w:after="0" w:line="189" w:lineRule="exact"/>
              <w:rPr>
                <w:sz w:val="20"/>
                <w:szCs w:val="20"/>
                <w:color w:val="auto"/>
              </w:rPr>
            </w:pPr>
            <w:r>
              <w:rPr>
                <w:rFonts w:ascii="Times New Roman" w:cs="Times New Roman" w:eastAsia="Times New Roman" w:hAnsi="Times New Roman"/>
                <w:sz w:val="18"/>
                <w:szCs w:val="18"/>
                <w:color w:val="auto"/>
              </w:rPr>
              <w:t>conditioned upon</w:t>
            </w:r>
          </w:p>
        </w:tc>
      </w:tr>
      <w:tr>
        <w:trPr>
          <w:trHeight w:val="203"/>
        </w:trPr>
        <w:tc>
          <w:tcPr>
            <w:tcW w:w="42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accompanying proxy statement.</w:t>
            </w:r>
          </w:p>
        </w:tc>
        <w:tc>
          <w:tcPr>
            <w:tcW w:w="5140" w:type="dxa"/>
            <w:vAlign w:val="bottom"/>
            <w:shd w:val="clear" w:color="auto" w:fill="CCCCCC"/>
          </w:tcPr>
          <w:p>
            <w:pPr>
              <w:ind w:left="220"/>
              <w:spacing w:after="0" w:line="202" w:lineRule="exact"/>
              <w:rPr>
                <w:sz w:val="20"/>
                <w:szCs w:val="20"/>
                <w:color w:val="auto"/>
              </w:rPr>
            </w:pPr>
            <w:r>
              <w:rPr>
                <w:rFonts w:ascii="Times New Roman" w:cs="Times New Roman" w:eastAsia="Times New Roman" w:hAnsi="Times New Roman"/>
                <w:sz w:val="18"/>
                <w:szCs w:val="18"/>
                <w:color w:val="auto"/>
              </w:rPr>
              <w:t>and conversion of the New Convertible Notes, if we do not</w:t>
            </w:r>
          </w:p>
        </w:tc>
        <w:tc>
          <w:tcPr>
            <w:tcW w:w="1600" w:type="dxa"/>
            <w:vAlign w:val="bottom"/>
            <w:shd w:val="clear" w:color="auto" w:fill="CCCCCC"/>
          </w:tcPr>
          <w:p>
            <w:pPr>
              <w:ind w:left="80"/>
              <w:spacing w:after="0" w:line="202" w:lineRule="exact"/>
              <w:rPr>
                <w:sz w:val="20"/>
                <w:szCs w:val="20"/>
                <w:color w:val="auto"/>
              </w:rPr>
            </w:pPr>
            <w:r>
              <w:rPr>
                <w:rFonts w:ascii="Times New Roman" w:cs="Times New Roman" w:eastAsia="Times New Roman" w:hAnsi="Times New Roman"/>
                <w:sz w:val="18"/>
                <w:szCs w:val="18"/>
                <w:color w:val="auto"/>
                <w:w w:val="99"/>
              </w:rPr>
              <w:t>approval of Proposal</w:t>
            </w:r>
          </w:p>
        </w:tc>
      </w:tr>
      <w:tr>
        <w:trPr>
          <w:trHeight w:val="203"/>
        </w:trPr>
        <w:tc>
          <w:tcPr>
            <w:tcW w:w="4240" w:type="dxa"/>
            <w:vAlign w:val="bottom"/>
          </w:tcPr>
          <w:p>
            <w:pPr>
              <w:spacing w:after="0"/>
              <w:rPr>
                <w:sz w:val="17"/>
                <w:szCs w:val="17"/>
                <w:color w:val="auto"/>
              </w:rPr>
            </w:pPr>
          </w:p>
        </w:tc>
        <w:tc>
          <w:tcPr>
            <w:tcW w:w="5140" w:type="dxa"/>
            <w:vAlign w:val="bottom"/>
            <w:shd w:val="clear" w:color="auto" w:fill="CCCCCC"/>
          </w:tcPr>
          <w:p>
            <w:pPr>
              <w:ind w:left="220"/>
              <w:spacing w:after="0" w:line="202" w:lineRule="exact"/>
              <w:rPr>
                <w:sz w:val="20"/>
                <w:szCs w:val="20"/>
                <w:color w:val="auto"/>
              </w:rPr>
            </w:pPr>
            <w:r>
              <w:rPr>
                <w:rFonts w:ascii="Times New Roman" w:cs="Times New Roman" w:eastAsia="Times New Roman" w:hAnsi="Times New Roman"/>
                <w:sz w:val="18"/>
                <w:szCs w:val="18"/>
                <w:color w:val="auto"/>
              </w:rPr>
              <w:t>increase the shares available for future issuance under the</w:t>
            </w:r>
          </w:p>
        </w:tc>
        <w:tc>
          <w:tcPr>
            <w:tcW w:w="1600" w:type="dxa"/>
            <w:vAlign w:val="bottom"/>
            <w:shd w:val="clear" w:color="auto" w:fill="CCCCCC"/>
          </w:tcPr>
          <w:p>
            <w:pPr>
              <w:ind w:left="80"/>
              <w:spacing w:after="0" w:line="202" w:lineRule="exact"/>
              <w:rPr>
                <w:sz w:val="20"/>
                <w:szCs w:val="20"/>
                <w:color w:val="auto"/>
              </w:rPr>
            </w:pPr>
            <w:r>
              <w:rPr>
                <w:rFonts w:ascii="Times New Roman" w:cs="Times New Roman" w:eastAsia="Times New Roman" w:hAnsi="Times New Roman"/>
                <w:sz w:val="18"/>
                <w:szCs w:val="18"/>
                <w:color w:val="auto"/>
              </w:rPr>
              <w:t>No. 3.</w:t>
            </w:r>
          </w:p>
        </w:tc>
      </w:tr>
      <w:tr>
        <w:trPr>
          <w:trHeight w:val="203"/>
        </w:trPr>
        <w:tc>
          <w:tcPr>
            <w:tcW w:w="4240" w:type="dxa"/>
            <w:vAlign w:val="bottom"/>
          </w:tcPr>
          <w:p>
            <w:pPr>
              <w:spacing w:after="0"/>
              <w:rPr>
                <w:sz w:val="17"/>
                <w:szCs w:val="17"/>
                <w:color w:val="auto"/>
              </w:rPr>
            </w:pPr>
          </w:p>
        </w:tc>
        <w:tc>
          <w:tcPr>
            <w:tcW w:w="5140" w:type="dxa"/>
            <w:vAlign w:val="bottom"/>
            <w:shd w:val="clear" w:color="auto" w:fill="CCCCCC"/>
          </w:tcPr>
          <w:p>
            <w:pPr>
              <w:ind w:left="220"/>
              <w:spacing w:after="0" w:line="202" w:lineRule="exact"/>
              <w:rPr>
                <w:sz w:val="20"/>
                <w:szCs w:val="20"/>
                <w:color w:val="auto"/>
              </w:rPr>
            </w:pPr>
            <w:r>
              <w:rPr>
                <w:rFonts w:ascii="Times New Roman" w:cs="Times New Roman" w:eastAsia="Times New Roman" w:hAnsi="Times New Roman"/>
                <w:sz w:val="18"/>
                <w:szCs w:val="18"/>
                <w:color w:val="auto"/>
              </w:rPr>
              <w:t>Gossamer Bio, Inc. 2019 Incentive Award Plan (as in effect prior to</w:t>
            </w:r>
          </w:p>
        </w:tc>
        <w:tc>
          <w:tcPr>
            <w:tcW w:w="1600" w:type="dxa"/>
            <w:vAlign w:val="bottom"/>
            <w:shd w:val="clear" w:color="auto" w:fill="CCCCCC"/>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5140" w:type="dxa"/>
            <w:vAlign w:val="bottom"/>
            <w:shd w:val="clear" w:color="auto" w:fill="CCCCCC"/>
          </w:tcPr>
          <w:p>
            <w:pPr>
              <w:ind w:left="220"/>
              <w:spacing w:after="0" w:line="202" w:lineRule="exact"/>
              <w:rPr>
                <w:sz w:val="20"/>
                <w:szCs w:val="20"/>
                <w:color w:val="auto"/>
              </w:rPr>
            </w:pPr>
            <w:r>
              <w:rPr>
                <w:rFonts w:ascii="Times New Roman" w:cs="Times New Roman" w:eastAsia="Times New Roman" w:hAnsi="Times New Roman"/>
                <w:sz w:val="18"/>
                <w:szCs w:val="18"/>
                <w:color w:val="auto"/>
              </w:rPr>
              <w:t>the adoption of the Restated Plan), we will have a limited number</w:t>
            </w:r>
          </w:p>
        </w:tc>
        <w:tc>
          <w:tcPr>
            <w:tcW w:w="1600" w:type="dxa"/>
            <w:vAlign w:val="bottom"/>
            <w:shd w:val="clear" w:color="auto" w:fill="CCCCCC"/>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5140" w:type="dxa"/>
            <w:vAlign w:val="bottom"/>
            <w:shd w:val="clear" w:color="auto" w:fill="CCCCCC"/>
          </w:tcPr>
          <w:p>
            <w:pPr>
              <w:ind w:left="220"/>
              <w:spacing w:after="0" w:line="202" w:lineRule="exact"/>
              <w:rPr>
                <w:sz w:val="20"/>
                <w:szCs w:val="20"/>
                <w:color w:val="auto"/>
              </w:rPr>
            </w:pPr>
            <w:r>
              <w:rPr>
                <w:rFonts w:ascii="Times New Roman" w:cs="Times New Roman" w:eastAsia="Times New Roman" w:hAnsi="Times New Roman"/>
                <w:sz w:val="18"/>
                <w:szCs w:val="18"/>
                <w:color w:val="auto"/>
              </w:rPr>
              <w:t>of shares available for future grants thereunder. The Restated Plan</w:t>
            </w:r>
          </w:p>
        </w:tc>
        <w:tc>
          <w:tcPr>
            <w:tcW w:w="1600" w:type="dxa"/>
            <w:vAlign w:val="bottom"/>
            <w:shd w:val="clear" w:color="auto" w:fill="CCCCCC"/>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5140" w:type="dxa"/>
            <w:vAlign w:val="bottom"/>
            <w:shd w:val="clear" w:color="auto" w:fill="CCCCCC"/>
          </w:tcPr>
          <w:p>
            <w:pPr>
              <w:ind w:left="220"/>
              <w:spacing w:after="0" w:line="202" w:lineRule="exact"/>
              <w:rPr>
                <w:sz w:val="20"/>
                <w:szCs w:val="20"/>
                <w:color w:val="auto"/>
              </w:rPr>
            </w:pPr>
            <w:r>
              <w:rPr>
                <w:rFonts w:ascii="Times New Roman" w:cs="Times New Roman" w:eastAsia="Times New Roman" w:hAnsi="Times New Roman"/>
                <w:sz w:val="18"/>
                <w:szCs w:val="18"/>
                <w:color w:val="auto"/>
              </w:rPr>
              <w:t>was effective on May 18, 2026, subject to the occurrence of the</w:t>
            </w:r>
          </w:p>
        </w:tc>
        <w:tc>
          <w:tcPr>
            <w:tcW w:w="1600" w:type="dxa"/>
            <w:vAlign w:val="bottom"/>
            <w:shd w:val="clear" w:color="auto" w:fill="CCCCCC"/>
          </w:tcPr>
          <w:p>
            <w:pPr>
              <w:spacing w:after="0"/>
              <w:rPr>
                <w:sz w:val="17"/>
                <w:szCs w:val="17"/>
                <w:color w:val="auto"/>
              </w:rPr>
            </w:pPr>
          </w:p>
        </w:tc>
      </w:tr>
      <w:tr>
        <w:trPr>
          <w:trHeight w:val="234"/>
        </w:trPr>
        <w:tc>
          <w:tcPr>
            <w:tcW w:w="4240" w:type="dxa"/>
            <w:vAlign w:val="bottom"/>
          </w:tcPr>
          <w:p>
            <w:pPr>
              <w:spacing w:after="0"/>
              <w:rPr>
                <w:sz w:val="20"/>
                <w:szCs w:val="20"/>
                <w:color w:val="auto"/>
              </w:rPr>
            </w:pPr>
          </w:p>
        </w:tc>
        <w:tc>
          <w:tcPr>
            <w:tcW w:w="5140" w:type="dxa"/>
            <w:vAlign w:val="bottom"/>
            <w:shd w:val="clear" w:color="auto" w:fill="CCCCCC"/>
          </w:tcPr>
          <w:p>
            <w:pPr>
              <w:ind w:left="220"/>
              <w:spacing w:after="0"/>
              <w:rPr>
                <w:sz w:val="20"/>
                <w:szCs w:val="20"/>
                <w:color w:val="auto"/>
              </w:rPr>
            </w:pPr>
            <w:r>
              <w:rPr>
                <w:rFonts w:ascii="Times New Roman" w:cs="Times New Roman" w:eastAsia="Times New Roman" w:hAnsi="Times New Roman"/>
                <w:sz w:val="18"/>
                <w:szCs w:val="18"/>
                <w:color w:val="auto"/>
              </w:rPr>
              <w:t>Closing Date and stockholder approval at the Special Meeting.</w:t>
            </w:r>
          </w:p>
        </w:tc>
        <w:tc>
          <w:tcPr>
            <w:tcW w:w="1600" w:type="dxa"/>
            <w:vAlign w:val="bottom"/>
            <w:shd w:val="clear" w:color="auto" w:fill="CCCCCC"/>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5140" w:type="dxa"/>
            <w:vAlign w:val="bottom"/>
            <w:shd w:val="clear" w:color="auto" w:fill="CCCCCC"/>
          </w:tcPr>
          <w:p>
            <w:pPr>
              <w:spacing w:after="0"/>
              <w:rPr>
                <w:sz w:val="2"/>
                <w:szCs w:val="2"/>
                <w:color w:val="auto"/>
              </w:rPr>
            </w:pPr>
          </w:p>
        </w:tc>
        <w:tc>
          <w:tcPr>
            <w:tcW w:w="1600" w:type="dxa"/>
            <w:vAlign w:val="bottom"/>
            <w:shd w:val="clear" w:color="auto" w:fill="CCCCCC"/>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200"/>
          </w:cols>
          <w:pgMar w:left="320" w:top="931"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31849B"/>
        </w:rPr>
        <w:t>PROPOSAL NO. 3</w:t>
      </w:r>
    </w:p>
    <w:p>
      <w:pPr>
        <w:spacing w:after="0" w:line="45"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To approve an amendment to the Company’s amended restated certificate of incorporation (the “Charter”) to increase the number of authorized shares of Common Stock from 700,000,000 to 4,000,000,000 in order to support, among other things, the additional share issuances of Common Stock issuable upon conversion of the New Convertible Notes and Purchase Warrants and under the Restated Plan, as described in Proposal No. 3 in the accompanying proxy statement.</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tabs>
          <w:tab w:leader="none" w:pos="4980" w:val="left"/>
        </w:tabs>
        <w:rPr>
          <w:sz w:val="20"/>
          <w:szCs w:val="20"/>
          <w:color w:val="auto"/>
        </w:rPr>
      </w:pPr>
      <w:r>
        <w:rPr>
          <w:rFonts w:ascii="Times New Roman" w:cs="Times New Roman" w:eastAsia="Times New Roman" w:hAnsi="Times New Roman"/>
          <w:sz w:val="18"/>
          <w:szCs w:val="18"/>
          <w:color w:val="auto"/>
        </w:rPr>
        <w:t>We currently do not have enough authorized shares of Common</w:t>
      </w:r>
      <w:r>
        <w:rPr>
          <w:sz w:val="20"/>
          <w:szCs w:val="20"/>
          <w:color w:val="auto"/>
        </w:rPr>
        <w:tab/>
      </w:r>
      <w:r>
        <w:rPr>
          <w:rFonts w:ascii="Times New Roman" w:cs="Times New Roman" w:eastAsia="Times New Roman" w:hAnsi="Times New Roman"/>
          <w:sz w:val="18"/>
          <w:szCs w:val="18"/>
          <w:color w:val="auto"/>
        </w:rPr>
        <w:t>Approval of</w:t>
      </w:r>
    </w:p>
    <w:p>
      <w:pPr>
        <w:spacing w:after="0" w:line="11" w:lineRule="exact"/>
        <w:rPr>
          <w:sz w:val="20"/>
          <w:szCs w:val="20"/>
          <w:color w:val="auto"/>
        </w:rPr>
      </w:pPr>
    </w:p>
    <w:p>
      <w:pPr>
        <w:spacing w:after="0"/>
        <w:tabs>
          <w:tab w:leader="none" w:pos="4980" w:val="left"/>
        </w:tabs>
        <w:rPr>
          <w:sz w:val="20"/>
          <w:szCs w:val="20"/>
          <w:color w:val="auto"/>
        </w:rPr>
      </w:pPr>
      <w:r>
        <w:rPr>
          <w:rFonts w:ascii="Times New Roman" w:cs="Times New Roman" w:eastAsia="Times New Roman" w:hAnsi="Times New Roman"/>
          <w:sz w:val="18"/>
          <w:szCs w:val="18"/>
          <w:color w:val="auto"/>
        </w:rPr>
        <w:t>Stock to support the issuance of Common Stock that will be</w:t>
      </w:r>
      <w:r>
        <w:rPr>
          <w:sz w:val="20"/>
          <w:szCs w:val="20"/>
          <w:color w:val="auto"/>
        </w:rPr>
        <w:tab/>
      </w:r>
      <w:r>
        <w:rPr>
          <w:rFonts w:ascii="Times New Roman" w:cs="Times New Roman" w:eastAsia="Times New Roman" w:hAnsi="Times New Roman"/>
          <w:sz w:val="17"/>
          <w:szCs w:val="17"/>
          <w:color w:val="auto"/>
        </w:rPr>
        <w:t>Proposal No. 3 is</w:t>
      </w:r>
    </w:p>
    <w:p>
      <w:pPr>
        <w:spacing w:after="0" w:line="232" w:lineRule="auto"/>
        <w:tabs>
          <w:tab w:leader="none" w:pos="4980" w:val="left"/>
        </w:tabs>
        <w:rPr>
          <w:sz w:val="20"/>
          <w:szCs w:val="20"/>
          <w:color w:val="auto"/>
        </w:rPr>
      </w:pPr>
      <w:r>
        <w:rPr>
          <w:rFonts w:ascii="Times New Roman" w:cs="Times New Roman" w:eastAsia="Times New Roman" w:hAnsi="Times New Roman"/>
          <w:sz w:val="18"/>
          <w:szCs w:val="18"/>
          <w:color w:val="auto"/>
        </w:rPr>
        <w:t>issuable or may become issuable upon conversion of the New</w:t>
      </w:r>
      <w:r>
        <w:rPr>
          <w:sz w:val="20"/>
          <w:szCs w:val="20"/>
          <w:color w:val="auto"/>
        </w:rPr>
        <w:tab/>
      </w:r>
      <w:r>
        <w:rPr>
          <w:rFonts w:ascii="Times New Roman" w:cs="Times New Roman" w:eastAsia="Times New Roman" w:hAnsi="Times New Roman"/>
          <w:sz w:val="17"/>
          <w:szCs w:val="17"/>
          <w:color w:val="auto"/>
        </w:rPr>
        <w:t>independent and not</w:t>
      </w:r>
    </w:p>
    <w:p>
      <w:pPr>
        <w:spacing w:after="0" w:line="234" w:lineRule="auto"/>
        <w:tabs>
          <w:tab w:leader="none" w:pos="4980" w:val="left"/>
        </w:tabs>
        <w:rPr>
          <w:sz w:val="20"/>
          <w:szCs w:val="20"/>
          <w:color w:val="auto"/>
        </w:rPr>
      </w:pPr>
      <w:r>
        <w:rPr>
          <w:rFonts w:ascii="Times New Roman" w:cs="Times New Roman" w:eastAsia="Times New Roman" w:hAnsi="Times New Roman"/>
          <w:sz w:val="18"/>
          <w:szCs w:val="18"/>
          <w:color w:val="auto"/>
        </w:rPr>
        <w:t>Convertible Notes or Purchase Warrants or under the Restated</w:t>
      </w:r>
      <w:r>
        <w:rPr>
          <w:sz w:val="20"/>
          <w:szCs w:val="20"/>
          <w:color w:val="auto"/>
        </w:rPr>
        <w:tab/>
      </w:r>
      <w:r>
        <w:rPr>
          <w:rFonts w:ascii="Times New Roman" w:cs="Times New Roman" w:eastAsia="Times New Roman" w:hAnsi="Times New Roman"/>
          <w:sz w:val="18"/>
          <w:szCs w:val="18"/>
          <w:color w:val="auto"/>
        </w:rPr>
        <w:t>conditioned upon</w:t>
      </w:r>
    </w:p>
    <w:p>
      <w:pPr>
        <w:spacing w:after="0"/>
        <w:tabs>
          <w:tab w:leader="none" w:pos="4980" w:val="left"/>
        </w:tabs>
        <w:rPr>
          <w:sz w:val="20"/>
          <w:szCs w:val="20"/>
          <w:color w:val="auto"/>
        </w:rPr>
      </w:pPr>
      <w:r>
        <w:rPr>
          <w:rFonts w:ascii="Times New Roman" w:cs="Times New Roman" w:eastAsia="Times New Roman" w:hAnsi="Times New Roman"/>
          <w:sz w:val="18"/>
          <w:szCs w:val="18"/>
          <w:color w:val="auto"/>
        </w:rPr>
        <w:t>Plan. Further, increasing the number of authorized shares of</w:t>
      </w:r>
      <w:r>
        <w:rPr>
          <w:sz w:val="20"/>
          <w:szCs w:val="20"/>
          <w:color w:val="auto"/>
        </w:rPr>
        <w:tab/>
      </w:r>
      <w:r>
        <w:rPr>
          <w:rFonts w:ascii="Times New Roman" w:cs="Times New Roman" w:eastAsia="Times New Roman" w:hAnsi="Times New Roman"/>
          <w:sz w:val="17"/>
          <w:szCs w:val="17"/>
          <w:color w:val="auto"/>
        </w:rPr>
        <w:t>the approval of any</w:t>
      </w:r>
    </w:p>
    <w:p>
      <w:pPr>
        <w:spacing w:after="0"/>
        <w:tabs>
          <w:tab w:leader="none" w:pos="4980" w:val="left"/>
        </w:tabs>
        <w:rPr>
          <w:sz w:val="20"/>
          <w:szCs w:val="20"/>
          <w:color w:val="auto"/>
        </w:rPr>
      </w:pPr>
      <w:r>
        <w:rPr>
          <w:rFonts w:ascii="Times New Roman" w:cs="Times New Roman" w:eastAsia="Times New Roman" w:hAnsi="Times New Roman"/>
          <w:sz w:val="18"/>
          <w:szCs w:val="18"/>
          <w:color w:val="auto"/>
        </w:rPr>
        <w:t>Common Stock will provide us with greater flexibility in</w:t>
      </w:r>
      <w:r>
        <w:rPr>
          <w:sz w:val="20"/>
          <w:szCs w:val="20"/>
          <w:color w:val="auto"/>
        </w:rPr>
        <w:tab/>
      </w:r>
      <w:r>
        <w:rPr>
          <w:rFonts w:ascii="Times New Roman" w:cs="Times New Roman" w:eastAsia="Times New Roman" w:hAnsi="Times New Roman"/>
          <w:sz w:val="17"/>
          <w:szCs w:val="17"/>
          <w:color w:val="auto"/>
        </w:rPr>
        <w:t>other proposal.</w:t>
      </w:r>
    </w:p>
    <w:p>
      <w:pPr>
        <w:ind w:right="2080"/>
        <w:spacing w:after="0" w:line="239" w:lineRule="auto"/>
        <w:rPr>
          <w:sz w:val="20"/>
          <w:szCs w:val="20"/>
          <w:color w:val="auto"/>
        </w:rPr>
      </w:pPr>
      <w:r>
        <w:rPr>
          <w:rFonts w:ascii="Times New Roman" w:cs="Times New Roman" w:eastAsia="Times New Roman" w:hAnsi="Times New Roman"/>
          <w:sz w:val="18"/>
          <w:szCs w:val="18"/>
          <w:color w:val="auto"/>
        </w:rPr>
        <w:t>considering and planning for current and future corporate needs, including raising additional capital and other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1102360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200" w:space="280"/>
            <w:col w:w="6720"/>
          </w:cols>
          <w:pgMar w:left="320" w:top="931" w:right="37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57"/>
        </w:trPr>
        <w:tc>
          <w:tcPr>
            <w:tcW w:w="4320" w:type="dxa"/>
            <w:vAlign w:val="bottom"/>
            <w:shd w:val="clear" w:color="auto" w:fill="B6DDE8"/>
          </w:tcPr>
          <w:p>
            <w:pPr>
              <w:ind w:left="1680"/>
              <w:spacing w:after="0"/>
              <w:rPr>
                <w:sz w:val="20"/>
                <w:szCs w:val="20"/>
                <w:color w:val="auto"/>
              </w:rPr>
            </w:pPr>
            <w:r>
              <w:rPr>
                <w:rFonts w:ascii="Times New Roman" w:cs="Times New Roman" w:eastAsia="Times New Roman" w:hAnsi="Times New Roman"/>
                <w:sz w:val="18"/>
                <w:szCs w:val="18"/>
                <w:b w:val="1"/>
                <w:bCs w:val="1"/>
                <w:color w:val="FFFFFF"/>
              </w:rPr>
              <w:t>PROPOSAL</w:t>
            </w:r>
          </w:p>
        </w:tc>
        <w:tc>
          <w:tcPr>
            <w:tcW w:w="4980" w:type="dxa"/>
            <w:vAlign w:val="bottom"/>
            <w:shd w:val="clear" w:color="auto" w:fill="B6DDE8"/>
          </w:tcPr>
          <w:p>
            <w:pPr>
              <w:ind w:left="2120"/>
              <w:spacing w:after="0"/>
              <w:rPr>
                <w:sz w:val="20"/>
                <w:szCs w:val="20"/>
                <w:color w:val="auto"/>
              </w:rPr>
            </w:pPr>
            <w:r>
              <w:rPr>
                <w:rFonts w:ascii="Times New Roman" w:cs="Times New Roman" w:eastAsia="Times New Roman" w:hAnsi="Times New Roman"/>
                <w:sz w:val="18"/>
                <w:szCs w:val="18"/>
                <w:b w:val="1"/>
                <w:bCs w:val="1"/>
                <w:color w:val="FFFFFF"/>
              </w:rPr>
              <w:t>PURPOSE</w:t>
            </w:r>
          </w:p>
        </w:tc>
        <w:tc>
          <w:tcPr>
            <w:tcW w:w="1660" w:type="dxa"/>
            <w:vAlign w:val="bottom"/>
            <w:shd w:val="clear" w:color="auto" w:fill="B6DDE8"/>
          </w:tcPr>
          <w:p>
            <w:pPr>
              <w:ind w:left="300"/>
              <w:spacing w:after="0"/>
              <w:rPr>
                <w:sz w:val="20"/>
                <w:szCs w:val="20"/>
                <w:color w:val="auto"/>
              </w:rPr>
            </w:pPr>
            <w:r>
              <w:rPr>
                <w:rFonts w:ascii="Times New Roman" w:cs="Times New Roman" w:eastAsia="Times New Roman" w:hAnsi="Times New Roman"/>
                <w:sz w:val="18"/>
                <w:szCs w:val="18"/>
                <w:b w:val="1"/>
                <w:bCs w:val="1"/>
                <w:color w:val="FFFFFF"/>
              </w:rPr>
              <w:t>CONDITIONS</w:t>
            </w:r>
          </w:p>
        </w:tc>
      </w:tr>
      <w:tr>
        <w:trPr>
          <w:trHeight w:val="234"/>
        </w:trPr>
        <w:tc>
          <w:tcPr>
            <w:tcW w:w="4320" w:type="dxa"/>
            <w:vAlign w:val="bottom"/>
            <w:shd w:val="clear" w:color="auto" w:fill="CCCCCC"/>
          </w:tcPr>
          <w:p>
            <w:pPr>
              <w:ind w:left="20"/>
              <w:spacing w:after="0"/>
              <w:rPr>
                <w:sz w:val="20"/>
                <w:szCs w:val="20"/>
                <w:color w:val="auto"/>
              </w:rPr>
            </w:pPr>
            <w:r>
              <w:rPr>
                <w:rFonts w:ascii="Times New Roman" w:cs="Times New Roman" w:eastAsia="Times New Roman" w:hAnsi="Times New Roman"/>
                <w:sz w:val="18"/>
                <w:szCs w:val="18"/>
                <w:color w:val="31849B"/>
              </w:rPr>
              <w:t>PROPOSAL NO. 4</w:t>
            </w:r>
          </w:p>
        </w:tc>
        <w:tc>
          <w:tcPr>
            <w:tcW w:w="4980" w:type="dxa"/>
            <w:vAlign w:val="bottom"/>
            <w:shd w:val="clear" w:color="auto" w:fill="CCCCCC"/>
          </w:tcPr>
          <w:p>
            <w:pPr>
              <w:spacing w:after="0"/>
              <w:rPr>
                <w:sz w:val="20"/>
                <w:szCs w:val="20"/>
                <w:color w:val="auto"/>
              </w:rPr>
            </w:pPr>
          </w:p>
        </w:tc>
        <w:tc>
          <w:tcPr>
            <w:tcW w:w="1660" w:type="dxa"/>
            <w:vAlign w:val="bottom"/>
            <w:shd w:val="clear" w:color="auto" w:fill="CCCCCC"/>
          </w:tcPr>
          <w:p>
            <w:pPr>
              <w:spacing w:after="0"/>
              <w:rPr>
                <w:sz w:val="20"/>
                <w:szCs w:val="20"/>
                <w:color w:val="auto"/>
              </w:rPr>
            </w:pPr>
          </w:p>
        </w:tc>
      </w:tr>
      <w:tr>
        <w:trPr>
          <w:trHeight w:val="220"/>
        </w:trPr>
        <w:tc>
          <w:tcPr>
            <w:tcW w:w="4320" w:type="dxa"/>
            <w:vAlign w:val="bottom"/>
            <w:shd w:val="clear" w:color="auto" w:fill="CCCCCC"/>
          </w:tcPr>
          <w:p>
            <w:pPr>
              <w:ind w:left="20"/>
              <w:spacing w:after="0"/>
              <w:rPr>
                <w:sz w:val="20"/>
                <w:szCs w:val="20"/>
                <w:color w:val="auto"/>
              </w:rPr>
            </w:pPr>
            <w:r>
              <w:rPr>
                <w:rFonts w:ascii="Times New Roman" w:cs="Times New Roman" w:eastAsia="Times New Roman" w:hAnsi="Times New Roman"/>
                <w:sz w:val="18"/>
                <w:szCs w:val="18"/>
                <w:color w:val="auto"/>
              </w:rPr>
              <w:t>To approve a series of 30 alternate amendments to the</w:t>
            </w:r>
          </w:p>
        </w:tc>
        <w:tc>
          <w:tcPr>
            <w:tcW w:w="4980" w:type="dxa"/>
            <w:vAlign w:val="bottom"/>
            <w:shd w:val="clear" w:color="auto" w:fill="CCCCCC"/>
          </w:tcPr>
          <w:p>
            <w:pPr>
              <w:ind w:left="140"/>
              <w:spacing w:after="0"/>
              <w:rPr>
                <w:sz w:val="20"/>
                <w:szCs w:val="20"/>
                <w:color w:val="auto"/>
              </w:rPr>
            </w:pPr>
            <w:r>
              <w:rPr>
                <w:rFonts w:ascii="Times New Roman" w:cs="Times New Roman" w:eastAsia="Times New Roman" w:hAnsi="Times New Roman"/>
                <w:sz w:val="18"/>
                <w:szCs w:val="18"/>
                <w:color w:val="auto"/>
              </w:rPr>
              <w:t>We believe it is beneficial to provide the Board with the authority</w:t>
            </w:r>
          </w:p>
        </w:tc>
        <w:tc>
          <w:tcPr>
            <w:tcW w:w="1660" w:type="dxa"/>
            <w:vAlign w:val="bottom"/>
            <w:shd w:val="clear" w:color="auto" w:fill="CCCCCC"/>
          </w:tcPr>
          <w:p>
            <w:pPr>
              <w:ind w:left="100"/>
              <w:spacing w:after="0"/>
              <w:rPr>
                <w:sz w:val="20"/>
                <w:szCs w:val="20"/>
                <w:color w:val="auto"/>
              </w:rPr>
            </w:pPr>
            <w:r>
              <w:rPr>
                <w:rFonts w:ascii="Times New Roman" w:cs="Times New Roman" w:eastAsia="Times New Roman" w:hAnsi="Times New Roman"/>
                <w:sz w:val="18"/>
                <w:szCs w:val="18"/>
                <w:color w:val="auto"/>
              </w:rPr>
              <w:t>Approval of</w:t>
            </w:r>
          </w:p>
        </w:tc>
      </w:tr>
      <w:tr>
        <w:trPr>
          <w:trHeight w:val="203"/>
        </w:trPr>
        <w:tc>
          <w:tcPr>
            <w:tcW w:w="4320" w:type="dxa"/>
            <w:vAlign w:val="bottom"/>
            <w:shd w:val="clear" w:color="auto" w:fill="CCCCCC"/>
          </w:tcPr>
          <w:p>
            <w:pPr>
              <w:ind w:left="20"/>
              <w:spacing w:after="0" w:line="202" w:lineRule="exact"/>
              <w:rPr>
                <w:sz w:val="20"/>
                <w:szCs w:val="20"/>
                <w:color w:val="auto"/>
              </w:rPr>
            </w:pPr>
            <w:r>
              <w:rPr>
                <w:rFonts w:ascii="Times New Roman" w:cs="Times New Roman" w:eastAsia="Times New Roman" w:hAnsi="Times New Roman"/>
                <w:sz w:val="18"/>
                <w:szCs w:val="18"/>
                <w:color w:val="auto"/>
              </w:rPr>
              <w:t>Charter to effect (i) a reverse stock split of our issued and</w:t>
            </w:r>
          </w:p>
        </w:tc>
        <w:tc>
          <w:tcPr>
            <w:tcW w:w="4980" w:type="dxa"/>
            <w:vAlign w:val="bottom"/>
            <w:shd w:val="clear" w:color="auto" w:fill="CCCCCC"/>
          </w:tcPr>
          <w:p>
            <w:pPr>
              <w:ind w:left="140"/>
              <w:spacing w:after="0" w:line="202" w:lineRule="exact"/>
              <w:rPr>
                <w:sz w:val="20"/>
                <w:szCs w:val="20"/>
                <w:color w:val="auto"/>
              </w:rPr>
            </w:pPr>
            <w:r>
              <w:rPr>
                <w:rFonts w:ascii="Times New Roman" w:cs="Times New Roman" w:eastAsia="Times New Roman" w:hAnsi="Times New Roman"/>
                <w:sz w:val="18"/>
                <w:szCs w:val="18"/>
                <w:color w:val="auto"/>
              </w:rPr>
              <w:t>and flexibility to effect a reverse stock split, if and when needed,</w:t>
            </w:r>
          </w:p>
        </w:tc>
        <w:tc>
          <w:tcPr>
            <w:tcW w:w="1660" w:type="dxa"/>
            <w:vAlign w:val="bottom"/>
            <w:shd w:val="clear" w:color="auto" w:fill="CCCCCC"/>
          </w:tcPr>
          <w:p>
            <w:pPr>
              <w:ind w:left="100"/>
              <w:spacing w:after="0" w:line="202" w:lineRule="exact"/>
              <w:rPr>
                <w:sz w:val="20"/>
                <w:szCs w:val="20"/>
                <w:color w:val="auto"/>
              </w:rPr>
            </w:pPr>
            <w:r>
              <w:rPr>
                <w:rFonts w:ascii="Times New Roman" w:cs="Times New Roman" w:eastAsia="Times New Roman" w:hAnsi="Times New Roman"/>
                <w:sz w:val="18"/>
                <w:szCs w:val="18"/>
                <w:color w:val="auto"/>
              </w:rPr>
              <w:t>Proposal No. 4 is</w:t>
            </w:r>
          </w:p>
        </w:tc>
      </w:tr>
      <w:tr>
        <w:trPr>
          <w:trHeight w:val="203"/>
        </w:trPr>
        <w:tc>
          <w:tcPr>
            <w:tcW w:w="4320" w:type="dxa"/>
            <w:vAlign w:val="bottom"/>
            <w:shd w:val="clear" w:color="auto" w:fill="CCCCCC"/>
          </w:tcPr>
          <w:p>
            <w:pPr>
              <w:ind w:left="20"/>
              <w:spacing w:after="0" w:line="202" w:lineRule="exact"/>
              <w:rPr>
                <w:sz w:val="20"/>
                <w:szCs w:val="20"/>
                <w:color w:val="auto"/>
              </w:rPr>
            </w:pPr>
            <w:r>
              <w:rPr>
                <w:rFonts w:ascii="Times New Roman" w:cs="Times New Roman" w:eastAsia="Times New Roman" w:hAnsi="Times New Roman"/>
                <w:sz w:val="18"/>
                <w:szCs w:val="18"/>
                <w:color w:val="auto"/>
              </w:rPr>
              <w:t>outstanding shares of Common Stock and (ii) a</w:t>
            </w:r>
          </w:p>
        </w:tc>
        <w:tc>
          <w:tcPr>
            <w:tcW w:w="4980" w:type="dxa"/>
            <w:vAlign w:val="bottom"/>
            <w:shd w:val="clear" w:color="auto" w:fill="CCCCCC"/>
          </w:tcPr>
          <w:p>
            <w:pPr>
              <w:ind w:left="140"/>
              <w:spacing w:after="0" w:line="202" w:lineRule="exact"/>
              <w:rPr>
                <w:sz w:val="20"/>
                <w:szCs w:val="20"/>
                <w:color w:val="auto"/>
              </w:rPr>
            </w:pPr>
            <w:r>
              <w:rPr>
                <w:rFonts w:ascii="Times New Roman" w:cs="Times New Roman" w:eastAsia="Times New Roman" w:hAnsi="Times New Roman"/>
                <w:sz w:val="18"/>
                <w:szCs w:val="18"/>
                <w:color w:val="auto"/>
              </w:rPr>
              <w:t>in the event it determines that a reverse stock split is in the best</w:t>
            </w:r>
          </w:p>
        </w:tc>
        <w:tc>
          <w:tcPr>
            <w:tcW w:w="1660" w:type="dxa"/>
            <w:vAlign w:val="bottom"/>
            <w:shd w:val="clear" w:color="auto" w:fill="CCCCCC"/>
          </w:tcPr>
          <w:p>
            <w:pPr>
              <w:ind w:left="100"/>
              <w:spacing w:after="0" w:line="202" w:lineRule="exact"/>
              <w:rPr>
                <w:sz w:val="20"/>
                <w:szCs w:val="20"/>
                <w:color w:val="auto"/>
              </w:rPr>
            </w:pPr>
            <w:r>
              <w:rPr>
                <w:rFonts w:ascii="Times New Roman" w:cs="Times New Roman" w:eastAsia="Times New Roman" w:hAnsi="Times New Roman"/>
                <w:sz w:val="18"/>
                <w:szCs w:val="18"/>
                <w:color w:val="auto"/>
              </w:rPr>
              <w:t>independent and not</w:t>
            </w:r>
          </w:p>
        </w:tc>
      </w:tr>
      <w:tr>
        <w:trPr>
          <w:trHeight w:val="203"/>
        </w:trPr>
        <w:tc>
          <w:tcPr>
            <w:tcW w:w="4320" w:type="dxa"/>
            <w:vAlign w:val="bottom"/>
            <w:shd w:val="clear" w:color="auto" w:fill="CCCCCC"/>
          </w:tcPr>
          <w:p>
            <w:pPr>
              <w:ind w:left="20"/>
              <w:spacing w:after="0" w:line="202" w:lineRule="exact"/>
              <w:rPr>
                <w:sz w:val="20"/>
                <w:szCs w:val="20"/>
                <w:color w:val="auto"/>
              </w:rPr>
            </w:pPr>
            <w:r>
              <w:rPr>
                <w:rFonts w:ascii="Times New Roman" w:cs="Times New Roman" w:eastAsia="Times New Roman" w:hAnsi="Times New Roman"/>
                <w:sz w:val="18"/>
                <w:szCs w:val="18"/>
                <w:color w:val="auto"/>
              </w:rPr>
              <w:t>proportionate reduction in the number of authorized shares</w:t>
            </w:r>
          </w:p>
        </w:tc>
        <w:tc>
          <w:tcPr>
            <w:tcW w:w="4980" w:type="dxa"/>
            <w:vAlign w:val="bottom"/>
            <w:shd w:val="clear" w:color="auto" w:fill="CCCCCC"/>
          </w:tcPr>
          <w:p>
            <w:pPr>
              <w:ind w:left="140"/>
              <w:spacing w:after="0" w:line="202" w:lineRule="exact"/>
              <w:rPr>
                <w:sz w:val="20"/>
                <w:szCs w:val="20"/>
                <w:color w:val="auto"/>
              </w:rPr>
            </w:pPr>
            <w:r>
              <w:rPr>
                <w:rFonts w:ascii="Times New Roman" w:cs="Times New Roman" w:eastAsia="Times New Roman" w:hAnsi="Times New Roman"/>
                <w:sz w:val="18"/>
                <w:szCs w:val="18"/>
                <w:color w:val="auto"/>
              </w:rPr>
              <w:t>interests of the Company and our stockholders.</w:t>
            </w:r>
          </w:p>
        </w:tc>
        <w:tc>
          <w:tcPr>
            <w:tcW w:w="1660" w:type="dxa"/>
            <w:vAlign w:val="bottom"/>
            <w:shd w:val="clear" w:color="auto" w:fill="CCCCCC"/>
          </w:tcPr>
          <w:p>
            <w:pPr>
              <w:ind w:left="100"/>
              <w:spacing w:after="0" w:line="202" w:lineRule="exact"/>
              <w:rPr>
                <w:sz w:val="20"/>
                <w:szCs w:val="20"/>
                <w:color w:val="auto"/>
              </w:rPr>
            </w:pPr>
            <w:r>
              <w:rPr>
                <w:rFonts w:ascii="Times New Roman" w:cs="Times New Roman" w:eastAsia="Times New Roman" w:hAnsi="Times New Roman"/>
                <w:sz w:val="18"/>
                <w:szCs w:val="18"/>
                <w:color w:val="auto"/>
              </w:rPr>
              <w:t>conditioned upon the</w:t>
            </w:r>
          </w:p>
        </w:tc>
      </w:tr>
      <w:tr>
        <w:trPr>
          <w:trHeight w:val="203"/>
        </w:trPr>
        <w:tc>
          <w:tcPr>
            <w:tcW w:w="4320" w:type="dxa"/>
            <w:vAlign w:val="bottom"/>
            <w:shd w:val="clear" w:color="auto" w:fill="CCCCCC"/>
          </w:tcPr>
          <w:p>
            <w:pPr>
              <w:ind w:left="20"/>
              <w:spacing w:after="0" w:line="202" w:lineRule="exact"/>
              <w:rPr>
                <w:sz w:val="20"/>
                <w:szCs w:val="20"/>
                <w:color w:val="auto"/>
              </w:rPr>
            </w:pPr>
            <w:r>
              <w:rPr>
                <w:rFonts w:ascii="Times New Roman" w:cs="Times New Roman" w:eastAsia="Times New Roman" w:hAnsi="Times New Roman"/>
                <w:sz w:val="18"/>
                <w:szCs w:val="18"/>
                <w:color w:val="auto"/>
              </w:rPr>
              <w:t>of Common Stock (and correspondingly decrease the total</w:t>
            </w:r>
          </w:p>
        </w:tc>
        <w:tc>
          <w:tcPr>
            <w:tcW w:w="4980" w:type="dxa"/>
            <w:vAlign w:val="bottom"/>
            <w:shd w:val="clear" w:color="auto" w:fill="CCCCCC"/>
          </w:tcPr>
          <w:p>
            <w:pPr>
              <w:spacing w:after="0"/>
              <w:rPr>
                <w:sz w:val="17"/>
                <w:szCs w:val="17"/>
                <w:color w:val="auto"/>
              </w:rPr>
            </w:pPr>
          </w:p>
        </w:tc>
        <w:tc>
          <w:tcPr>
            <w:tcW w:w="1660" w:type="dxa"/>
            <w:vAlign w:val="bottom"/>
            <w:shd w:val="clear" w:color="auto" w:fill="CCCCCC"/>
          </w:tcPr>
          <w:p>
            <w:pPr>
              <w:ind w:left="100"/>
              <w:spacing w:after="0" w:line="202" w:lineRule="exact"/>
              <w:rPr>
                <w:sz w:val="20"/>
                <w:szCs w:val="20"/>
                <w:color w:val="auto"/>
              </w:rPr>
            </w:pPr>
            <w:r>
              <w:rPr>
                <w:rFonts w:ascii="Times New Roman" w:cs="Times New Roman" w:eastAsia="Times New Roman" w:hAnsi="Times New Roman"/>
                <w:sz w:val="18"/>
                <w:szCs w:val="18"/>
                <w:color w:val="auto"/>
                <w:w w:val="99"/>
              </w:rPr>
              <w:t>approval of any other</w:t>
            </w:r>
          </w:p>
        </w:tc>
      </w:tr>
      <w:tr>
        <w:trPr>
          <w:trHeight w:val="203"/>
        </w:trPr>
        <w:tc>
          <w:tcPr>
            <w:tcW w:w="4320" w:type="dxa"/>
            <w:vAlign w:val="bottom"/>
            <w:shd w:val="clear" w:color="auto" w:fill="CCCCCC"/>
          </w:tcPr>
          <w:p>
            <w:pPr>
              <w:ind w:left="20"/>
              <w:spacing w:after="0" w:line="202" w:lineRule="exact"/>
              <w:rPr>
                <w:sz w:val="20"/>
                <w:szCs w:val="20"/>
                <w:color w:val="auto"/>
              </w:rPr>
            </w:pPr>
            <w:r>
              <w:rPr>
                <w:rFonts w:ascii="Times New Roman" w:cs="Times New Roman" w:eastAsia="Times New Roman" w:hAnsi="Times New Roman"/>
                <w:sz w:val="18"/>
                <w:szCs w:val="18"/>
                <w:color w:val="auto"/>
              </w:rPr>
              <w:t>number of authorized shares of our capital stock), as</w:t>
            </w:r>
          </w:p>
        </w:tc>
        <w:tc>
          <w:tcPr>
            <w:tcW w:w="4980" w:type="dxa"/>
            <w:vAlign w:val="bottom"/>
            <w:shd w:val="clear" w:color="auto" w:fill="CCCCCC"/>
          </w:tcPr>
          <w:p>
            <w:pPr>
              <w:spacing w:after="0"/>
              <w:rPr>
                <w:sz w:val="17"/>
                <w:szCs w:val="17"/>
                <w:color w:val="auto"/>
              </w:rPr>
            </w:pPr>
          </w:p>
        </w:tc>
        <w:tc>
          <w:tcPr>
            <w:tcW w:w="1660" w:type="dxa"/>
            <w:vAlign w:val="bottom"/>
            <w:shd w:val="clear" w:color="auto" w:fill="CCCCCC"/>
          </w:tcPr>
          <w:p>
            <w:pPr>
              <w:ind w:left="100"/>
              <w:spacing w:after="0" w:line="202" w:lineRule="exact"/>
              <w:rPr>
                <w:sz w:val="20"/>
                <w:szCs w:val="20"/>
                <w:color w:val="auto"/>
              </w:rPr>
            </w:pPr>
            <w:r>
              <w:rPr>
                <w:rFonts w:ascii="Times New Roman" w:cs="Times New Roman" w:eastAsia="Times New Roman" w:hAnsi="Times New Roman"/>
                <w:sz w:val="18"/>
                <w:szCs w:val="18"/>
                <w:color w:val="auto"/>
              </w:rPr>
              <w:t>proposal.</w:t>
            </w:r>
          </w:p>
        </w:tc>
      </w:tr>
      <w:tr>
        <w:trPr>
          <w:trHeight w:val="189"/>
        </w:trPr>
        <w:tc>
          <w:tcPr>
            <w:tcW w:w="4320" w:type="dxa"/>
            <w:vAlign w:val="bottom"/>
            <w:shd w:val="clear" w:color="auto" w:fill="CCCCCC"/>
          </w:tcPr>
          <w:p>
            <w:pPr>
              <w:ind w:left="20"/>
              <w:spacing w:after="0" w:line="189" w:lineRule="exact"/>
              <w:rPr>
                <w:sz w:val="20"/>
                <w:szCs w:val="20"/>
                <w:color w:val="auto"/>
              </w:rPr>
            </w:pPr>
            <w:r>
              <w:rPr>
                <w:rFonts w:ascii="Times New Roman" w:cs="Times New Roman" w:eastAsia="Times New Roman" w:hAnsi="Times New Roman"/>
                <w:sz w:val="18"/>
                <w:szCs w:val="18"/>
                <w:color w:val="auto"/>
              </w:rPr>
              <w:t>described in Proposal No. 4 in the accompanying proxy</w:t>
            </w:r>
          </w:p>
        </w:tc>
        <w:tc>
          <w:tcPr>
            <w:tcW w:w="4980" w:type="dxa"/>
            <w:vAlign w:val="bottom"/>
            <w:shd w:val="clear" w:color="auto" w:fill="CCCCCC"/>
          </w:tcPr>
          <w:p>
            <w:pPr>
              <w:spacing w:after="0"/>
              <w:rPr>
                <w:sz w:val="16"/>
                <w:szCs w:val="16"/>
                <w:color w:val="auto"/>
              </w:rPr>
            </w:pPr>
          </w:p>
        </w:tc>
        <w:tc>
          <w:tcPr>
            <w:tcW w:w="1660" w:type="dxa"/>
            <w:vAlign w:val="bottom"/>
            <w:shd w:val="clear" w:color="auto" w:fill="CCCCCC"/>
          </w:tcPr>
          <w:p>
            <w:pPr>
              <w:spacing w:after="0"/>
              <w:rPr>
                <w:sz w:val="16"/>
                <w:szCs w:val="16"/>
                <w:color w:val="auto"/>
              </w:rPr>
            </w:pPr>
          </w:p>
        </w:tc>
      </w:tr>
      <w:tr>
        <w:trPr>
          <w:trHeight w:val="234"/>
        </w:trPr>
        <w:tc>
          <w:tcPr>
            <w:tcW w:w="4320" w:type="dxa"/>
            <w:vAlign w:val="bottom"/>
            <w:shd w:val="clear" w:color="auto" w:fill="CCCCCC"/>
          </w:tcPr>
          <w:p>
            <w:pPr>
              <w:ind w:left="20"/>
              <w:spacing w:after="0"/>
              <w:rPr>
                <w:sz w:val="20"/>
                <w:szCs w:val="20"/>
                <w:color w:val="auto"/>
              </w:rPr>
            </w:pPr>
            <w:r>
              <w:rPr>
                <w:rFonts w:ascii="Times New Roman" w:cs="Times New Roman" w:eastAsia="Times New Roman" w:hAnsi="Times New Roman"/>
                <w:sz w:val="18"/>
                <w:szCs w:val="18"/>
                <w:color w:val="auto"/>
              </w:rPr>
              <w:t>statement.</w:t>
            </w:r>
          </w:p>
        </w:tc>
        <w:tc>
          <w:tcPr>
            <w:tcW w:w="4980" w:type="dxa"/>
            <w:vAlign w:val="bottom"/>
            <w:shd w:val="clear" w:color="auto" w:fill="CCCCCC"/>
          </w:tcPr>
          <w:p>
            <w:pPr>
              <w:spacing w:after="0"/>
              <w:rPr>
                <w:sz w:val="20"/>
                <w:szCs w:val="20"/>
                <w:color w:val="auto"/>
              </w:rPr>
            </w:pPr>
          </w:p>
        </w:tc>
        <w:tc>
          <w:tcPr>
            <w:tcW w:w="1660" w:type="dxa"/>
            <w:vAlign w:val="bottom"/>
            <w:shd w:val="clear" w:color="auto" w:fill="CCCCCC"/>
          </w:tcPr>
          <w:p>
            <w:pPr>
              <w:spacing w:after="0"/>
              <w:rPr>
                <w:sz w:val="20"/>
                <w:szCs w:val="20"/>
                <w:color w:val="auto"/>
              </w:rPr>
            </w:pPr>
          </w:p>
        </w:tc>
      </w:tr>
      <w:tr>
        <w:trPr>
          <w:trHeight w:val="27"/>
        </w:trPr>
        <w:tc>
          <w:tcPr>
            <w:tcW w:w="4320" w:type="dxa"/>
            <w:vAlign w:val="bottom"/>
            <w:shd w:val="clear" w:color="auto" w:fill="CCCCCC"/>
          </w:tcPr>
          <w:p>
            <w:pPr>
              <w:spacing w:after="0"/>
              <w:rPr>
                <w:sz w:val="2"/>
                <w:szCs w:val="2"/>
                <w:color w:val="auto"/>
              </w:rPr>
            </w:pPr>
          </w:p>
        </w:tc>
        <w:tc>
          <w:tcPr>
            <w:tcW w:w="4980" w:type="dxa"/>
            <w:vAlign w:val="bottom"/>
            <w:shd w:val="clear" w:color="auto" w:fill="CCCCCC"/>
          </w:tcPr>
          <w:p>
            <w:pPr>
              <w:spacing w:after="0"/>
              <w:rPr>
                <w:sz w:val="2"/>
                <w:szCs w:val="2"/>
                <w:color w:val="auto"/>
              </w:rPr>
            </w:pPr>
          </w:p>
        </w:tc>
        <w:tc>
          <w:tcPr>
            <w:tcW w:w="1660" w:type="dxa"/>
            <w:vAlign w:val="bottom"/>
            <w:shd w:val="clear" w:color="auto" w:fill="CCCCCC"/>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220"/>
          </w:cols>
          <w:pgMar w:left="320" w:top="977" w:right="35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31849B"/>
        </w:rPr>
        <w:t>PROPOSAL NO. 5</w:t>
      </w:r>
    </w:p>
    <w:p>
      <w:pPr>
        <w:spacing w:after="0" w:line="45" w:lineRule="exact"/>
        <w:rPr>
          <w:sz w:val="20"/>
          <w:szCs w:val="20"/>
          <w:color w:val="auto"/>
        </w:rPr>
      </w:pPr>
    </w:p>
    <w:p>
      <w:pPr>
        <w:ind w:left="20"/>
        <w:spacing w:after="0" w:line="250" w:lineRule="auto"/>
        <w:rPr>
          <w:sz w:val="20"/>
          <w:szCs w:val="20"/>
          <w:color w:val="auto"/>
        </w:rPr>
      </w:pPr>
      <w:r>
        <w:rPr>
          <w:rFonts w:ascii="Times New Roman" w:cs="Times New Roman" w:eastAsia="Times New Roman" w:hAnsi="Times New Roman"/>
          <w:sz w:val="18"/>
          <w:szCs w:val="18"/>
          <w:color w:val="auto"/>
        </w:rPr>
        <w:t>To approve one or more adjournments of the Special Meeting, if necessary, as described in Proposal No. 5 in the accompanying proxy statement.</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tabs>
          <w:tab w:leader="none" w:pos="4920" w:val="left"/>
        </w:tabs>
        <w:rPr>
          <w:sz w:val="20"/>
          <w:szCs w:val="20"/>
          <w:color w:val="auto"/>
        </w:rPr>
      </w:pPr>
      <w:r>
        <w:rPr>
          <w:rFonts w:ascii="Times New Roman" w:cs="Times New Roman" w:eastAsia="Times New Roman" w:hAnsi="Times New Roman"/>
          <w:sz w:val="18"/>
          <w:szCs w:val="18"/>
          <w:color w:val="auto"/>
        </w:rPr>
        <w:t>If there are insufficient votes to approve the foregoing proposals</w:t>
      </w:r>
      <w:r>
        <w:rPr>
          <w:sz w:val="20"/>
          <w:szCs w:val="20"/>
          <w:color w:val="auto"/>
        </w:rPr>
        <w:tab/>
      </w:r>
      <w:r>
        <w:rPr>
          <w:rFonts w:ascii="Times New Roman" w:cs="Times New Roman" w:eastAsia="Times New Roman" w:hAnsi="Times New Roman"/>
          <w:sz w:val="18"/>
          <w:szCs w:val="18"/>
          <w:color w:val="auto"/>
        </w:rPr>
        <w:t>Approval of</w:t>
      </w:r>
    </w:p>
    <w:p>
      <w:pPr>
        <w:spacing w:after="0" w:line="11" w:lineRule="exact"/>
        <w:rPr>
          <w:sz w:val="20"/>
          <w:szCs w:val="20"/>
          <w:color w:val="auto"/>
        </w:rPr>
      </w:pPr>
    </w:p>
    <w:p>
      <w:pPr>
        <w:spacing w:after="0"/>
        <w:tabs>
          <w:tab w:leader="none" w:pos="4920" w:val="left"/>
        </w:tabs>
        <w:rPr>
          <w:sz w:val="20"/>
          <w:szCs w:val="20"/>
          <w:color w:val="auto"/>
        </w:rPr>
      </w:pPr>
      <w:r>
        <w:rPr>
          <w:rFonts w:ascii="Times New Roman" w:cs="Times New Roman" w:eastAsia="Times New Roman" w:hAnsi="Times New Roman"/>
          <w:sz w:val="18"/>
          <w:szCs w:val="18"/>
          <w:color w:val="auto"/>
        </w:rPr>
        <w:t>at the Special Meeting or any adjournment(s) thereof, we need the</w:t>
      </w:r>
      <w:r>
        <w:rPr>
          <w:sz w:val="20"/>
          <w:szCs w:val="20"/>
          <w:color w:val="auto"/>
        </w:rPr>
        <w:tab/>
      </w:r>
      <w:r>
        <w:rPr>
          <w:rFonts w:ascii="Times New Roman" w:cs="Times New Roman" w:eastAsia="Times New Roman" w:hAnsi="Times New Roman"/>
          <w:sz w:val="17"/>
          <w:szCs w:val="17"/>
          <w:color w:val="auto"/>
        </w:rPr>
        <w:t>Proposal No. 5 is</w:t>
      </w:r>
    </w:p>
    <w:p>
      <w:pPr>
        <w:spacing w:after="0"/>
        <w:tabs>
          <w:tab w:leader="none" w:pos="4920" w:val="left"/>
        </w:tabs>
        <w:rPr>
          <w:sz w:val="20"/>
          <w:szCs w:val="20"/>
          <w:color w:val="auto"/>
        </w:rPr>
      </w:pPr>
      <w:r>
        <w:rPr>
          <w:rFonts w:ascii="Times New Roman" w:cs="Times New Roman" w:eastAsia="Times New Roman" w:hAnsi="Times New Roman"/>
          <w:sz w:val="18"/>
          <w:szCs w:val="18"/>
          <w:color w:val="auto"/>
        </w:rPr>
        <w:t>ability to adjourn the Special Meeting to solicit additional proxies.</w:t>
      </w:r>
      <w:r>
        <w:rPr>
          <w:sz w:val="20"/>
          <w:szCs w:val="20"/>
          <w:color w:val="auto"/>
        </w:rPr>
        <w:tab/>
      </w:r>
      <w:r>
        <w:rPr>
          <w:rFonts w:ascii="Times New Roman" w:cs="Times New Roman" w:eastAsia="Times New Roman" w:hAnsi="Times New Roman"/>
          <w:sz w:val="17"/>
          <w:szCs w:val="17"/>
          <w:color w:val="auto"/>
        </w:rPr>
        <w:t>independent and not</w:t>
      </w:r>
    </w:p>
    <w:p>
      <w:pPr>
        <w:ind w:left="4940"/>
        <w:spacing w:after="0" w:line="235" w:lineRule="auto"/>
        <w:rPr>
          <w:sz w:val="20"/>
          <w:szCs w:val="20"/>
          <w:color w:val="auto"/>
        </w:rPr>
      </w:pPr>
      <w:r>
        <w:rPr>
          <w:rFonts w:ascii="Times New Roman" w:cs="Times New Roman" w:eastAsia="Times New Roman" w:hAnsi="Times New Roman"/>
          <w:sz w:val="18"/>
          <w:szCs w:val="18"/>
          <w:color w:val="auto"/>
        </w:rPr>
        <w:t>conditioned upon the</w:t>
      </w:r>
    </w:p>
    <w:p>
      <w:pPr>
        <w:jc w:val="right"/>
        <w:ind w:right="260"/>
        <w:spacing w:after="0" w:line="235" w:lineRule="auto"/>
        <w:rPr>
          <w:sz w:val="20"/>
          <w:szCs w:val="20"/>
          <w:color w:val="auto"/>
        </w:rPr>
      </w:pPr>
      <w:r>
        <w:rPr>
          <w:rFonts w:ascii="Times New Roman" w:cs="Times New Roman" w:eastAsia="Times New Roman" w:hAnsi="Times New Roman"/>
          <w:sz w:val="18"/>
          <w:szCs w:val="18"/>
          <w:color w:val="auto"/>
        </w:rPr>
        <w:t>approval of any other</w:t>
      </w:r>
    </w:p>
    <w:p>
      <w:pPr>
        <w:ind w:left="4940"/>
        <w:spacing w:after="0"/>
        <w:rPr>
          <w:sz w:val="20"/>
          <w:szCs w:val="20"/>
          <w:color w:val="auto"/>
        </w:rPr>
      </w:pPr>
      <w:r>
        <w:rPr>
          <w:rFonts w:ascii="Times New Roman" w:cs="Times New Roman" w:eastAsia="Times New Roman" w:hAnsi="Times New Roman"/>
          <w:sz w:val="18"/>
          <w:szCs w:val="18"/>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21590</wp:posOffset>
            </wp:positionV>
            <wp:extent cx="69608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80" w:space="180"/>
            <w:col w:w="6760"/>
          </w:cols>
          <w:pgMar w:left="320" w:top="977" w:right="359"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 and Voting Agreements</w:t>
      </w:r>
    </w:p>
    <w:p>
      <w:pPr>
        <w:spacing w:after="0" w:line="25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Board has determined that each of the proposals is in the best interests of the Company and its stockholders and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proposal.</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the Early Settlement Date, Existing Noteholders holding 90.526% of the aggregate outstanding principal amount of the Existing Convertible Notes entered into voting agreements, or are deemed to have agreed to substantially the same terms as those in the voting agreements, with the Company in connection with the tender of their Existing Convertible Notes pursuant to which they agreed to be present in person (which includes by remote communication) or by proxy at the Special Meeting and to vote all shares of Common Stock they received in the Exchange Offer and beneficially owned as of the Record Date (as defined below) in favor of the proposals set forth in the accompanying proxy statement. Additional information concerning the voting agreements is available under the section of the accompanying proxy statement entitled “Background of the Special Meeting—Voting Agreements.”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accompanying proxy statement provides you with information about the proposals. Please read the entire proxy statement carefully. You may obtain additional information about the Company from documents we file with the Securities and Exchange Commission.</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It is important that your shares be represented and voted at the Special Meeting. Please submit your proxy as soon as possible even if you plan to attend the Special Meeting. We appreciate your support regarding this matter. Only those holders of record of shares of Common Stock at 4:00 p.m. Eastern Time on June 5, 2026, the record date for the Special Meeting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will be entitled to vote at the Special Meeting or any adjournment or postponement thereof.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ongoing support of, and continued interest in, Gossamer.</w:t>
      </w:r>
    </w:p>
    <w:p>
      <w:pPr>
        <w:spacing w:after="0" w:line="200" w:lineRule="exact"/>
        <w:rPr>
          <w:sz w:val="20"/>
          <w:szCs w:val="20"/>
          <w:color w:val="auto"/>
        </w:rPr>
      </w:pPr>
    </w:p>
    <w:p>
      <w:pPr>
        <w:spacing w:after="0" w:line="30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/s/ Faheem Hasnain</w:t>
      </w:r>
    </w:p>
    <w:p>
      <w:pPr>
        <w:spacing w:after="0" w:line="3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Faheem Hasnain</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i w:val="1"/>
          <w:iCs w:val="1"/>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1364615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7" w:right="359"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2540000</wp:posOffset>
            </wp:positionH>
            <wp:positionV relativeFrom="page">
              <wp:posOffset>1374775</wp:posOffset>
            </wp:positionV>
            <wp:extent cx="2477135" cy="12001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47713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3115 Merryfield Row, Suite 120</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San Diego, CA 92121</w:t>
      </w: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To Be Held at 9:00 a.m. Pacific Time on Tuesday, July 14, 2026</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4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On behalf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Gossamer Bio, Inc., a Delaware corporation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Gossamer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you are cordially invited to attend a Special Meeting of Stockholders (the “</w:t>
      </w:r>
      <w:r>
        <w:rPr>
          <w:rFonts w:ascii="Times New Roman" w:cs="Times New Roman" w:eastAsia="Times New Roman" w:hAnsi="Times New Roman"/>
          <w:sz w:val="18"/>
          <w:szCs w:val="18"/>
          <w:b w:val="1"/>
          <w:bCs w:val="1"/>
          <w:i w:val="1"/>
          <w:iCs w:val="1"/>
          <w:color w:val="auto"/>
        </w:rPr>
        <w:t>Special Meeting</w:t>
      </w:r>
      <w:r>
        <w:rPr>
          <w:rFonts w:ascii="Times New Roman" w:cs="Times New Roman" w:eastAsia="Times New Roman" w:hAnsi="Times New Roman"/>
          <w:sz w:val="18"/>
          <w:szCs w:val="18"/>
          <w:color w:val="auto"/>
        </w:rPr>
        <w:t>”), to be held virtually, via live webcast, on Tuesday, July 14, 2026 at 9:00 a.m. Pacific Time, for the following purposes, as more fully described in the accompanying proxy statement:</w:t>
      </w:r>
    </w:p>
    <w:p>
      <w:pPr>
        <w:spacing w:after="0" w:line="1" w:lineRule="exact"/>
        <w:rPr>
          <w:sz w:val="20"/>
          <w:szCs w:val="20"/>
          <w:color w:val="auto"/>
        </w:rPr>
      </w:pPr>
    </w:p>
    <w:p>
      <w:pPr>
        <w:ind w:left="660" w:hanging="328"/>
        <w:spacing w:after="0" w:line="23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in accordance with Nasdaq Listing Rule 5635(d), the potential issuance of shares of the Company’s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upon (i) conversion of up to $72.0 million in aggregate principal amount of newly issued 7.50% Convertible Senior Secured First Lien Notes due 2030 (the “</w:t>
      </w:r>
      <w:r>
        <w:rPr>
          <w:rFonts w:ascii="Times New Roman" w:cs="Times New Roman" w:eastAsia="Times New Roman" w:hAnsi="Times New Roman"/>
          <w:sz w:val="18"/>
          <w:szCs w:val="18"/>
          <w:b w:val="1"/>
          <w:bCs w:val="1"/>
          <w:i w:val="1"/>
          <w:iCs w:val="1"/>
          <w:color w:val="auto"/>
        </w:rPr>
        <w:t>New Convertible Notes</w:t>
      </w:r>
      <w:r>
        <w:rPr>
          <w:rFonts w:ascii="Times New Roman" w:cs="Times New Roman" w:eastAsia="Times New Roman" w:hAnsi="Times New Roman"/>
          <w:sz w:val="18"/>
          <w:szCs w:val="18"/>
          <w:color w:val="auto"/>
        </w:rPr>
        <w:t>”) and make-whole payments in the form of Common Stock, and (ii) exercise of 135,789,000 warrants to purchase shares of Common Stock (the “</w:t>
      </w:r>
      <w:r>
        <w:rPr>
          <w:rFonts w:ascii="Times New Roman" w:cs="Times New Roman" w:eastAsia="Times New Roman" w:hAnsi="Times New Roman"/>
          <w:sz w:val="18"/>
          <w:szCs w:val="18"/>
          <w:b w:val="1"/>
          <w:bCs w:val="1"/>
          <w:i w:val="1"/>
          <w:iCs w:val="1"/>
          <w:color w:val="auto"/>
        </w:rPr>
        <w:t>Purchase Warrants</w:t>
      </w:r>
      <w:r>
        <w:rPr>
          <w:rFonts w:ascii="Times New Roman" w:cs="Times New Roman" w:eastAsia="Times New Roman" w:hAnsi="Times New Roman"/>
          <w:sz w:val="18"/>
          <w:szCs w:val="18"/>
          <w:color w:val="auto"/>
        </w:rPr>
        <w:t>”), which issuances would, in the aggregate, exceed 20% of the number of shares of Common Stock issued and outstanding immediately prior to the time of commencement of the Exchange Offer (as defined in the accompanying proxy statement), as described in Proposal No. 1 in the accompanying proxy statement;</w:t>
      </w:r>
    </w:p>
    <w:p>
      <w:pPr>
        <w:spacing w:after="0" w:line="223" w:lineRule="exact"/>
        <w:rPr>
          <w:rFonts w:ascii="Times New Roman" w:cs="Times New Roman" w:eastAsia="Times New Roman" w:hAnsi="Times New Roman"/>
          <w:sz w:val="18"/>
          <w:szCs w:val="18"/>
          <w:color w:val="auto"/>
        </w:rPr>
      </w:pPr>
    </w:p>
    <w:p>
      <w:pPr>
        <w:ind w:left="660" w:right="80" w:hanging="328"/>
        <w:spacing w:after="0" w:line="28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and restatement of the Gossamer Bio, Inc. 2019 Incentive Award Plan (the “</w:t>
      </w:r>
      <w:r>
        <w:rPr>
          <w:rFonts w:ascii="Times New Roman" w:cs="Times New Roman" w:eastAsia="Times New Roman" w:hAnsi="Times New Roman"/>
          <w:sz w:val="18"/>
          <w:szCs w:val="18"/>
          <w:b w:val="1"/>
          <w:bCs w:val="1"/>
          <w:i w:val="1"/>
          <w:iCs w:val="1"/>
          <w:color w:val="auto"/>
        </w:rPr>
        <w:t>Restated Plan</w:t>
      </w:r>
      <w:r>
        <w:rPr>
          <w:rFonts w:ascii="Times New Roman" w:cs="Times New Roman" w:eastAsia="Times New Roman" w:hAnsi="Times New Roman"/>
          <w:sz w:val="18"/>
          <w:szCs w:val="18"/>
          <w:color w:val="auto"/>
        </w:rPr>
        <w:t>”) to increase the number of shares of Common Stock authorized for issuance thereunder, as described in Proposal No. 2 in the accompanying proxy statement;</w:t>
      </w:r>
    </w:p>
    <w:p>
      <w:pPr>
        <w:spacing w:after="0" w:line="181" w:lineRule="exact"/>
        <w:rPr>
          <w:rFonts w:ascii="Times New Roman" w:cs="Times New Roman" w:eastAsia="Times New Roman" w:hAnsi="Times New Roman"/>
          <w:sz w:val="18"/>
          <w:szCs w:val="18"/>
          <w:color w:val="auto"/>
        </w:rPr>
      </w:pPr>
    </w:p>
    <w:p>
      <w:pPr>
        <w:ind w:left="660" w:right="40" w:hanging="328"/>
        <w:spacing w:after="0" w:line="26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amended and restated certificate of incorporation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to increase the number of authorized shares of Common Stock from 700,000,000 to 4,000,000,000 in order to support, among other things, the additional share issuances of Common Stock issuable upon conversion of the New Convertible Notes and Purchase Warrants and under the Restated Plan, as described in Proposal No. 3 in the accompanying proxy statement;</w:t>
      </w:r>
    </w:p>
    <w:p>
      <w:pPr>
        <w:spacing w:after="0" w:line="207"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series of 30 alternate amendments to the Charter to effect (i) a reverse stock split of our issued and outstanding shares of Common Stock and (ii) a proportionate reduction in the number of authorized shares of Common Stock (and correspondingly decrease the total number of authorized shares of our capital stock), as described in Proposal No. 4 in the accompanying proxy statement; and</w:t>
      </w:r>
    </w:p>
    <w:p>
      <w:pPr>
        <w:spacing w:after="0" w:line="202"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one or more adjournments of the Special Meeting, if necessary, to solicit additional proxies if there are not sufficient votes to approve the foregoing proposals at the Special Meeting or any adjournment(s) thereof, as described in Proposal No. 5 in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 w:name="page7"/>
    <w:bookmarkEnd w:id="6"/>
    <w:p>
      <w:pPr>
        <w:jc w:val="both"/>
        <w:ind w:right="40"/>
        <w:spacing w:after="0" w:line="268" w:lineRule="auto"/>
        <w:rPr>
          <w:sz w:val="20"/>
          <w:szCs w:val="20"/>
          <w:color w:val="auto"/>
        </w:rPr>
      </w:pPr>
      <w:r>
        <w:rPr>
          <w:rFonts w:ascii="Times New Roman" w:cs="Times New Roman" w:eastAsia="Times New Roman" w:hAnsi="Times New Roman"/>
          <w:sz w:val="18"/>
          <w:szCs w:val="18"/>
          <w:color w:val="auto"/>
        </w:rPr>
        <w:t>The Board has fixed 4:00 p.m. Eastern Time on June 5, 2026 as the record date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for the Special Meeting. Stockholders of record as of the Record Date are entitled to notice of and to vote at the Special Meeting. Further information regarding voting rights and the matters to be voted upon is presented in the accompanying proxy statement.</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Notice of Special Meeting of Stockholders, the proxy statement, and the proxy card are being sent to stockholders beginning on or about June 9, 2026. The proxy card or voting instructions received from your broker, bank or other nominee provide instructions on how to vote. The proxy statement can be accessed directly at the following Internet address: www.proxydocs.com/GOSS. You will be asked to enter the Control Number shown on your proxy card or voting instructions received from your broker, bank or other nominee.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appreciate your continued support of Gossamer.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Faheem Hasnain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Faheem Hasnain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Chairman, President and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9, 2026</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Your vote is important. Please vote your shares whether or not you plan to attend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0" w:right="3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83"/>
        </w:trPr>
        <w:tc>
          <w:tcPr>
            <w:tcW w:w="71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QUESTIONS AND ANSWERS ABOUT THE PROXY MATERIALS AND SPECIAL MEETING</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58"/>
        </w:trPr>
        <w:tc>
          <w:tcPr>
            <w:tcW w:w="35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BACKGROUND OF THE SPECIAL MEETING</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58"/>
        </w:trPr>
        <w:tc>
          <w:tcPr>
            <w:tcW w:w="60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PROPOSAL NO. 1: NASDAQ 5635(D) ISSUANCE OF ADDITIONAL SHARES</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45"/>
        </w:trPr>
        <w:tc>
          <w:tcPr>
            <w:tcW w:w="77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8"/>
              </w:rPr>
              <w:t>PROPOSAL NO. 2: AMENDMENT AND RESTATEMENT OF THE 2019 INCENTIVE AWARD PLAN</w:t>
            </w: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58"/>
        </w:trPr>
        <w:tc>
          <w:tcPr>
            <w:tcW w:w="42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PROPOSAL NO. 3: AUTHORIZED SHARE INCREASE</w:t>
            </w: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13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58"/>
        </w:trPr>
        <w:tc>
          <w:tcPr>
            <w:tcW w:w="34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PROPOSAL NO. 4: REVERSE STOCK SPLIT</w:t>
            </w:r>
          </w:p>
        </w:tc>
        <w:tc>
          <w:tcPr>
            <w:tcW w:w="620" w:type="dxa"/>
            <w:vAlign w:val="bottom"/>
            <w:gridSpan w:val="2"/>
          </w:tcPr>
          <w:p>
            <w:pPr>
              <w:spacing w:after="0"/>
              <w:rPr>
                <w:sz w:val="24"/>
                <w:szCs w:val="24"/>
                <w:color w:val="auto"/>
              </w:rPr>
            </w:pPr>
          </w:p>
        </w:tc>
        <w:tc>
          <w:tcPr>
            <w:tcW w:w="68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13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45"/>
        </w:trPr>
        <w:tc>
          <w:tcPr>
            <w:tcW w:w="47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PROPOSAL NO. 5: ADJOURNMENT OF SPECIAL MEETING</w:t>
            </w:r>
          </w:p>
        </w:tc>
        <w:tc>
          <w:tcPr>
            <w:tcW w:w="58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13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58"/>
        </w:trPr>
        <w:tc>
          <w:tcPr>
            <w:tcW w:w="62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EXECUTIVE AND DIRECTOR COMPENSATION AND OTHER INFORMATION</w:t>
            </w:r>
          </w:p>
        </w:tc>
        <w:tc>
          <w:tcPr>
            <w:tcW w:w="54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13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58"/>
        </w:trPr>
        <w:tc>
          <w:tcPr>
            <w:tcW w:w="67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w:t>
            </w:r>
          </w:p>
        </w:tc>
        <w:tc>
          <w:tcPr>
            <w:tcW w:w="860" w:type="dxa"/>
            <w:vAlign w:val="bottom"/>
            <w:gridSpan w:val="2"/>
          </w:tcPr>
          <w:p>
            <w:pPr>
              <w:spacing w:after="0"/>
              <w:rPr>
                <w:sz w:val="24"/>
                <w:szCs w:val="24"/>
                <w:color w:val="auto"/>
              </w:rPr>
            </w:pPr>
          </w:p>
        </w:tc>
        <w:tc>
          <w:tcPr>
            <w:tcW w:w="13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58"/>
        </w:trPr>
        <w:tc>
          <w:tcPr>
            <w:tcW w:w="23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STOCKHOLDER PROPOSALS</w:t>
            </w:r>
          </w:p>
        </w:tc>
        <w:tc>
          <w:tcPr>
            <w:tcW w:w="760" w:type="dxa"/>
            <w:vAlign w:val="bottom"/>
          </w:tcPr>
          <w:p>
            <w:pPr>
              <w:spacing w:after="0"/>
              <w:rPr>
                <w:sz w:val="24"/>
                <w:szCs w:val="24"/>
                <w:color w:val="auto"/>
              </w:rPr>
            </w:pPr>
          </w:p>
        </w:tc>
        <w:tc>
          <w:tcPr>
            <w:tcW w:w="940" w:type="dxa"/>
            <w:vAlign w:val="bottom"/>
            <w:gridSpan w:val="3"/>
          </w:tcPr>
          <w:p>
            <w:pPr>
              <w:spacing w:after="0"/>
              <w:rPr>
                <w:sz w:val="24"/>
                <w:szCs w:val="24"/>
                <w:color w:val="auto"/>
              </w:rPr>
            </w:pPr>
          </w:p>
        </w:tc>
        <w:tc>
          <w:tcPr>
            <w:tcW w:w="1260" w:type="dxa"/>
            <w:vAlign w:val="bottom"/>
            <w:gridSpan w:val="3"/>
          </w:tcPr>
          <w:p>
            <w:pPr>
              <w:spacing w:after="0"/>
              <w:rPr>
                <w:sz w:val="24"/>
                <w:szCs w:val="24"/>
                <w:color w:val="auto"/>
              </w:rPr>
            </w:pPr>
          </w:p>
        </w:tc>
        <w:tc>
          <w:tcPr>
            <w:tcW w:w="2260" w:type="dxa"/>
            <w:vAlign w:val="bottom"/>
            <w:gridSpan w:val="5"/>
          </w:tcPr>
          <w:p>
            <w:pPr>
              <w:spacing w:after="0"/>
              <w:rPr>
                <w:sz w:val="24"/>
                <w:szCs w:val="24"/>
                <w:color w:val="auto"/>
              </w:rPr>
            </w:pPr>
          </w:p>
        </w:tc>
        <w:tc>
          <w:tcPr>
            <w:tcW w:w="13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58"/>
        </w:trPr>
        <w:tc>
          <w:tcPr>
            <w:tcW w:w="40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STOCKHOLDERS SHARING THE SAME ADDRESS</w:t>
            </w:r>
          </w:p>
        </w:tc>
        <w:tc>
          <w:tcPr>
            <w:tcW w:w="1260" w:type="dxa"/>
            <w:vAlign w:val="bottom"/>
            <w:gridSpan w:val="3"/>
          </w:tcPr>
          <w:p>
            <w:pPr>
              <w:spacing w:after="0"/>
              <w:rPr>
                <w:sz w:val="24"/>
                <w:szCs w:val="24"/>
                <w:color w:val="auto"/>
              </w:rPr>
            </w:pPr>
          </w:p>
        </w:tc>
        <w:tc>
          <w:tcPr>
            <w:tcW w:w="2260" w:type="dxa"/>
            <w:vAlign w:val="bottom"/>
            <w:gridSpan w:val="5"/>
          </w:tcPr>
          <w:p>
            <w:pPr>
              <w:spacing w:after="0"/>
              <w:rPr>
                <w:sz w:val="24"/>
                <w:szCs w:val="24"/>
                <w:color w:val="auto"/>
              </w:rPr>
            </w:pPr>
          </w:p>
        </w:tc>
        <w:tc>
          <w:tcPr>
            <w:tcW w:w="13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98"/>
        </w:trPr>
        <w:tc>
          <w:tcPr>
            <w:tcW w:w="14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MATTERS</w:t>
            </w:r>
          </w:p>
        </w:tc>
        <w:tc>
          <w:tcPr>
            <w:tcW w:w="660" w:type="dxa"/>
            <w:vAlign w:val="bottom"/>
          </w:tcPr>
          <w:p>
            <w:pPr>
              <w:spacing w:after="0"/>
              <w:rPr>
                <w:sz w:val="24"/>
                <w:szCs w:val="24"/>
                <w:color w:val="auto"/>
              </w:rPr>
            </w:pPr>
          </w:p>
        </w:tc>
        <w:tc>
          <w:tcPr>
            <w:tcW w:w="1000" w:type="dxa"/>
            <w:vAlign w:val="bottom"/>
            <w:gridSpan w:val="2"/>
          </w:tcPr>
          <w:p>
            <w:pPr>
              <w:spacing w:after="0"/>
              <w:rPr>
                <w:sz w:val="24"/>
                <w:szCs w:val="24"/>
                <w:color w:val="auto"/>
              </w:rPr>
            </w:pPr>
          </w:p>
        </w:tc>
        <w:tc>
          <w:tcPr>
            <w:tcW w:w="2200" w:type="dxa"/>
            <w:vAlign w:val="bottom"/>
            <w:gridSpan w:val="6"/>
          </w:tcPr>
          <w:p>
            <w:pPr>
              <w:spacing w:after="0"/>
              <w:rPr>
                <w:sz w:val="24"/>
                <w:szCs w:val="24"/>
                <w:color w:val="auto"/>
              </w:rPr>
            </w:pPr>
          </w:p>
        </w:tc>
        <w:tc>
          <w:tcPr>
            <w:tcW w:w="2260" w:type="dxa"/>
            <w:vAlign w:val="bottom"/>
            <w:gridSpan w:val="5"/>
          </w:tcPr>
          <w:p>
            <w:pPr>
              <w:spacing w:after="0"/>
              <w:rPr>
                <w:sz w:val="24"/>
                <w:szCs w:val="24"/>
                <w:color w:val="auto"/>
              </w:rPr>
            </w:pPr>
          </w:p>
        </w:tc>
        <w:tc>
          <w:tcPr>
            <w:tcW w:w="13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58"/>
        </w:trPr>
        <w:tc>
          <w:tcPr>
            <w:tcW w:w="53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SPECIAL NOTE REGARDING FORWARD-LOOKING STATEMENTS</w:t>
            </w:r>
          </w:p>
        </w:tc>
        <w:tc>
          <w:tcPr>
            <w:tcW w:w="2260" w:type="dxa"/>
            <w:vAlign w:val="bottom"/>
            <w:gridSpan w:val="5"/>
          </w:tcPr>
          <w:p>
            <w:pPr>
              <w:spacing w:after="0"/>
              <w:rPr>
                <w:sz w:val="24"/>
                <w:szCs w:val="24"/>
                <w:color w:val="auto"/>
              </w:rPr>
            </w:pPr>
          </w:p>
        </w:tc>
        <w:tc>
          <w:tcPr>
            <w:tcW w:w="13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58"/>
        </w:trPr>
        <w:tc>
          <w:tcPr>
            <w:tcW w:w="98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ANNEXES</w:t>
            </w:r>
          </w:p>
        </w:tc>
        <w:tc>
          <w:tcPr>
            <w:tcW w:w="1380" w:type="dxa"/>
            <w:vAlign w:val="bottom"/>
          </w:tcPr>
          <w:p>
            <w:pPr>
              <w:spacing w:after="0"/>
              <w:rPr>
                <w:sz w:val="24"/>
                <w:szCs w:val="24"/>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460" w:type="dxa"/>
            <w:vAlign w:val="bottom"/>
            <w:gridSpan w:val="11"/>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358"/>
        </w:trPr>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Annex A - Restated Plan</w:t>
            </w:r>
          </w:p>
        </w:tc>
        <w:tc>
          <w:tcPr>
            <w:tcW w:w="1000" w:type="dxa"/>
            <w:vAlign w:val="bottom"/>
            <w:gridSpan w:val="2"/>
          </w:tcPr>
          <w:p>
            <w:pPr>
              <w:spacing w:after="0"/>
              <w:rPr>
                <w:sz w:val="24"/>
                <w:szCs w:val="24"/>
                <w:color w:val="auto"/>
              </w:rPr>
            </w:pPr>
          </w:p>
        </w:tc>
        <w:tc>
          <w:tcPr>
            <w:tcW w:w="4460" w:type="dxa"/>
            <w:vAlign w:val="bottom"/>
            <w:gridSpan w:val="11"/>
          </w:tcPr>
          <w:p>
            <w:pPr>
              <w:spacing w:after="0"/>
              <w:rPr>
                <w:sz w:val="24"/>
                <w:szCs w:val="24"/>
                <w:color w:val="auto"/>
              </w:rPr>
            </w:pPr>
          </w:p>
        </w:tc>
        <w:tc>
          <w:tcPr>
            <w:tcW w:w="13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358"/>
        </w:trPr>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Annex B - Share Increase Amendment</w:t>
            </w:r>
          </w:p>
        </w:tc>
        <w:tc>
          <w:tcPr>
            <w:tcW w:w="4460" w:type="dxa"/>
            <w:vAlign w:val="bottom"/>
            <w:gridSpan w:val="11"/>
          </w:tcPr>
          <w:p>
            <w:pPr>
              <w:spacing w:after="0"/>
              <w:rPr>
                <w:sz w:val="24"/>
                <w:szCs w:val="24"/>
                <w:color w:val="auto"/>
              </w:rPr>
            </w:pPr>
          </w:p>
        </w:tc>
        <w:tc>
          <w:tcPr>
            <w:tcW w:w="13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r>
      <w:tr>
        <w:trPr>
          <w:trHeight w:val="358"/>
        </w:trPr>
        <w:tc>
          <w:tcPr>
            <w:tcW w:w="320" w:type="dxa"/>
            <w:vAlign w:val="bottom"/>
          </w:tcPr>
          <w:p>
            <w:pPr>
              <w:spacing w:after="0"/>
              <w:rPr>
                <w:sz w:val="24"/>
                <w:szCs w:val="24"/>
                <w:color w:val="auto"/>
              </w:rPr>
            </w:pPr>
          </w:p>
        </w:tc>
        <w:tc>
          <w:tcPr>
            <w:tcW w:w="8620" w:type="dxa"/>
            <w:vAlign w:val="bottom"/>
            <w:tcBorders>
              <w:bottom w:val="single" w:sz="8" w:color="0000FF"/>
            </w:tcBorders>
            <w:gridSpan w:val="19"/>
          </w:tcPr>
          <w:p>
            <w:pPr>
              <w:ind w:left="20"/>
              <w:spacing w:after="0"/>
              <w:rPr>
                <w:sz w:val="20"/>
                <w:szCs w:val="20"/>
                <w:color w:val="auto"/>
              </w:rPr>
            </w:pPr>
            <w:r>
              <w:rPr>
                <w:rFonts w:ascii="Times New Roman" w:cs="Times New Roman" w:eastAsia="Times New Roman" w:hAnsi="Times New Roman"/>
                <w:sz w:val="18"/>
                <w:szCs w:val="18"/>
                <w:color w:val="0000FF"/>
                <w:w w:val="99"/>
              </w:rPr>
              <w:t>Annex C - Form of Reverse Stock Split Amendment (if Share Increase Amendment is approved and becomes effective)</w:t>
            </w:r>
          </w:p>
        </w:tc>
        <w:tc>
          <w:tcPr>
            <w:tcW w:w="8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C-1</w:t>
            </w:r>
          </w:p>
        </w:tc>
      </w:tr>
      <w:tr>
        <w:trPr>
          <w:trHeight w:val="358"/>
        </w:trPr>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Annex D - Form of Reverse Stock Split Amendment (if Share Increase Amendment is not approved)</w:t>
            </w:r>
          </w:p>
        </w:tc>
        <w:tc>
          <w:tcPr>
            <w:tcW w:w="2220" w:type="dxa"/>
            <w:vAlign w:val="bottom"/>
            <w:gridSpan w:val="3"/>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w:t>
            </w: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27" w:right="35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671830</wp:posOffset>
            </wp:positionV>
            <wp:extent cx="2486025" cy="12001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48602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3115 Merryfield Row, Suite 120</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San Diego, CA 92121</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 FOR SPECIAL MEETING OF STOCKHOLDERS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at 9:00 a.m. Pacific Time on Tuesday, July 14, 2026</w:t>
      </w:r>
    </w:p>
    <w:p>
      <w:pPr>
        <w:spacing w:after="0" w:line="11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This proxy statement and form of proxy are furnished in connection with the solicitation of proxies by the Board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for use at the special meeting of stockholders (the “</w:t>
      </w:r>
      <w:r>
        <w:rPr>
          <w:rFonts w:ascii="Times New Roman" w:cs="Times New Roman" w:eastAsia="Times New Roman" w:hAnsi="Times New Roman"/>
          <w:sz w:val="18"/>
          <w:szCs w:val="18"/>
          <w:b w:val="1"/>
          <w:bCs w:val="1"/>
          <w:i w:val="1"/>
          <w:iCs w:val="1"/>
          <w:color w:val="auto"/>
        </w:rPr>
        <w:t>Special Meeting</w:t>
      </w:r>
      <w:r>
        <w:rPr>
          <w:rFonts w:ascii="Times New Roman" w:cs="Times New Roman" w:eastAsia="Times New Roman" w:hAnsi="Times New Roman"/>
          <w:sz w:val="18"/>
          <w:szCs w:val="18"/>
          <w:color w:val="auto"/>
        </w:rPr>
        <w:t>”), of Gossamer Bio, Inc., a Delaware corporation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Gossamer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any postponements, adjournments or continuations thereof. The Special Meeting will be held virtually, via live webcast on Tuesday, July 14, 2026 at 9:00 a.m. Pacific Time. To participate in the Special Meeting, you must register at www.proxydocs.com/GOSS by 5:00 p.m. Pacific Time on July 13, 2026 (the “</w:t>
      </w:r>
      <w:r>
        <w:rPr>
          <w:rFonts w:ascii="Times New Roman" w:cs="Times New Roman" w:eastAsia="Times New Roman" w:hAnsi="Times New Roman"/>
          <w:sz w:val="18"/>
          <w:szCs w:val="18"/>
          <w:b w:val="1"/>
          <w:bCs w:val="1"/>
          <w:i w:val="1"/>
          <w:iCs w:val="1"/>
          <w:color w:val="auto"/>
        </w:rPr>
        <w:t>Registration Deadline</w:t>
      </w:r>
      <w:r>
        <w:rPr>
          <w:rFonts w:ascii="Times New Roman" w:cs="Times New Roman" w:eastAsia="Times New Roman" w:hAnsi="Times New Roman"/>
          <w:sz w:val="18"/>
          <w:szCs w:val="18"/>
          <w:color w:val="auto"/>
        </w:rPr>
        <w:t>”) with your Control Number included on your proxy card if you are a stockholder of record of shares of Common Stock, or included with your voting instructions received from your broker, bank or other nominee if you are a street name stockholder, as described below. After completion of your registration by the Registration Deadline, further instructions, including a unique link to access the Special Meeting, will be emailed to you. You will not be able to attend the Special Meeting physically in person.</w:t>
      </w:r>
    </w:p>
    <w:p>
      <w:pPr>
        <w:spacing w:after="0" w:line="8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Board has fixed 4:00 p.m. Eastern Time on June 5, 2026 as the record date (the “Record Date”), for the Special Meeting. Stockholders of record as of the Record Date are entitled to notice of and to vote at the Special Meeting. This proxy statement, the notice and the proxy card will be mailed on or about June 9, 2026 to all stockholders entitled to vote at the Special Meeting.</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Please read the entire proxy statement carefully. You may obtain additional information about the Company from documents we file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QUESTIONS AND ANSWERS ABOUT THE PROXY MATERIALS AND SPECIAL MEETING</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information provided in the “question and answer” format below is for your convenience only.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are you holding the Special Meeting?</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holding the Special Meeting for our stockholders to consider various proposals arising out of the Company’s offer to exchange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Offer</w:t>
      </w:r>
      <w:r>
        <w:rPr>
          <w:rFonts w:ascii="Times New Roman" w:cs="Times New Roman" w:eastAsia="Times New Roman" w:hAnsi="Times New Roman"/>
          <w:sz w:val="18"/>
          <w:szCs w:val="18"/>
          <w:color w:val="auto"/>
        </w:rPr>
        <w:t>”), its outstanding $200.0 million in aggregate principal amount of 5.00% Convertible Senior Notes due 2027 (the “</w:t>
      </w:r>
      <w:r>
        <w:rPr>
          <w:rFonts w:ascii="Times New Roman" w:cs="Times New Roman" w:eastAsia="Times New Roman" w:hAnsi="Times New Roman"/>
          <w:sz w:val="18"/>
          <w:szCs w:val="18"/>
          <w:b w:val="1"/>
          <w:bCs w:val="1"/>
          <w:i w:val="1"/>
          <w:iCs w:val="1"/>
          <w:color w:val="auto"/>
        </w:rPr>
        <w:t>Existing Convertible Notes</w:t>
      </w:r>
      <w:r>
        <w:rPr>
          <w:rFonts w:ascii="Times New Roman" w:cs="Times New Roman" w:eastAsia="Times New Roman" w:hAnsi="Times New Roman"/>
          <w:sz w:val="18"/>
          <w:szCs w:val="18"/>
          <w:color w:val="auto"/>
        </w:rPr>
        <w:t>”),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combination of (i) up to $72.0 million in aggregate principal amount of newly issued 7.50% Convertible Senior Secured First Lien Notes due 2030, which will be unconditionally guaranteed on a senior first-priority secured basis by each of the Company’s current and future wholly-owned domestic subsidiaries, subject to certain customary exceptions (the “</w:t>
      </w:r>
      <w:r>
        <w:rPr>
          <w:rFonts w:ascii="Times New Roman" w:cs="Times New Roman" w:eastAsia="Times New Roman" w:hAnsi="Times New Roman"/>
          <w:sz w:val="18"/>
          <w:szCs w:val="18"/>
          <w:b w:val="1"/>
          <w:bCs w:val="1"/>
          <w:i w:val="1"/>
          <w:iCs w:val="1"/>
          <w:color w:val="auto"/>
        </w:rPr>
        <w:t>New Convertible Notes</w:t>
      </w:r>
      <w:r>
        <w:rPr>
          <w:rFonts w:ascii="Times New Roman" w:cs="Times New Roman" w:eastAsia="Times New Roman" w:hAnsi="Times New Roman"/>
          <w:sz w:val="18"/>
          <w:szCs w:val="18"/>
          <w:color w:val="auto"/>
        </w:rPr>
        <w:t>”), (ii) up to 317,647,058 shares (the “</w:t>
      </w:r>
      <w:r>
        <w:rPr>
          <w:rFonts w:ascii="Times New Roman" w:cs="Times New Roman" w:eastAsia="Times New Roman" w:hAnsi="Times New Roman"/>
          <w:sz w:val="18"/>
          <w:szCs w:val="18"/>
          <w:b w:val="1"/>
          <w:bCs w:val="1"/>
          <w:i w:val="1"/>
          <w:iCs w:val="1"/>
          <w:color w:val="auto"/>
        </w:rPr>
        <w:t>New Shares</w:t>
      </w:r>
      <w:r>
        <w:rPr>
          <w:rFonts w:ascii="Times New Roman" w:cs="Times New Roman" w:eastAsia="Times New Roman" w:hAnsi="Times New Roman"/>
          <w:sz w:val="18"/>
          <w:szCs w:val="18"/>
          <w:color w:val="auto"/>
        </w:rPr>
        <w:t>”), of the Company’s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or, in lieu of issuing shares of Common Stock to the extent such shares would cause any Eligible Holder (as defined below) to beneficially own greater than 9.99% of the outstanding Common Stock, prefunded warrants to purchase shares of Common Stock (the “</w:t>
      </w:r>
      <w:r>
        <w:rPr>
          <w:rFonts w:ascii="Times New Roman" w:cs="Times New Roman" w:eastAsia="Times New Roman" w:hAnsi="Times New Roman"/>
          <w:sz w:val="18"/>
          <w:szCs w:val="18"/>
          <w:b w:val="1"/>
          <w:bCs w:val="1"/>
          <w:i w:val="1"/>
          <w:iCs w:val="1"/>
          <w:color w:val="auto"/>
        </w:rPr>
        <w:t>Prefunded Warrants</w:t>
      </w:r>
      <w:r>
        <w:rPr>
          <w:rFonts w:ascii="Times New Roman" w:cs="Times New Roman" w:eastAsia="Times New Roman" w:hAnsi="Times New Roman"/>
          <w:sz w:val="18"/>
          <w:szCs w:val="18"/>
          <w:color w:val="auto"/>
        </w:rPr>
        <w:t>” and, together with the New Shares, the “</w:t>
      </w:r>
      <w:r>
        <w:rPr>
          <w:rFonts w:ascii="Times New Roman" w:cs="Times New Roman" w:eastAsia="Times New Roman" w:hAnsi="Times New Roman"/>
          <w:sz w:val="18"/>
          <w:szCs w:val="18"/>
          <w:b w:val="1"/>
          <w:bCs w:val="1"/>
          <w:i w:val="1"/>
          <w:iCs w:val="1"/>
          <w:color w:val="auto"/>
        </w:rPr>
        <w:t>Equity Securities</w:t>
      </w:r>
      <w:r>
        <w:rPr>
          <w:rFonts w:ascii="Times New Roman" w:cs="Times New Roman" w:eastAsia="Times New Roman" w:hAnsi="Times New Roman"/>
          <w:sz w:val="18"/>
          <w:szCs w:val="18"/>
          <w:color w:val="auto"/>
        </w:rPr>
        <w:t>”), and (iii) with respect to Eligible Holders who validly tendered (and did not validly withdraw at or prior to 5:00 p.m., New York City Time, on June 1, 2026 (the “</w:t>
      </w:r>
      <w:r>
        <w:rPr>
          <w:rFonts w:ascii="Times New Roman" w:cs="Times New Roman" w:eastAsia="Times New Roman" w:hAnsi="Times New Roman"/>
          <w:sz w:val="18"/>
          <w:szCs w:val="18"/>
          <w:b w:val="1"/>
          <w:bCs w:val="1"/>
          <w:i w:val="1"/>
          <w:iCs w:val="1"/>
          <w:color w:val="auto"/>
        </w:rPr>
        <w:t>Withdrawal Deadline</w:t>
      </w:r>
      <w:r>
        <w:rPr>
          <w:rFonts w:ascii="Times New Roman" w:cs="Times New Roman" w:eastAsia="Times New Roman" w:hAnsi="Times New Roman"/>
          <w:sz w:val="18"/>
          <w:szCs w:val="18"/>
          <w:color w:val="auto"/>
        </w:rPr>
        <w:t>”)) their Existing Convertible Notes and validly delivered their related Consents (as defined below) at or prior to the extended early tender date of 5:00 p.m., New York City time, on June 2, 2026 (such time and date, the “</w:t>
      </w:r>
      <w:r>
        <w:rPr>
          <w:rFonts w:ascii="Times New Roman" w:cs="Times New Roman" w:eastAsia="Times New Roman" w:hAnsi="Times New Roman"/>
          <w:sz w:val="18"/>
          <w:szCs w:val="18"/>
          <w:b w:val="1"/>
          <w:bCs w:val="1"/>
          <w:i w:val="1"/>
          <w:iCs w:val="1"/>
          <w:color w:val="auto"/>
        </w:rPr>
        <w:t>Extended Early Tender Date</w:t>
      </w:r>
      <w:r>
        <w:rPr>
          <w:rFonts w:ascii="Times New Roman" w:cs="Times New Roman" w:eastAsia="Times New Roman" w:hAnsi="Times New Roman"/>
          <w:sz w:val="18"/>
          <w:szCs w:val="18"/>
          <w:color w:val="auto"/>
        </w:rPr>
        <w:t>”), 135,789,000 warrants to purchase shares of Common Stock (the “</w:t>
      </w:r>
      <w:r>
        <w:rPr>
          <w:rFonts w:ascii="Times New Roman" w:cs="Times New Roman" w:eastAsia="Times New Roman" w:hAnsi="Times New Roman"/>
          <w:sz w:val="18"/>
          <w:szCs w:val="18"/>
          <w:b w:val="1"/>
          <w:bCs w:val="1"/>
          <w:i w:val="1"/>
          <w:iCs w:val="1"/>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and, together with the New Convertible Notes and the Equity Securities, the “</w:t>
      </w:r>
      <w:r>
        <w:rPr>
          <w:rFonts w:ascii="Times New Roman" w:cs="Times New Roman" w:eastAsia="Times New Roman" w:hAnsi="Times New Roman"/>
          <w:sz w:val="18"/>
          <w:szCs w:val="18"/>
          <w:b w:val="1"/>
          <w:bCs w:val="1"/>
          <w:i w:val="1"/>
          <w:iCs w:val="1"/>
          <w:color w:val="auto"/>
        </w:rPr>
        <w:t>Offered Securities</w:t>
      </w:r>
      <w:r>
        <w:rPr>
          <w:rFonts w:ascii="Times New Roman" w:cs="Times New Roman" w:eastAsia="Times New Roman" w:hAnsi="Times New Roman"/>
          <w:sz w:val="18"/>
          <w:szCs w:val="18"/>
          <w:color w:val="auto"/>
        </w:rPr>
        <w:t>”). The Exchange Offer is intended to address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future debt</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ind w:right="100"/>
        <w:spacing w:after="0" w:line="261" w:lineRule="auto"/>
        <w:rPr>
          <w:sz w:val="20"/>
          <w:szCs w:val="20"/>
          <w:color w:val="auto"/>
        </w:rPr>
      </w:pPr>
      <w:r>
        <w:rPr>
          <w:rFonts w:ascii="Times New Roman" w:cs="Times New Roman" w:eastAsia="Times New Roman" w:hAnsi="Times New Roman"/>
          <w:sz w:val="18"/>
          <w:szCs w:val="18"/>
          <w:color w:val="auto"/>
        </w:rPr>
        <w:t>repayment obligations related to the Existing Convertible Notes in a timely and organized manner prior to their maturity, provide the Company with an enhanced capital structure and strengthen the Company’s balance sheet. The Exchange Offer itself is not subject to stockholder approval. See the sections of this proxy statement entitled “Background of the Special Meeting—Exchange Offer,” “Proposal No. 1: Nasdaq 5635(d) Issuance of Additional Shares” and “Proposal No. 3: Authorized Share Increase” for additional information concerning the Exchange Offer and the New Convertible Notes.</w:t>
      </w:r>
    </w:p>
    <w:p>
      <w:pPr>
        <w:spacing w:after="0" w:line="7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connection with the Exchange Offer, we are holding the Special Meeting for our stockholders to consider a proposal to approve an amendment and restatement of the Gossamer Bio, Inc. 2019 Incentive Award Plan (the “</w:t>
      </w:r>
      <w:r>
        <w:rPr>
          <w:rFonts w:ascii="Times New Roman" w:cs="Times New Roman" w:eastAsia="Times New Roman" w:hAnsi="Times New Roman"/>
          <w:sz w:val="18"/>
          <w:szCs w:val="18"/>
          <w:b w:val="1"/>
          <w:bCs w:val="1"/>
          <w:i w:val="1"/>
          <w:iCs w:val="1"/>
          <w:color w:val="auto"/>
        </w:rPr>
        <w:t>Restated Plan</w:t>
      </w:r>
      <w:r>
        <w:rPr>
          <w:rFonts w:ascii="Times New Roman" w:cs="Times New Roman" w:eastAsia="Times New Roman" w:hAnsi="Times New Roman"/>
          <w:sz w:val="18"/>
          <w:szCs w:val="18"/>
          <w:color w:val="auto"/>
        </w:rPr>
        <w:t>”), which was approved by the Board on May 15, 2026, to increase the number of shares of Common Stock authorized for issuance thereunder. The Restated Plan was effective on May 18, 2026, subject to the occurrence of the Closing Date (as defined below) and stockholder approval at the Special Meeting. See the sections of this proxy statement entitled “Background of the Special Meeting—Restated Plan” and “Proposal No. 2: Amendment and Restatement of the 2019 Incentive Award Plan” for additional information concerning the Restated Plan.</w:t>
      </w:r>
    </w:p>
    <w:p>
      <w:pPr>
        <w:spacing w:after="0" w:line="7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addition, we are holding the Special Meeting for our stockholders to consider a reverse stock split proposal to provide the Board with the authority and flexibility to effect a reverse stock split at a later date, if and when needed, in the event it determines that a reverse stock split is in the best interests of the Company and our stockholders. See the section of this proxy statement entitled “Proposal No. 4: Reverse Stock Split” for additional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stockholders attend the Special Meeting?</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will be hosting the Special Meeting via live webcast only. To participate in the virtual Special Meeting, you must register at www.proxydocs.com/GOSS by the Registration Deadline of 5:00 p.m. Pacific Time on July 13, 2026 with your Control Number included on your proxy card if you are a stockholder of record of shares of Common Stock, or included with your voting instructions received from your broker, bank or other nominee if you are a street name stockholder, as described below. After completion of your registration by the Registration Deadline, further instructions, including a unique link to access the Special Meeting, will be emailed to you.</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Special Meeting live webcast will begin promptly at 9:00 a.m. Pacific Time on Tuesday, July 14, 2026. Stockholders may vote and submit questions in advance of the Special Meeting by following the instructions and rules of conduct on the Special Meeting website. We intend to answer questions that are pertinent to the official business of the Special Meeting during the Special Meeting, subject to time constraints. We encourage you to access the meeting prior to the start time. Online check-in will begin at 8:45 a.m. Pacific Time, and you should allow ample time for the check-in procedures.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matters am I voting on, what is the purpose of each proposal, are there any conditions, and how does the Board recommend that I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10" w:name="page11"/>
    <w:bookmarkEnd w:id="10"/>
    <w:p>
      <w:pPr>
        <w:jc w:val="center"/>
        <w:ind w:left="80"/>
        <w:spacing w:after="0"/>
        <w:rPr>
          <w:sz w:val="20"/>
          <w:szCs w:val="20"/>
          <w:color w:val="auto"/>
        </w:rPr>
      </w:pPr>
      <w:r>
        <w:rPr>
          <w:rFonts w:ascii="Times New Roman" w:cs="Times New Roman" w:eastAsia="Times New Roman" w:hAnsi="Times New Roman"/>
          <w:sz w:val="18"/>
          <w:szCs w:val="18"/>
          <w:color w:val="auto"/>
        </w:rPr>
        <w:t>PROPOSAL</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PROPOSAL NO. 1</w:t>
      </w:r>
    </w:p>
    <w:p>
      <w:pPr>
        <w:spacing w:after="0" w:line="23" w:lineRule="exact"/>
        <w:rPr>
          <w:sz w:val="20"/>
          <w:szCs w:val="20"/>
          <w:color w:val="auto"/>
        </w:rPr>
      </w:pPr>
    </w:p>
    <w:p>
      <w:pPr>
        <w:ind w:left="20" w:right="40"/>
        <w:spacing w:after="0" w:line="233" w:lineRule="auto"/>
        <w:rPr>
          <w:sz w:val="20"/>
          <w:szCs w:val="20"/>
          <w:color w:val="auto"/>
        </w:rPr>
      </w:pPr>
      <w:r>
        <w:rPr>
          <w:rFonts w:ascii="Times New Roman" w:cs="Times New Roman" w:eastAsia="Times New Roman" w:hAnsi="Times New Roman"/>
          <w:sz w:val="17"/>
          <w:szCs w:val="17"/>
          <w:color w:val="auto"/>
        </w:rPr>
        <w:t>To approve, in accordance with Nasdaq Listing Rule 5635(d), the potential issuance of shares of Common Stock</w:t>
      </w:r>
    </w:p>
    <w:p>
      <w:pPr>
        <w:ind w:left="20" w:right="60"/>
        <w:spacing w:after="0" w:line="208" w:lineRule="auto"/>
        <w:rPr>
          <w:sz w:val="20"/>
          <w:szCs w:val="20"/>
          <w:color w:val="auto"/>
        </w:rPr>
      </w:pPr>
      <w:r>
        <w:rPr>
          <w:rFonts w:ascii="Times New Roman" w:cs="Times New Roman" w:eastAsia="Times New Roman" w:hAnsi="Times New Roman"/>
          <w:sz w:val="18"/>
          <w:szCs w:val="18"/>
          <w:color w:val="auto"/>
        </w:rPr>
        <w:t>upon (i) conversion of up to $72.0 million in aggregate principal amount of the New Convertible Notes and make-whole payments in the form of Common Stock, and (ii)</w:t>
      </w:r>
    </w:p>
    <w:p>
      <w:pPr>
        <w:spacing w:after="0" w:line="2" w:lineRule="exact"/>
        <w:rPr>
          <w:sz w:val="20"/>
          <w:szCs w:val="20"/>
          <w:color w:val="auto"/>
        </w:rPr>
      </w:pPr>
    </w:p>
    <w:p>
      <w:pPr>
        <w:ind w:left="20"/>
        <w:spacing w:after="0" w:line="208" w:lineRule="auto"/>
        <w:rPr>
          <w:sz w:val="20"/>
          <w:szCs w:val="20"/>
          <w:color w:val="auto"/>
        </w:rPr>
      </w:pPr>
      <w:r>
        <w:rPr>
          <w:rFonts w:ascii="Times New Roman" w:cs="Times New Roman" w:eastAsia="Times New Roman" w:hAnsi="Times New Roman"/>
          <w:sz w:val="18"/>
          <w:szCs w:val="18"/>
          <w:color w:val="auto"/>
        </w:rPr>
        <w:t>exercise of 135,789,000 Purchase Warrants, which issuances would, in the aggregate, exceed 20% of the number of shares of Common Stock issued and outstanding</w:t>
      </w:r>
    </w:p>
    <w:p>
      <w:pPr>
        <w:spacing w:after="0" w:line="2" w:lineRule="exact"/>
        <w:rPr>
          <w:sz w:val="20"/>
          <w:szCs w:val="20"/>
          <w:color w:val="auto"/>
        </w:rPr>
      </w:pPr>
    </w:p>
    <w:p>
      <w:pPr>
        <w:jc w:val="both"/>
        <w:ind w:left="20" w:right="340"/>
        <w:spacing w:after="0" w:line="218" w:lineRule="auto"/>
        <w:rPr>
          <w:sz w:val="20"/>
          <w:szCs w:val="20"/>
          <w:color w:val="auto"/>
        </w:rPr>
      </w:pPr>
      <w:r>
        <w:rPr>
          <w:rFonts w:ascii="Times New Roman" w:cs="Times New Roman" w:eastAsia="Times New Roman" w:hAnsi="Times New Roman"/>
          <w:sz w:val="18"/>
          <w:szCs w:val="18"/>
          <w:color w:val="auto"/>
        </w:rPr>
        <w:t>immediately prior to the time of commencement of the Exchange Offer, as described in Proposal No. 1 in the accompanying proxy statement.</w:t>
      </w:r>
    </w:p>
    <w:p>
      <w:pPr>
        <w:spacing w:after="0" w:line="20" w:lineRule="exact"/>
        <w:rPr>
          <w:sz w:val="20"/>
          <w:szCs w:val="20"/>
          <w:color w:val="auto"/>
        </w:rPr>
      </w:pPr>
      <w:r>
        <w:rPr>
          <w:sz w:val="20"/>
          <w:szCs w:val="20"/>
          <w:color w:val="auto"/>
        </w:rPr>
        <w:br w:type="column"/>
      </w:r>
    </w:p>
    <w:p>
      <w:pPr>
        <w:ind w:left="1860"/>
        <w:spacing w:after="0"/>
        <w:tabs>
          <w:tab w:leader="none" w:pos="5080" w:val="left"/>
        </w:tabs>
        <w:rPr>
          <w:sz w:val="20"/>
          <w:szCs w:val="20"/>
          <w:color w:val="auto"/>
        </w:rPr>
      </w:pPr>
      <w:r>
        <w:rPr>
          <w:rFonts w:ascii="Times New Roman" w:cs="Times New Roman" w:eastAsia="Times New Roman" w:hAnsi="Times New Roman"/>
          <w:sz w:val="18"/>
          <w:szCs w:val="18"/>
          <w:color w:val="auto"/>
        </w:rPr>
        <w:t>PURPOSE</w:t>
      </w:r>
      <w:r>
        <w:rPr>
          <w:sz w:val="20"/>
          <w:szCs w:val="20"/>
          <w:color w:val="auto"/>
        </w:rPr>
        <w:tab/>
      </w:r>
      <w:r>
        <w:rPr>
          <w:rFonts w:ascii="Times New Roman" w:cs="Times New Roman" w:eastAsia="Times New Roman" w:hAnsi="Times New Roman"/>
          <w:sz w:val="18"/>
          <w:szCs w:val="18"/>
          <w:color w:val="auto"/>
        </w:rPr>
        <w:t>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-127635</wp:posOffset>
            </wp:positionV>
            <wp:extent cx="708914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9140" cy="146050"/>
                    </a:xfrm>
                    <a:prstGeom prst="rect">
                      <a:avLst/>
                    </a:prstGeom>
                    <a:noFill/>
                  </pic:spPr>
                </pic:pic>
              </a:graphicData>
            </a:graphic>
          </wp:anchor>
        </w:drawing>
      </w:r>
    </w:p>
    <w:p>
      <w:pPr>
        <w:spacing w:after="0" w:line="221" w:lineRule="exact"/>
        <w:rPr>
          <w:sz w:val="20"/>
          <w:szCs w:val="20"/>
          <w:color w:val="auto"/>
        </w:rPr>
      </w:pPr>
    </w:p>
    <w:p>
      <w:pPr>
        <w:spacing w:after="0"/>
        <w:tabs>
          <w:tab w:leader="none" w:pos="4520" w:val="left"/>
        </w:tabs>
        <w:rPr>
          <w:sz w:val="20"/>
          <w:szCs w:val="20"/>
          <w:color w:val="auto"/>
        </w:rPr>
      </w:pPr>
      <w:r>
        <w:rPr>
          <w:rFonts w:ascii="Times New Roman" w:cs="Times New Roman" w:eastAsia="Times New Roman" w:hAnsi="Times New Roman"/>
          <w:sz w:val="18"/>
          <w:szCs w:val="18"/>
          <w:color w:val="auto"/>
        </w:rPr>
        <w:t>Because the conversion of the New Convertible Notes into</w:t>
      </w:r>
      <w:r>
        <w:rPr>
          <w:sz w:val="20"/>
          <w:szCs w:val="20"/>
          <w:color w:val="auto"/>
        </w:rPr>
        <w:tab/>
      </w:r>
      <w:r>
        <w:rPr>
          <w:rFonts w:ascii="Times New Roman" w:cs="Times New Roman" w:eastAsia="Times New Roman" w:hAnsi="Times New Roman"/>
          <w:sz w:val="17"/>
          <w:szCs w:val="17"/>
          <w:color w:val="auto"/>
        </w:rPr>
        <w:t>Approval of Proposal No. 1 is</w:t>
      </w:r>
    </w:p>
    <w:p>
      <w:pPr>
        <w:spacing w:after="0" w:line="219" w:lineRule="auto"/>
        <w:tabs>
          <w:tab w:leader="none" w:pos="4520" w:val="left"/>
        </w:tabs>
        <w:rPr>
          <w:sz w:val="20"/>
          <w:szCs w:val="20"/>
          <w:color w:val="auto"/>
        </w:rPr>
      </w:pPr>
      <w:r>
        <w:rPr>
          <w:rFonts w:ascii="Times New Roman" w:cs="Times New Roman" w:eastAsia="Times New Roman" w:hAnsi="Times New Roman"/>
          <w:sz w:val="18"/>
          <w:szCs w:val="18"/>
          <w:color w:val="auto"/>
        </w:rPr>
        <w:t>shares of Common Stock, or make-whole payments in the</w:t>
      </w:r>
      <w:r>
        <w:rPr>
          <w:sz w:val="20"/>
          <w:szCs w:val="20"/>
          <w:color w:val="auto"/>
        </w:rPr>
        <w:tab/>
      </w:r>
      <w:r>
        <w:rPr>
          <w:rFonts w:ascii="Times New Roman" w:cs="Times New Roman" w:eastAsia="Times New Roman" w:hAnsi="Times New Roman"/>
          <w:sz w:val="18"/>
          <w:szCs w:val="18"/>
          <w:color w:val="auto"/>
        </w:rPr>
        <w:t>conditioned upon approval of</w:t>
      </w:r>
    </w:p>
    <w:p>
      <w:pPr>
        <w:spacing w:after="0" w:line="215" w:lineRule="auto"/>
        <w:tabs>
          <w:tab w:leader="none" w:pos="4520" w:val="left"/>
        </w:tabs>
        <w:rPr>
          <w:sz w:val="20"/>
          <w:szCs w:val="20"/>
          <w:color w:val="auto"/>
        </w:rPr>
      </w:pPr>
      <w:r>
        <w:rPr>
          <w:rFonts w:ascii="Times New Roman" w:cs="Times New Roman" w:eastAsia="Times New Roman" w:hAnsi="Times New Roman"/>
          <w:sz w:val="18"/>
          <w:szCs w:val="18"/>
          <w:color w:val="auto"/>
        </w:rPr>
        <w:t>form of Common Stock, and the exercise of the Purchase</w:t>
      </w:r>
      <w:r>
        <w:rPr>
          <w:sz w:val="20"/>
          <w:szCs w:val="20"/>
          <w:color w:val="auto"/>
        </w:rPr>
        <w:tab/>
      </w:r>
      <w:r>
        <w:rPr>
          <w:rFonts w:ascii="Times New Roman" w:cs="Times New Roman" w:eastAsia="Times New Roman" w:hAnsi="Times New Roman"/>
          <w:sz w:val="17"/>
          <w:szCs w:val="17"/>
          <w:color w:val="auto"/>
        </w:rPr>
        <w:t>Proposal No. 3.</w:t>
      </w:r>
    </w:p>
    <w:p>
      <w:pPr>
        <w:spacing w:after="0" w:line="204" w:lineRule="auto"/>
        <w:rPr>
          <w:sz w:val="20"/>
          <w:szCs w:val="20"/>
          <w:color w:val="auto"/>
        </w:rPr>
      </w:pPr>
      <w:r>
        <w:rPr>
          <w:rFonts w:ascii="Times New Roman" w:cs="Times New Roman" w:eastAsia="Times New Roman" w:hAnsi="Times New Roman"/>
          <w:sz w:val="18"/>
          <w:szCs w:val="18"/>
          <w:color w:val="auto"/>
        </w:rPr>
        <w:t>Warrants, would, in the aggregate, result in the potential</w:t>
      </w:r>
    </w:p>
    <w:p>
      <w:pPr>
        <w:spacing w:after="0" w:line="219" w:lineRule="auto"/>
        <w:rPr>
          <w:sz w:val="20"/>
          <w:szCs w:val="20"/>
          <w:color w:val="auto"/>
        </w:rPr>
      </w:pPr>
      <w:r>
        <w:rPr>
          <w:rFonts w:ascii="Times New Roman" w:cs="Times New Roman" w:eastAsia="Times New Roman" w:hAnsi="Times New Roman"/>
          <w:sz w:val="18"/>
          <w:szCs w:val="18"/>
          <w:color w:val="auto"/>
        </w:rPr>
        <w:t>issuance of greater than 20% of the number of shares of</w:t>
      </w:r>
    </w:p>
    <w:p>
      <w:pPr>
        <w:ind w:right="2440"/>
        <w:spacing w:after="0" w:line="208" w:lineRule="auto"/>
        <w:rPr>
          <w:sz w:val="20"/>
          <w:szCs w:val="20"/>
          <w:color w:val="auto"/>
        </w:rPr>
      </w:pPr>
      <w:r>
        <w:rPr>
          <w:rFonts w:ascii="Times New Roman" w:cs="Times New Roman" w:eastAsia="Times New Roman" w:hAnsi="Times New Roman"/>
          <w:sz w:val="18"/>
          <w:szCs w:val="18"/>
          <w:color w:val="auto"/>
        </w:rPr>
        <w:t>Common Stock issued and outstanding immediately prior to the time of commencement of the Exchange Offer, we are required to obtain stockholder approval for such potential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issuances pursuant to Nasdaq Listing Rule 5635(d).</w:t>
      </w:r>
    </w:p>
    <w:p>
      <w:pPr>
        <w:spacing w:after="0" w:line="493" w:lineRule="exact"/>
        <w:rPr>
          <w:sz w:val="20"/>
          <w:szCs w:val="20"/>
          <w:color w:val="auto"/>
        </w:rPr>
      </w:pPr>
    </w:p>
    <w:p>
      <w:pPr>
        <w:sectPr>
          <w:pgSz w:w="11900" w:h="16838" w:orient="portrait"/>
          <w:cols w:equalWidth="0" w:num="2">
            <w:col w:w="4320" w:space="80"/>
            <w:col w:w="6780"/>
          </w:cols>
          <w:pgMar w:left="320" w:top="1080" w:right="399" w:bottom="1440" w:gutter="0" w:footer="0" w:header="0"/>
        </w:sectPr>
      </w:pPr>
    </w:p>
    <w:tbl>
      <w:tblPr>
        <w:tblLayout w:type="fixed"/>
        <w:tblInd w:w="0" w:type="dxa"/>
        <w:tblCellMar>
          <w:top w:w="0" w:type="dxa"/>
          <w:left w:w="0" w:type="dxa"/>
          <w:bottom w:w="0" w:type="dxa"/>
          <w:right w:w="0" w:type="dxa"/>
        </w:tblCellMar>
      </w:tblPr>
      <w:tr>
        <w:trPr>
          <w:trHeight w:val="229"/>
        </w:trPr>
        <w:tc>
          <w:tcPr>
            <w:tcW w:w="43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PROPOSAL NO. 2</w:t>
            </w:r>
          </w:p>
        </w:tc>
        <w:tc>
          <w:tcPr>
            <w:tcW w:w="4540" w:type="dxa"/>
            <w:vAlign w:val="bottom"/>
            <w:shd w:val="clear" w:color="auto" w:fill="DBDBDB"/>
          </w:tcPr>
          <w:p>
            <w:pPr>
              <w:spacing w:after="0"/>
              <w:rPr>
                <w:sz w:val="19"/>
                <w:szCs w:val="19"/>
                <w:color w:val="auto"/>
              </w:rPr>
            </w:pPr>
          </w:p>
        </w:tc>
        <w:tc>
          <w:tcPr>
            <w:tcW w:w="2260" w:type="dxa"/>
            <w:vAlign w:val="bottom"/>
            <w:shd w:val="clear" w:color="auto" w:fill="DBDBDB"/>
          </w:tcPr>
          <w:p>
            <w:pPr>
              <w:spacing w:after="0"/>
              <w:rPr>
                <w:sz w:val="19"/>
                <w:szCs w:val="19"/>
                <w:color w:val="auto"/>
              </w:rPr>
            </w:pPr>
          </w:p>
        </w:tc>
      </w:tr>
      <w:tr>
        <w:trPr>
          <w:trHeight w:val="176"/>
        </w:trPr>
        <w:tc>
          <w:tcPr>
            <w:tcW w:w="4380" w:type="dxa"/>
            <w:vAlign w:val="bottom"/>
            <w:shd w:val="clear" w:color="auto" w:fill="DBDBDB"/>
          </w:tcPr>
          <w:p>
            <w:pPr>
              <w:ind w:left="20"/>
              <w:spacing w:after="0" w:line="176" w:lineRule="exact"/>
              <w:rPr>
                <w:sz w:val="20"/>
                <w:szCs w:val="20"/>
                <w:color w:val="auto"/>
              </w:rPr>
            </w:pPr>
            <w:r>
              <w:rPr>
                <w:rFonts w:ascii="Times New Roman" w:cs="Times New Roman" w:eastAsia="Times New Roman" w:hAnsi="Times New Roman"/>
                <w:sz w:val="18"/>
                <w:szCs w:val="18"/>
                <w:color w:val="auto"/>
              </w:rPr>
              <w:t>To approve the Restated Plan to increase the number of</w:t>
            </w:r>
          </w:p>
        </w:tc>
        <w:tc>
          <w:tcPr>
            <w:tcW w:w="4540" w:type="dxa"/>
            <w:vAlign w:val="bottom"/>
            <w:shd w:val="clear" w:color="auto" w:fill="DBDBDB"/>
          </w:tcPr>
          <w:p>
            <w:pPr>
              <w:ind w:left="20"/>
              <w:spacing w:after="0" w:line="176" w:lineRule="exact"/>
              <w:rPr>
                <w:sz w:val="20"/>
                <w:szCs w:val="20"/>
                <w:color w:val="auto"/>
              </w:rPr>
            </w:pPr>
            <w:r>
              <w:rPr>
                <w:rFonts w:ascii="Times New Roman" w:cs="Times New Roman" w:eastAsia="Times New Roman" w:hAnsi="Times New Roman"/>
                <w:sz w:val="18"/>
                <w:szCs w:val="18"/>
                <w:color w:val="auto"/>
              </w:rPr>
              <w:t>As a result of the substantial dilution that has occurred as a</w:t>
            </w:r>
          </w:p>
        </w:tc>
        <w:tc>
          <w:tcPr>
            <w:tcW w:w="2260" w:type="dxa"/>
            <w:vAlign w:val="bottom"/>
            <w:shd w:val="clear" w:color="auto" w:fill="DBDBDB"/>
          </w:tcPr>
          <w:p>
            <w:pPr>
              <w:ind w:left="20"/>
              <w:spacing w:after="0" w:line="176" w:lineRule="exact"/>
              <w:rPr>
                <w:sz w:val="20"/>
                <w:szCs w:val="20"/>
                <w:color w:val="auto"/>
              </w:rPr>
            </w:pPr>
            <w:r>
              <w:rPr>
                <w:rFonts w:ascii="Times New Roman" w:cs="Times New Roman" w:eastAsia="Times New Roman" w:hAnsi="Times New Roman"/>
                <w:sz w:val="18"/>
                <w:szCs w:val="18"/>
                <w:color w:val="auto"/>
              </w:rPr>
              <w:t>Approval of Proposal No. 2 is</w:t>
            </w:r>
          </w:p>
        </w:tc>
      </w:tr>
      <w:tr>
        <w:trPr>
          <w:trHeight w:val="175"/>
        </w:trPr>
        <w:tc>
          <w:tcPr>
            <w:tcW w:w="4380" w:type="dxa"/>
            <w:vAlign w:val="bottom"/>
            <w:shd w:val="clear" w:color="auto" w:fill="DBDBDB"/>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of Common Stock authorized for issuance</w:t>
            </w:r>
          </w:p>
        </w:tc>
        <w:tc>
          <w:tcPr>
            <w:tcW w:w="4540" w:type="dxa"/>
            <w:vAlign w:val="bottom"/>
            <w:shd w:val="clear" w:color="auto" w:fill="DBDBDB"/>
          </w:tcPr>
          <w:p>
            <w:pPr>
              <w:ind w:left="20"/>
              <w:spacing w:after="0" w:line="176" w:lineRule="exact"/>
              <w:rPr>
                <w:sz w:val="20"/>
                <w:szCs w:val="20"/>
                <w:color w:val="auto"/>
              </w:rPr>
            </w:pPr>
            <w:r>
              <w:rPr>
                <w:rFonts w:ascii="Times New Roman" w:cs="Times New Roman" w:eastAsia="Times New Roman" w:hAnsi="Times New Roman"/>
                <w:sz w:val="18"/>
                <w:szCs w:val="18"/>
                <w:color w:val="auto"/>
              </w:rPr>
              <w:t>result of the early settlement of the Exchange Offer and</w:t>
            </w:r>
          </w:p>
        </w:tc>
        <w:tc>
          <w:tcPr>
            <w:tcW w:w="2260" w:type="dxa"/>
            <w:vAlign w:val="bottom"/>
            <w:shd w:val="clear" w:color="auto" w:fill="DBDBDB"/>
          </w:tcPr>
          <w:p>
            <w:pPr>
              <w:ind w:left="20"/>
              <w:spacing w:after="0" w:line="176" w:lineRule="exact"/>
              <w:rPr>
                <w:sz w:val="20"/>
                <w:szCs w:val="20"/>
                <w:color w:val="auto"/>
              </w:rPr>
            </w:pPr>
            <w:r>
              <w:rPr>
                <w:rFonts w:ascii="Times New Roman" w:cs="Times New Roman" w:eastAsia="Times New Roman" w:hAnsi="Times New Roman"/>
                <w:sz w:val="18"/>
                <w:szCs w:val="18"/>
                <w:color w:val="auto"/>
              </w:rPr>
              <w:t>conditioned upon approval of</w:t>
            </w:r>
          </w:p>
        </w:tc>
      </w:tr>
      <w:tr>
        <w:trPr>
          <w:trHeight w:val="184"/>
        </w:trPr>
        <w:tc>
          <w:tcPr>
            <w:tcW w:w="4380" w:type="dxa"/>
            <w:vAlign w:val="bottom"/>
            <w:shd w:val="clear" w:color="auto" w:fill="DBDBDB"/>
          </w:tcPr>
          <w:p>
            <w:pPr>
              <w:ind w:left="20"/>
              <w:spacing w:after="0" w:line="184" w:lineRule="exact"/>
              <w:rPr>
                <w:sz w:val="20"/>
                <w:szCs w:val="20"/>
                <w:color w:val="auto"/>
              </w:rPr>
            </w:pPr>
            <w:r>
              <w:rPr>
                <w:rFonts w:ascii="Times New Roman" w:cs="Times New Roman" w:eastAsia="Times New Roman" w:hAnsi="Times New Roman"/>
                <w:sz w:val="18"/>
                <w:szCs w:val="18"/>
                <w:color w:val="auto"/>
              </w:rPr>
              <w:t>thereunder, as described in Proposal No. 2 in the</w:t>
            </w:r>
          </w:p>
        </w:tc>
        <w:tc>
          <w:tcPr>
            <w:tcW w:w="4540" w:type="dxa"/>
            <w:vAlign w:val="bottom"/>
            <w:shd w:val="clear" w:color="auto" w:fill="DBDBDB"/>
          </w:tcPr>
          <w:p>
            <w:pPr>
              <w:ind w:left="20"/>
              <w:spacing w:after="0" w:line="184" w:lineRule="exact"/>
              <w:rPr>
                <w:sz w:val="20"/>
                <w:szCs w:val="20"/>
                <w:color w:val="auto"/>
              </w:rPr>
            </w:pPr>
            <w:r>
              <w:rPr>
                <w:rFonts w:ascii="Times New Roman" w:cs="Times New Roman" w:eastAsia="Times New Roman" w:hAnsi="Times New Roman"/>
                <w:sz w:val="18"/>
                <w:szCs w:val="18"/>
                <w:color w:val="auto"/>
              </w:rPr>
              <w:t>potential future dilution resulting from the final settlement of</w:t>
            </w:r>
          </w:p>
        </w:tc>
        <w:tc>
          <w:tcPr>
            <w:tcW w:w="2260" w:type="dxa"/>
            <w:vAlign w:val="bottom"/>
            <w:shd w:val="clear" w:color="auto" w:fill="DBDBDB"/>
          </w:tcPr>
          <w:p>
            <w:pPr>
              <w:ind w:left="20"/>
              <w:spacing w:after="0" w:line="184" w:lineRule="exact"/>
              <w:rPr>
                <w:sz w:val="20"/>
                <w:szCs w:val="20"/>
                <w:color w:val="auto"/>
              </w:rPr>
            </w:pPr>
            <w:r>
              <w:rPr>
                <w:rFonts w:ascii="Times New Roman" w:cs="Times New Roman" w:eastAsia="Times New Roman" w:hAnsi="Times New Roman"/>
                <w:sz w:val="18"/>
                <w:szCs w:val="18"/>
                <w:color w:val="auto"/>
              </w:rPr>
              <w:t>Proposal No. 3.</w:t>
            </w:r>
          </w:p>
        </w:tc>
      </w:tr>
      <w:tr>
        <w:trPr>
          <w:trHeight w:val="180"/>
        </w:trPr>
        <w:tc>
          <w:tcPr>
            <w:tcW w:w="4380" w:type="dxa"/>
            <w:vAlign w:val="bottom"/>
            <w:shd w:val="clear" w:color="auto" w:fill="DBDBDB"/>
          </w:tcPr>
          <w:p>
            <w:pPr>
              <w:ind w:left="20"/>
              <w:spacing w:after="0" w:line="181" w:lineRule="exact"/>
              <w:rPr>
                <w:sz w:val="20"/>
                <w:szCs w:val="20"/>
                <w:color w:val="auto"/>
              </w:rPr>
            </w:pPr>
            <w:r>
              <w:rPr>
                <w:rFonts w:ascii="Times New Roman" w:cs="Times New Roman" w:eastAsia="Times New Roman" w:hAnsi="Times New Roman"/>
                <w:sz w:val="18"/>
                <w:szCs w:val="18"/>
                <w:color w:val="auto"/>
              </w:rPr>
              <w:t>accompanying proxy statement.</w:t>
            </w:r>
          </w:p>
        </w:tc>
        <w:tc>
          <w:tcPr>
            <w:tcW w:w="4540" w:type="dxa"/>
            <w:vAlign w:val="bottom"/>
            <w:shd w:val="clear" w:color="auto" w:fill="DBDBDB"/>
          </w:tcPr>
          <w:p>
            <w:pPr>
              <w:ind w:left="20"/>
              <w:spacing w:after="0" w:line="181" w:lineRule="exact"/>
              <w:rPr>
                <w:sz w:val="20"/>
                <w:szCs w:val="20"/>
                <w:color w:val="auto"/>
              </w:rPr>
            </w:pPr>
            <w:r>
              <w:rPr>
                <w:rFonts w:ascii="Times New Roman" w:cs="Times New Roman" w:eastAsia="Times New Roman" w:hAnsi="Times New Roman"/>
                <w:sz w:val="18"/>
                <w:szCs w:val="18"/>
                <w:color w:val="auto"/>
              </w:rPr>
              <w:t>the Exchange Offer and conversion of the New Convertible</w:t>
            </w:r>
          </w:p>
        </w:tc>
        <w:tc>
          <w:tcPr>
            <w:tcW w:w="2260" w:type="dxa"/>
            <w:vAlign w:val="bottom"/>
            <w:shd w:val="clear" w:color="auto" w:fill="DBDBDB"/>
          </w:tcPr>
          <w:p>
            <w:pPr>
              <w:spacing w:after="0"/>
              <w:rPr>
                <w:sz w:val="15"/>
                <w:szCs w:val="15"/>
                <w:color w:val="auto"/>
              </w:rPr>
            </w:pPr>
          </w:p>
        </w:tc>
      </w:tr>
      <w:tr>
        <w:trPr>
          <w:trHeight w:val="175"/>
        </w:trPr>
        <w:tc>
          <w:tcPr>
            <w:tcW w:w="4380" w:type="dxa"/>
            <w:vAlign w:val="bottom"/>
            <w:shd w:val="clear" w:color="auto" w:fill="DBDBDB"/>
          </w:tcPr>
          <w:p>
            <w:pPr>
              <w:spacing w:after="0"/>
              <w:rPr>
                <w:sz w:val="15"/>
                <w:szCs w:val="15"/>
                <w:color w:val="auto"/>
              </w:rPr>
            </w:pPr>
          </w:p>
        </w:tc>
        <w:tc>
          <w:tcPr>
            <w:tcW w:w="4540" w:type="dxa"/>
            <w:vAlign w:val="bottom"/>
            <w:shd w:val="clear" w:color="auto" w:fill="DBDBDB"/>
          </w:tcPr>
          <w:p>
            <w:pPr>
              <w:ind w:left="20"/>
              <w:spacing w:after="0" w:line="176" w:lineRule="exact"/>
              <w:rPr>
                <w:sz w:val="20"/>
                <w:szCs w:val="20"/>
                <w:color w:val="auto"/>
              </w:rPr>
            </w:pPr>
            <w:r>
              <w:rPr>
                <w:rFonts w:ascii="Times New Roman" w:cs="Times New Roman" w:eastAsia="Times New Roman" w:hAnsi="Times New Roman"/>
                <w:sz w:val="18"/>
                <w:szCs w:val="18"/>
                <w:color w:val="auto"/>
              </w:rPr>
              <w:t>Notes, if we do not increase the shares available for future</w:t>
            </w:r>
          </w:p>
        </w:tc>
        <w:tc>
          <w:tcPr>
            <w:tcW w:w="2260" w:type="dxa"/>
            <w:vAlign w:val="bottom"/>
            <w:shd w:val="clear" w:color="auto" w:fill="DBDBDB"/>
          </w:tcPr>
          <w:p>
            <w:pPr>
              <w:spacing w:after="0"/>
              <w:rPr>
                <w:sz w:val="15"/>
                <w:szCs w:val="15"/>
                <w:color w:val="auto"/>
              </w:rPr>
            </w:pPr>
          </w:p>
        </w:tc>
      </w:tr>
      <w:tr>
        <w:trPr>
          <w:trHeight w:val="184"/>
        </w:trPr>
        <w:tc>
          <w:tcPr>
            <w:tcW w:w="4380" w:type="dxa"/>
            <w:vAlign w:val="bottom"/>
            <w:shd w:val="clear" w:color="auto" w:fill="DBDBDB"/>
          </w:tcPr>
          <w:p>
            <w:pPr>
              <w:spacing w:after="0"/>
              <w:rPr>
                <w:sz w:val="16"/>
                <w:szCs w:val="16"/>
                <w:color w:val="auto"/>
              </w:rPr>
            </w:pPr>
          </w:p>
        </w:tc>
        <w:tc>
          <w:tcPr>
            <w:tcW w:w="4540" w:type="dxa"/>
            <w:vAlign w:val="bottom"/>
            <w:shd w:val="clear" w:color="auto" w:fill="DBDBDB"/>
          </w:tcPr>
          <w:p>
            <w:pPr>
              <w:ind w:left="20"/>
              <w:spacing w:after="0" w:line="184" w:lineRule="exact"/>
              <w:rPr>
                <w:sz w:val="20"/>
                <w:szCs w:val="20"/>
                <w:color w:val="auto"/>
              </w:rPr>
            </w:pPr>
            <w:r>
              <w:rPr>
                <w:rFonts w:ascii="Times New Roman" w:cs="Times New Roman" w:eastAsia="Times New Roman" w:hAnsi="Times New Roman"/>
                <w:sz w:val="18"/>
                <w:szCs w:val="18"/>
                <w:color w:val="auto"/>
              </w:rPr>
              <w:t>issuance under the Gossamer Bio, Inc. 2019 Incentive Award</w:t>
            </w:r>
          </w:p>
        </w:tc>
        <w:tc>
          <w:tcPr>
            <w:tcW w:w="2260" w:type="dxa"/>
            <w:vAlign w:val="bottom"/>
            <w:shd w:val="clear" w:color="auto" w:fill="DBDBDB"/>
          </w:tcPr>
          <w:p>
            <w:pPr>
              <w:spacing w:after="0"/>
              <w:rPr>
                <w:sz w:val="16"/>
                <w:szCs w:val="16"/>
                <w:color w:val="auto"/>
              </w:rPr>
            </w:pPr>
          </w:p>
        </w:tc>
      </w:tr>
      <w:tr>
        <w:trPr>
          <w:trHeight w:val="180"/>
        </w:trPr>
        <w:tc>
          <w:tcPr>
            <w:tcW w:w="4380" w:type="dxa"/>
            <w:vAlign w:val="bottom"/>
            <w:shd w:val="clear" w:color="auto" w:fill="DBDBDB"/>
          </w:tcPr>
          <w:p>
            <w:pPr>
              <w:spacing w:after="0"/>
              <w:rPr>
                <w:sz w:val="15"/>
                <w:szCs w:val="15"/>
                <w:color w:val="auto"/>
              </w:rPr>
            </w:pPr>
          </w:p>
        </w:tc>
        <w:tc>
          <w:tcPr>
            <w:tcW w:w="4540" w:type="dxa"/>
            <w:vAlign w:val="bottom"/>
            <w:shd w:val="clear" w:color="auto" w:fill="DBDBDB"/>
          </w:tcPr>
          <w:p>
            <w:pPr>
              <w:ind w:left="20"/>
              <w:spacing w:after="0" w:line="181" w:lineRule="exact"/>
              <w:rPr>
                <w:sz w:val="20"/>
                <w:szCs w:val="20"/>
                <w:color w:val="auto"/>
              </w:rPr>
            </w:pPr>
            <w:r>
              <w:rPr>
                <w:rFonts w:ascii="Times New Roman" w:cs="Times New Roman" w:eastAsia="Times New Roman" w:hAnsi="Times New Roman"/>
                <w:sz w:val="18"/>
                <w:szCs w:val="18"/>
                <w:color w:val="auto"/>
              </w:rPr>
              <w:t>Plan (as in effect prior to the adoption of the Restated Plan),</w:t>
            </w:r>
          </w:p>
        </w:tc>
        <w:tc>
          <w:tcPr>
            <w:tcW w:w="2260" w:type="dxa"/>
            <w:vAlign w:val="bottom"/>
            <w:shd w:val="clear" w:color="auto" w:fill="DBDBDB"/>
          </w:tcPr>
          <w:p>
            <w:pPr>
              <w:spacing w:after="0"/>
              <w:rPr>
                <w:sz w:val="15"/>
                <w:szCs w:val="15"/>
                <w:color w:val="auto"/>
              </w:rPr>
            </w:pPr>
          </w:p>
        </w:tc>
      </w:tr>
      <w:tr>
        <w:trPr>
          <w:trHeight w:val="175"/>
        </w:trPr>
        <w:tc>
          <w:tcPr>
            <w:tcW w:w="4380" w:type="dxa"/>
            <w:vAlign w:val="bottom"/>
            <w:shd w:val="clear" w:color="auto" w:fill="DBDBDB"/>
          </w:tcPr>
          <w:p>
            <w:pPr>
              <w:spacing w:after="0"/>
              <w:rPr>
                <w:sz w:val="15"/>
                <w:szCs w:val="15"/>
                <w:color w:val="auto"/>
              </w:rPr>
            </w:pPr>
          </w:p>
        </w:tc>
        <w:tc>
          <w:tcPr>
            <w:tcW w:w="4540" w:type="dxa"/>
            <w:vAlign w:val="bottom"/>
            <w:shd w:val="clear" w:color="auto" w:fill="DBDBDB"/>
          </w:tcPr>
          <w:p>
            <w:pPr>
              <w:ind w:left="20"/>
              <w:spacing w:after="0" w:line="176" w:lineRule="exact"/>
              <w:rPr>
                <w:sz w:val="20"/>
                <w:szCs w:val="20"/>
                <w:color w:val="auto"/>
              </w:rPr>
            </w:pPr>
            <w:r>
              <w:rPr>
                <w:rFonts w:ascii="Times New Roman" w:cs="Times New Roman" w:eastAsia="Times New Roman" w:hAnsi="Times New Roman"/>
                <w:sz w:val="18"/>
                <w:szCs w:val="18"/>
                <w:color w:val="auto"/>
              </w:rPr>
              <w:t>we will have a limited number of shares available for future</w:t>
            </w:r>
          </w:p>
        </w:tc>
        <w:tc>
          <w:tcPr>
            <w:tcW w:w="2260" w:type="dxa"/>
            <w:vAlign w:val="bottom"/>
            <w:shd w:val="clear" w:color="auto" w:fill="DBDBDB"/>
          </w:tcPr>
          <w:p>
            <w:pPr>
              <w:spacing w:after="0"/>
              <w:rPr>
                <w:sz w:val="15"/>
                <w:szCs w:val="15"/>
                <w:color w:val="auto"/>
              </w:rPr>
            </w:pPr>
          </w:p>
        </w:tc>
      </w:tr>
      <w:tr>
        <w:trPr>
          <w:trHeight w:val="184"/>
        </w:trPr>
        <w:tc>
          <w:tcPr>
            <w:tcW w:w="4380" w:type="dxa"/>
            <w:vAlign w:val="bottom"/>
            <w:shd w:val="clear" w:color="auto" w:fill="DBDBDB"/>
          </w:tcPr>
          <w:p>
            <w:pPr>
              <w:spacing w:after="0"/>
              <w:rPr>
                <w:sz w:val="16"/>
                <w:szCs w:val="16"/>
                <w:color w:val="auto"/>
              </w:rPr>
            </w:pPr>
          </w:p>
        </w:tc>
        <w:tc>
          <w:tcPr>
            <w:tcW w:w="4540" w:type="dxa"/>
            <w:vAlign w:val="bottom"/>
            <w:shd w:val="clear" w:color="auto" w:fill="DBDBDB"/>
          </w:tcPr>
          <w:p>
            <w:pPr>
              <w:ind w:left="20"/>
              <w:spacing w:after="0" w:line="184" w:lineRule="exact"/>
              <w:rPr>
                <w:sz w:val="20"/>
                <w:szCs w:val="20"/>
                <w:color w:val="auto"/>
              </w:rPr>
            </w:pPr>
            <w:r>
              <w:rPr>
                <w:rFonts w:ascii="Times New Roman" w:cs="Times New Roman" w:eastAsia="Times New Roman" w:hAnsi="Times New Roman"/>
                <w:sz w:val="18"/>
                <w:szCs w:val="18"/>
                <w:color w:val="auto"/>
                <w:w w:val="99"/>
              </w:rPr>
              <w:t>grants thereunder. The Restated Plan was effective on May 18,</w:t>
            </w:r>
          </w:p>
        </w:tc>
        <w:tc>
          <w:tcPr>
            <w:tcW w:w="2260" w:type="dxa"/>
            <w:vAlign w:val="bottom"/>
            <w:shd w:val="clear" w:color="auto" w:fill="DBDBDB"/>
          </w:tcPr>
          <w:p>
            <w:pPr>
              <w:spacing w:after="0"/>
              <w:rPr>
                <w:sz w:val="16"/>
                <w:szCs w:val="16"/>
                <w:color w:val="auto"/>
              </w:rPr>
            </w:pPr>
          </w:p>
        </w:tc>
      </w:tr>
      <w:tr>
        <w:trPr>
          <w:trHeight w:val="180"/>
        </w:trPr>
        <w:tc>
          <w:tcPr>
            <w:tcW w:w="4380" w:type="dxa"/>
            <w:vAlign w:val="bottom"/>
            <w:shd w:val="clear" w:color="auto" w:fill="DBDBDB"/>
          </w:tcPr>
          <w:p>
            <w:pPr>
              <w:spacing w:after="0"/>
              <w:rPr>
                <w:sz w:val="15"/>
                <w:szCs w:val="15"/>
                <w:color w:val="auto"/>
              </w:rPr>
            </w:pPr>
          </w:p>
        </w:tc>
        <w:tc>
          <w:tcPr>
            <w:tcW w:w="4540" w:type="dxa"/>
            <w:vAlign w:val="bottom"/>
            <w:shd w:val="clear" w:color="auto" w:fill="DBDBDB"/>
          </w:tcPr>
          <w:p>
            <w:pPr>
              <w:ind w:left="20"/>
              <w:spacing w:after="0" w:line="181" w:lineRule="exact"/>
              <w:rPr>
                <w:sz w:val="20"/>
                <w:szCs w:val="20"/>
                <w:color w:val="auto"/>
              </w:rPr>
            </w:pPr>
            <w:r>
              <w:rPr>
                <w:rFonts w:ascii="Times New Roman" w:cs="Times New Roman" w:eastAsia="Times New Roman" w:hAnsi="Times New Roman"/>
                <w:sz w:val="18"/>
                <w:szCs w:val="18"/>
                <w:color w:val="auto"/>
              </w:rPr>
              <w:t>2026, subject to the occurrence of the Closing Date and</w:t>
            </w:r>
          </w:p>
        </w:tc>
        <w:tc>
          <w:tcPr>
            <w:tcW w:w="2260" w:type="dxa"/>
            <w:vAlign w:val="bottom"/>
            <w:shd w:val="clear" w:color="auto" w:fill="DBDBDB"/>
          </w:tcPr>
          <w:p>
            <w:pPr>
              <w:spacing w:after="0"/>
              <w:rPr>
                <w:sz w:val="15"/>
                <w:szCs w:val="15"/>
                <w:color w:val="auto"/>
              </w:rPr>
            </w:pPr>
          </w:p>
        </w:tc>
      </w:tr>
      <w:tr>
        <w:trPr>
          <w:trHeight w:val="243"/>
        </w:trPr>
        <w:tc>
          <w:tcPr>
            <w:tcW w:w="4380" w:type="dxa"/>
            <w:vAlign w:val="bottom"/>
            <w:shd w:val="clear" w:color="auto" w:fill="DBDBDB"/>
          </w:tcPr>
          <w:p>
            <w:pPr>
              <w:spacing w:after="0"/>
              <w:rPr>
                <w:sz w:val="21"/>
                <w:szCs w:val="21"/>
                <w:color w:val="auto"/>
              </w:rPr>
            </w:pPr>
          </w:p>
        </w:tc>
        <w:tc>
          <w:tcPr>
            <w:tcW w:w="45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stockholder approval at the Special Meeting.</w:t>
            </w:r>
          </w:p>
        </w:tc>
        <w:tc>
          <w:tcPr>
            <w:tcW w:w="2260" w:type="dxa"/>
            <w:vAlign w:val="bottom"/>
            <w:shd w:val="clear" w:color="auto" w:fill="DBDBDB"/>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180"/>
          </w:cols>
          <w:pgMar w:left="320" w:top="1080" w:right="39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PROPOSAL NO. 3</w:t>
      </w:r>
    </w:p>
    <w:p>
      <w:pPr>
        <w:spacing w:after="0" w:line="23" w:lineRule="exact"/>
        <w:rPr>
          <w:sz w:val="20"/>
          <w:szCs w:val="20"/>
          <w:color w:val="auto"/>
        </w:rPr>
      </w:pPr>
    </w:p>
    <w:p>
      <w:pPr>
        <w:ind w:left="20"/>
        <w:spacing w:after="0" w:line="214" w:lineRule="auto"/>
        <w:rPr>
          <w:sz w:val="20"/>
          <w:szCs w:val="20"/>
          <w:color w:val="auto"/>
        </w:rPr>
      </w:pPr>
      <w:r>
        <w:rPr>
          <w:rFonts w:ascii="Times New Roman" w:cs="Times New Roman" w:eastAsia="Times New Roman" w:hAnsi="Times New Roman"/>
          <w:sz w:val="18"/>
          <w:szCs w:val="18"/>
          <w:color w:val="auto"/>
        </w:rPr>
        <w:t>To approve an amendment to the Company’s amended restated certificate of incorporation, or the Charter, to increase the number of authorized shares of Common Stock</w:t>
      </w:r>
    </w:p>
    <w:p>
      <w:pPr>
        <w:spacing w:after="0" w:line="1" w:lineRule="exact"/>
        <w:rPr>
          <w:sz w:val="20"/>
          <w:szCs w:val="20"/>
          <w:color w:val="auto"/>
        </w:rPr>
      </w:pPr>
    </w:p>
    <w:p>
      <w:pPr>
        <w:ind w:left="20" w:right="340"/>
        <w:spacing w:after="0" w:line="220" w:lineRule="auto"/>
        <w:rPr>
          <w:sz w:val="20"/>
          <w:szCs w:val="20"/>
          <w:color w:val="auto"/>
        </w:rPr>
      </w:pPr>
      <w:r>
        <w:rPr>
          <w:rFonts w:ascii="Times New Roman" w:cs="Times New Roman" w:eastAsia="Times New Roman" w:hAnsi="Times New Roman"/>
          <w:sz w:val="17"/>
          <w:szCs w:val="17"/>
          <w:color w:val="auto"/>
        </w:rPr>
        <w:t>from 700,000,000 to 4,000,000,000 in order to support, among other things, the additional share issuances of Common Stock issuable upon conversion of the New</w:t>
      </w:r>
    </w:p>
    <w:p>
      <w:pPr>
        <w:spacing w:after="0" w:line="2" w:lineRule="exact"/>
        <w:rPr>
          <w:sz w:val="20"/>
          <w:szCs w:val="20"/>
          <w:color w:val="auto"/>
        </w:rPr>
      </w:pPr>
    </w:p>
    <w:p>
      <w:pPr>
        <w:ind w:left="20" w:right="280"/>
        <w:spacing w:after="0" w:line="218" w:lineRule="auto"/>
        <w:rPr>
          <w:sz w:val="20"/>
          <w:szCs w:val="20"/>
          <w:color w:val="auto"/>
        </w:rPr>
      </w:pPr>
      <w:r>
        <w:rPr>
          <w:rFonts w:ascii="Times New Roman" w:cs="Times New Roman" w:eastAsia="Times New Roman" w:hAnsi="Times New Roman"/>
          <w:sz w:val="18"/>
          <w:szCs w:val="18"/>
          <w:color w:val="auto"/>
        </w:rPr>
        <w:t>Convertible Notes and Purchase Warrants and under the Restated Plan, as described in Proposal No. 3 in the accompanying proxy statement.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tabs>
          <w:tab w:leader="none" w:pos="4520" w:val="left"/>
        </w:tabs>
        <w:rPr>
          <w:sz w:val="20"/>
          <w:szCs w:val="20"/>
          <w:color w:val="auto"/>
        </w:rPr>
      </w:pPr>
      <w:r>
        <w:rPr>
          <w:rFonts w:ascii="Times New Roman" w:cs="Times New Roman" w:eastAsia="Times New Roman" w:hAnsi="Times New Roman"/>
          <w:sz w:val="18"/>
          <w:szCs w:val="18"/>
          <w:color w:val="auto"/>
        </w:rPr>
        <w:t>We currently do not have enough authorized shares of</w:t>
      </w:r>
      <w:r>
        <w:rPr>
          <w:sz w:val="20"/>
          <w:szCs w:val="20"/>
          <w:color w:val="auto"/>
        </w:rPr>
        <w:tab/>
      </w:r>
      <w:r>
        <w:rPr>
          <w:rFonts w:ascii="Times New Roman" w:cs="Times New Roman" w:eastAsia="Times New Roman" w:hAnsi="Times New Roman"/>
          <w:sz w:val="17"/>
          <w:szCs w:val="17"/>
          <w:color w:val="auto"/>
        </w:rPr>
        <w:t>Approval of Proposal No. 3 is</w:t>
      </w:r>
    </w:p>
    <w:p>
      <w:pPr>
        <w:spacing w:after="0" w:line="203" w:lineRule="auto"/>
        <w:rPr>
          <w:sz w:val="20"/>
          <w:szCs w:val="20"/>
          <w:color w:val="auto"/>
        </w:rPr>
      </w:pPr>
      <w:r>
        <w:rPr>
          <w:rFonts w:ascii="Times New Roman" w:cs="Times New Roman" w:eastAsia="Times New Roman" w:hAnsi="Times New Roman"/>
          <w:sz w:val="18"/>
          <w:szCs w:val="18"/>
          <w:color w:val="auto"/>
        </w:rPr>
        <w:t>Common Stock to support the issuance of Common Stock that independent and not</w:t>
      </w:r>
    </w:p>
    <w:p>
      <w:pPr>
        <w:spacing w:after="0" w:line="219" w:lineRule="auto"/>
        <w:tabs>
          <w:tab w:leader="none" w:pos="4520" w:val="left"/>
        </w:tabs>
        <w:rPr>
          <w:sz w:val="20"/>
          <w:szCs w:val="20"/>
          <w:color w:val="auto"/>
        </w:rPr>
      </w:pPr>
      <w:r>
        <w:rPr>
          <w:rFonts w:ascii="Times New Roman" w:cs="Times New Roman" w:eastAsia="Times New Roman" w:hAnsi="Times New Roman"/>
          <w:sz w:val="18"/>
          <w:szCs w:val="18"/>
          <w:color w:val="auto"/>
        </w:rPr>
        <w:t>will be issuable or may become issuable upon conversion of</w:t>
        <w:tab/>
        <w:t>conditioned upon the approval</w:t>
      </w:r>
    </w:p>
    <w:p>
      <w:pPr>
        <w:spacing w:after="0" w:line="1" w:lineRule="exact"/>
        <w:rPr>
          <w:sz w:val="20"/>
          <w:szCs w:val="20"/>
          <w:color w:val="auto"/>
        </w:rPr>
      </w:pPr>
    </w:p>
    <w:p>
      <w:pPr>
        <w:ind w:right="660"/>
        <w:spacing w:after="0" w:line="208" w:lineRule="auto"/>
        <w:rPr>
          <w:sz w:val="20"/>
          <w:szCs w:val="20"/>
          <w:color w:val="auto"/>
        </w:rPr>
      </w:pPr>
      <w:r>
        <w:rPr>
          <w:rFonts w:ascii="Times New Roman" w:cs="Times New Roman" w:eastAsia="Times New Roman" w:hAnsi="Times New Roman"/>
          <w:sz w:val="18"/>
          <w:szCs w:val="18"/>
          <w:color w:val="auto"/>
        </w:rPr>
        <w:t>the New Convertible Notes or Purchase Warrants or under the of any other proposal. Restated Plan. Further, increasing the number of authorized shares of Common Stock will provide us with greater</w:t>
      </w:r>
    </w:p>
    <w:p>
      <w:pPr>
        <w:spacing w:after="0" w:line="2" w:lineRule="exact"/>
        <w:rPr>
          <w:sz w:val="20"/>
          <w:szCs w:val="20"/>
          <w:color w:val="auto"/>
        </w:rPr>
      </w:pPr>
    </w:p>
    <w:p>
      <w:pPr>
        <w:ind w:right="2340"/>
        <w:spacing w:after="0" w:line="218" w:lineRule="auto"/>
        <w:rPr>
          <w:sz w:val="20"/>
          <w:szCs w:val="20"/>
          <w:color w:val="auto"/>
        </w:rPr>
      </w:pPr>
      <w:r>
        <w:rPr>
          <w:rFonts w:ascii="Times New Roman" w:cs="Times New Roman" w:eastAsia="Times New Roman" w:hAnsi="Times New Roman"/>
          <w:sz w:val="18"/>
          <w:szCs w:val="18"/>
          <w:color w:val="auto"/>
        </w:rPr>
        <w:t>flexibility in considering and planning for current and future corporate needs, including raising additional capital and other general corporate purposes.</w:t>
      </w:r>
    </w:p>
    <w:p>
      <w:pPr>
        <w:spacing w:after="0" w:line="21" w:lineRule="exact"/>
        <w:rPr>
          <w:sz w:val="20"/>
          <w:szCs w:val="20"/>
          <w:color w:val="auto"/>
        </w:rPr>
      </w:pPr>
    </w:p>
    <w:p>
      <w:pPr>
        <w:sectPr>
          <w:pgSz w:w="11900" w:h="16838" w:orient="portrait"/>
          <w:cols w:equalWidth="0" w:num="2">
            <w:col w:w="4340" w:space="60"/>
            <w:col w:w="6780"/>
          </w:cols>
          <w:pgMar w:left="320" w:top="1080" w:right="39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3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PROPOSAL NO. 4</w:t>
            </w:r>
          </w:p>
        </w:tc>
        <w:tc>
          <w:tcPr>
            <w:tcW w:w="4460" w:type="dxa"/>
            <w:vAlign w:val="bottom"/>
            <w:shd w:val="clear" w:color="auto" w:fill="DBDBDB"/>
          </w:tcPr>
          <w:p>
            <w:pPr>
              <w:spacing w:after="0"/>
              <w:rPr>
                <w:sz w:val="19"/>
                <w:szCs w:val="19"/>
                <w:color w:val="auto"/>
              </w:rPr>
            </w:pPr>
          </w:p>
        </w:tc>
        <w:tc>
          <w:tcPr>
            <w:tcW w:w="2340" w:type="dxa"/>
            <w:vAlign w:val="bottom"/>
            <w:shd w:val="clear" w:color="auto" w:fill="DBDBDB"/>
          </w:tcPr>
          <w:p>
            <w:pPr>
              <w:spacing w:after="0"/>
              <w:rPr>
                <w:sz w:val="19"/>
                <w:szCs w:val="19"/>
                <w:color w:val="auto"/>
              </w:rPr>
            </w:pPr>
          </w:p>
        </w:tc>
      </w:tr>
      <w:tr>
        <w:trPr>
          <w:trHeight w:val="175"/>
        </w:trPr>
        <w:tc>
          <w:tcPr>
            <w:tcW w:w="4380" w:type="dxa"/>
            <w:vAlign w:val="bottom"/>
            <w:shd w:val="clear" w:color="auto" w:fill="DBDBDB"/>
          </w:tcPr>
          <w:p>
            <w:pPr>
              <w:ind w:left="20"/>
              <w:spacing w:after="0" w:line="176" w:lineRule="exact"/>
              <w:rPr>
                <w:sz w:val="20"/>
                <w:szCs w:val="20"/>
                <w:color w:val="auto"/>
              </w:rPr>
            </w:pPr>
            <w:r>
              <w:rPr>
                <w:rFonts w:ascii="Times New Roman" w:cs="Times New Roman" w:eastAsia="Times New Roman" w:hAnsi="Times New Roman"/>
                <w:sz w:val="18"/>
                <w:szCs w:val="18"/>
                <w:color w:val="auto"/>
              </w:rPr>
              <w:t>To approve a series of 30 alternate amendments to the</w:t>
            </w:r>
          </w:p>
        </w:tc>
        <w:tc>
          <w:tcPr>
            <w:tcW w:w="4460" w:type="dxa"/>
            <w:vAlign w:val="bottom"/>
            <w:shd w:val="clear" w:color="auto" w:fill="DBDBDB"/>
          </w:tcPr>
          <w:p>
            <w:pPr>
              <w:ind w:left="20"/>
              <w:spacing w:after="0" w:line="176" w:lineRule="exact"/>
              <w:rPr>
                <w:sz w:val="20"/>
                <w:szCs w:val="20"/>
                <w:color w:val="auto"/>
              </w:rPr>
            </w:pPr>
            <w:r>
              <w:rPr>
                <w:rFonts w:ascii="Times New Roman" w:cs="Times New Roman" w:eastAsia="Times New Roman" w:hAnsi="Times New Roman"/>
                <w:sz w:val="18"/>
                <w:szCs w:val="18"/>
                <w:color w:val="auto"/>
              </w:rPr>
              <w:t>We believe it is beneficial to provide the Board with the</w:t>
            </w:r>
          </w:p>
        </w:tc>
        <w:tc>
          <w:tcPr>
            <w:tcW w:w="2340" w:type="dxa"/>
            <w:vAlign w:val="bottom"/>
            <w:shd w:val="clear" w:color="auto" w:fill="DBDBDB"/>
          </w:tcPr>
          <w:p>
            <w:pPr>
              <w:ind w:left="100"/>
              <w:spacing w:after="0" w:line="176" w:lineRule="exact"/>
              <w:rPr>
                <w:sz w:val="20"/>
                <w:szCs w:val="20"/>
                <w:color w:val="auto"/>
              </w:rPr>
            </w:pPr>
            <w:r>
              <w:rPr>
                <w:rFonts w:ascii="Times New Roman" w:cs="Times New Roman" w:eastAsia="Times New Roman" w:hAnsi="Times New Roman"/>
                <w:sz w:val="18"/>
                <w:szCs w:val="18"/>
                <w:color w:val="auto"/>
              </w:rPr>
              <w:t>Approval of Proposal No. 4 is</w:t>
            </w:r>
          </w:p>
        </w:tc>
      </w:tr>
      <w:tr>
        <w:trPr>
          <w:trHeight w:val="176"/>
        </w:trPr>
        <w:tc>
          <w:tcPr>
            <w:tcW w:w="4380" w:type="dxa"/>
            <w:vAlign w:val="bottom"/>
            <w:shd w:val="clear" w:color="auto" w:fill="DBDBDB"/>
          </w:tcPr>
          <w:p>
            <w:pPr>
              <w:ind w:left="20"/>
              <w:spacing w:after="0" w:line="176" w:lineRule="exact"/>
              <w:rPr>
                <w:sz w:val="20"/>
                <w:szCs w:val="20"/>
                <w:color w:val="auto"/>
              </w:rPr>
            </w:pPr>
            <w:r>
              <w:rPr>
                <w:rFonts w:ascii="Times New Roman" w:cs="Times New Roman" w:eastAsia="Times New Roman" w:hAnsi="Times New Roman"/>
                <w:sz w:val="18"/>
                <w:szCs w:val="18"/>
                <w:color w:val="auto"/>
              </w:rPr>
              <w:t>Charter to effect (i) a reverse stock split of our issued and</w:t>
            </w:r>
          </w:p>
        </w:tc>
        <w:tc>
          <w:tcPr>
            <w:tcW w:w="4460" w:type="dxa"/>
            <w:vAlign w:val="bottom"/>
            <w:shd w:val="clear" w:color="auto" w:fill="DBDBDB"/>
          </w:tcPr>
          <w:p>
            <w:pPr>
              <w:ind w:left="20"/>
              <w:spacing w:after="0" w:line="176" w:lineRule="exact"/>
              <w:rPr>
                <w:sz w:val="20"/>
                <w:szCs w:val="20"/>
                <w:color w:val="auto"/>
              </w:rPr>
            </w:pPr>
            <w:r>
              <w:rPr>
                <w:rFonts w:ascii="Times New Roman" w:cs="Times New Roman" w:eastAsia="Times New Roman" w:hAnsi="Times New Roman"/>
                <w:sz w:val="18"/>
                <w:szCs w:val="18"/>
                <w:color w:val="auto"/>
              </w:rPr>
              <w:t>authority and flexibility to effect a reverse stock split, if and</w:t>
            </w:r>
          </w:p>
        </w:tc>
        <w:tc>
          <w:tcPr>
            <w:tcW w:w="2340" w:type="dxa"/>
            <w:vAlign w:val="bottom"/>
            <w:shd w:val="clear" w:color="auto" w:fill="DBDBDB"/>
          </w:tcPr>
          <w:p>
            <w:pPr>
              <w:ind w:left="100"/>
              <w:spacing w:after="0" w:line="176" w:lineRule="exact"/>
              <w:rPr>
                <w:sz w:val="20"/>
                <w:szCs w:val="20"/>
                <w:color w:val="auto"/>
              </w:rPr>
            </w:pPr>
            <w:r>
              <w:rPr>
                <w:rFonts w:ascii="Times New Roman" w:cs="Times New Roman" w:eastAsia="Times New Roman" w:hAnsi="Times New Roman"/>
                <w:sz w:val="18"/>
                <w:szCs w:val="18"/>
                <w:color w:val="auto"/>
              </w:rPr>
              <w:t>independent and not</w:t>
            </w:r>
          </w:p>
        </w:tc>
      </w:tr>
      <w:tr>
        <w:trPr>
          <w:trHeight w:val="184"/>
        </w:trPr>
        <w:tc>
          <w:tcPr>
            <w:tcW w:w="4380" w:type="dxa"/>
            <w:vAlign w:val="bottom"/>
            <w:shd w:val="clear" w:color="auto" w:fill="DBDBDB"/>
          </w:tcPr>
          <w:p>
            <w:pPr>
              <w:ind w:left="20"/>
              <w:spacing w:after="0" w:line="184" w:lineRule="exact"/>
              <w:rPr>
                <w:sz w:val="20"/>
                <w:szCs w:val="20"/>
                <w:color w:val="auto"/>
              </w:rPr>
            </w:pPr>
            <w:r>
              <w:rPr>
                <w:rFonts w:ascii="Times New Roman" w:cs="Times New Roman" w:eastAsia="Times New Roman" w:hAnsi="Times New Roman"/>
                <w:sz w:val="18"/>
                <w:szCs w:val="18"/>
                <w:color w:val="auto"/>
              </w:rPr>
              <w:t>outstanding shares of Common Stock and (ii) a</w:t>
            </w:r>
          </w:p>
        </w:tc>
        <w:tc>
          <w:tcPr>
            <w:tcW w:w="4460" w:type="dxa"/>
            <w:vAlign w:val="bottom"/>
            <w:shd w:val="clear" w:color="auto" w:fill="DBDBDB"/>
          </w:tcPr>
          <w:p>
            <w:pPr>
              <w:ind w:left="20"/>
              <w:spacing w:after="0" w:line="184" w:lineRule="exact"/>
              <w:rPr>
                <w:sz w:val="20"/>
                <w:szCs w:val="20"/>
                <w:color w:val="auto"/>
              </w:rPr>
            </w:pPr>
            <w:r>
              <w:rPr>
                <w:rFonts w:ascii="Times New Roman" w:cs="Times New Roman" w:eastAsia="Times New Roman" w:hAnsi="Times New Roman"/>
                <w:sz w:val="18"/>
                <w:szCs w:val="18"/>
                <w:color w:val="auto"/>
              </w:rPr>
              <w:t>when needed, in the event it determines that a reverse stock</w:t>
            </w:r>
          </w:p>
        </w:tc>
        <w:tc>
          <w:tcPr>
            <w:tcW w:w="2340" w:type="dxa"/>
            <w:vAlign w:val="bottom"/>
            <w:shd w:val="clear" w:color="auto" w:fill="DBDBDB"/>
          </w:tcPr>
          <w:p>
            <w:pPr>
              <w:ind w:left="100"/>
              <w:spacing w:after="0" w:line="184" w:lineRule="exact"/>
              <w:rPr>
                <w:sz w:val="20"/>
                <w:szCs w:val="20"/>
                <w:color w:val="auto"/>
              </w:rPr>
            </w:pPr>
            <w:r>
              <w:rPr>
                <w:rFonts w:ascii="Times New Roman" w:cs="Times New Roman" w:eastAsia="Times New Roman" w:hAnsi="Times New Roman"/>
                <w:sz w:val="18"/>
                <w:szCs w:val="18"/>
                <w:color w:val="auto"/>
              </w:rPr>
              <w:t>conditioned upon the approval</w:t>
            </w:r>
          </w:p>
        </w:tc>
      </w:tr>
      <w:tr>
        <w:trPr>
          <w:trHeight w:val="180"/>
        </w:trPr>
        <w:tc>
          <w:tcPr>
            <w:tcW w:w="4380" w:type="dxa"/>
            <w:vAlign w:val="bottom"/>
            <w:shd w:val="clear" w:color="auto" w:fill="DBDBDB"/>
          </w:tcPr>
          <w:p>
            <w:pPr>
              <w:ind w:left="20"/>
              <w:spacing w:after="0" w:line="181" w:lineRule="exact"/>
              <w:rPr>
                <w:sz w:val="20"/>
                <w:szCs w:val="20"/>
                <w:color w:val="auto"/>
              </w:rPr>
            </w:pPr>
            <w:r>
              <w:rPr>
                <w:rFonts w:ascii="Times New Roman" w:cs="Times New Roman" w:eastAsia="Times New Roman" w:hAnsi="Times New Roman"/>
                <w:sz w:val="18"/>
                <w:szCs w:val="18"/>
                <w:color w:val="auto"/>
              </w:rPr>
              <w:t>proportionate reduction in the number of authorized shares</w:t>
            </w:r>
          </w:p>
        </w:tc>
        <w:tc>
          <w:tcPr>
            <w:tcW w:w="4460" w:type="dxa"/>
            <w:vAlign w:val="bottom"/>
            <w:shd w:val="clear" w:color="auto" w:fill="DBDBDB"/>
          </w:tcPr>
          <w:p>
            <w:pPr>
              <w:ind w:left="20"/>
              <w:spacing w:after="0" w:line="181" w:lineRule="exact"/>
              <w:rPr>
                <w:sz w:val="20"/>
                <w:szCs w:val="20"/>
                <w:color w:val="auto"/>
              </w:rPr>
            </w:pPr>
            <w:r>
              <w:rPr>
                <w:rFonts w:ascii="Times New Roman" w:cs="Times New Roman" w:eastAsia="Times New Roman" w:hAnsi="Times New Roman"/>
                <w:sz w:val="18"/>
                <w:szCs w:val="18"/>
                <w:color w:val="auto"/>
              </w:rPr>
              <w:t>split is in the best interests of the Company and our</w:t>
            </w:r>
          </w:p>
        </w:tc>
        <w:tc>
          <w:tcPr>
            <w:tcW w:w="2340" w:type="dxa"/>
            <w:vAlign w:val="bottom"/>
            <w:shd w:val="clear" w:color="auto" w:fill="DBDBDB"/>
          </w:tcPr>
          <w:p>
            <w:pPr>
              <w:ind w:left="100"/>
              <w:spacing w:after="0" w:line="181" w:lineRule="exact"/>
              <w:rPr>
                <w:sz w:val="20"/>
                <w:szCs w:val="20"/>
                <w:color w:val="auto"/>
              </w:rPr>
            </w:pPr>
            <w:r>
              <w:rPr>
                <w:rFonts w:ascii="Times New Roman" w:cs="Times New Roman" w:eastAsia="Times New Roman" w:hAnsi="Times New Roman"/>
                <w:sz w:val="18"/>
                <w:szCs w:val="18"/>
                <w:color w:val="auto"/>
              </w:rPr>
              <w:t>of any other proposal.</w:t>
            </w:r>
          </w:p>
        </w:tc>
      </w:tr>
      <w:tr>
        <w:trPr>
          <w:trHeight w:val="175"/>
        </w:trPr>
        <w:tc>
          <w:tcPr>
            <w:tcW w:w="4380" w:type="dxa"/>
            <w:vAlign w:val="bottom"/>
            <w:shd w:val="clear" w:color="auto" w:fill="DBDBDB"/>
          </w:tcPr>
          <w:p>
            <w:pPr>
              <w:ind w:left="20"/>
              <w:spacing w:after="0" w:line="176" w:lineRule="exact"/>
              <w:rPr>
                <w:sz w:val="20"/>
                <w:szCs w:val="20"/>
                <w:color w:val="auto"/>
              </w:rPr>
            </w:pPr>
            <w:r>
              <w:rPr>
                <w:rFonts w:ascii="Times New Roman" w:cs="Times New Roman" w:eastAsia="Times New Roman" w:hAnsi="Times New Roman"/>
                <w:sz w:val="18"/>
                <w:szCs w:val="18"/>
                <w:color w:val="auto"/>
              </w:rPr>
              <w:t>of Common Stock (and correspondingly decrease the total</w:t>
            </w:r>
          </w:p>
        </w:tc>
        <w:tc>
          <w:tcPr>
            <w:tcW w:w="4460" w:type="dxa"/>
            <w:vAlign w:val="bottom"/>
            <w:shd w:val="clear" w:color="auto" w:fill="DBDBDB"/>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stockholders.</w:t>
            </w:r>
          </w:p>
        </w:tc>
        <w:tc>
          <w:tcPr>
            <w:tcW w:w="2340" w:type="dxa"/>
            <w:vAlign w:val="bottom"/>
            <w:shd w:val="clear" w:color="auto" w:fill="DBDBDB"/>
          </w:tcPr>
          <w:p>
            <w:pPr>
              <w:spacing w:after="0"/>
              <w:rPr>
                <w:sz w:val="15"/>
                <w:szCs w:val="15"/>
                <w:color w:val="auto"/>
              </w:rPr>
            </w:pPr>
          </w:p>
        </w:tc>
      </w:tr>
      <w:tr>
        <w:trPr>
          <w:trHeight w:val="184"/>
        </w:trPr>
        <w:tc>
          <w:tcPr>
            <w:tcW w:w="4380" w:type="dxa"/>
            <w:vAlign w:val="bottom"/>
            <w:shd w:val="clear" w:color="auto" w:fill="DBDBDB"/>
          </w:tcPr>
          <w:p>
            <w:pPr>
              <w:ind w:left="20"/>
              <w:spacing w:after="0" w:line="184" w:lineRule="exact"/>
              <w:rPr>
                <w:sz w:val="20"/>
                <w:szCs w:val="20"/>
                <w:color w:val="auto"/>
              </w:rPr>
            </w:pPr>
            <w:r>
              <w:rPr>
                <w:rFonts w:ascii="Times New Roman" w:cs="Times New Roman" w:eastAsia="Times New Roman" w:hAnsi="Times New Roman"/>
                <w:sz w:val="18"/>
                <w:szCs w:val="18"/>
                <w:color w:val="auto"/>
              </w:rPr>
              <w:t>number of authorized shares of our capital stock), as</w:t>
            </w:r>
          </w:p>
        </w:tc>
        <w:tc>
          <w:tcPr>
            <w:tcW w:w="4460" w:type="dxa"/>
            <w:vAlign w:val="bottom"/>
            <w:shd w:val="clear" w:color="auto" w:fill="DBDBDB"/>
          </w:tcPr>
          <w:p>
            <w:pPr>
              <w:spacing w:after="0"/>
              <w:rPr>
                <w:sz w:val="16"/>
                <w:szCs w:val="16"/>
                <w:color w:val="auto"/>
              </w:rPr>
            </w:pPr>
          </w:p>
        </w:tc>
        <w:tc>
          <w:tcPr>
            <w:tcW w:w="2340" w:type="dxa"/>
            <w:vAlign w:val="bottom"/>
            <w:shd w:val="clear" w:color="auto" w:fill="DBDBDB"/>
          </w:tcPr>
          <w:p>
            <w:pPr>
              <w:spacing w:after="0"/>
              <w:rPr>
                <w:sz w:val="16"/>
                <w:szCs w:val="16"/>
                <w:color w:val="auto"/>
              </w:rPr>
            </w:pPr>
          </w:p>
        </w:tc>
      </w:tr>
      <w:tr>
        <w:trPr>
          <w:trHeight w:val="180"/>
        </w:trPr>
        <w:tc>
          <w:tcPr>
            <w:tcW w:w="4380" w:type="dxa"/>
            <w:vAlign w:val="bottom"/>
            <w:shd w:val="clear" w:color="auto" w:fill="DBDBDB"/>
          </w:tcPr>
          <w:p>
            <w:pPr>
              <w:ind w:left="20"/>
              <w:spacing w:after="0" w:line="181" w:lineRule="exact"/>
              <w:rPr>
                <w:sz w:val="20"/>
                <w:szCs w:val="20"/>
                <w:color w:val="auto"/>
              </w:rPr>
            </w:pPr>
            <w:r>
              <w:rPr>
                <w:rFonts w:ascii="Times New Roman" w:cs="Times New Roman" w:eastAsia="Times New Roman" w:hAnsi="Times New Roman"/>
                <w:sz w:val="18"/>
                <w:szCs w:val="18"/>
                <w:color w:val="auto"/>
              </w:rPr>
              <w:t>described in Proposal No. 4 in the accompanying proxy</w:t>
            </w:r>
          </w:p>
        </w:tc>
        <w:tc>
          <w:tcPr>
            <w:tcW w:w="4460" w:type="dxa"/>
            <w:vAlign w:val="bottom"/>
            <w:shd w:val="clear" w:color="auto" w:fill="DBDBDB"/>
          </w:tcPr>
          <w:p>
            <w:pPr>
              <w:spacing w:after="0"/>
              <w:rPr>
                <w:sz w:val="15"/>
                <w:szCs w:val="15"/>
                <w:color w:val="auto"/>
              </w:rPr>
            </w:pPr>
          </w:p>
        </w:tc>
        <w:tc>
          <w:tcPr>
            <w:tcW w:w="2340" w:type="dxa"/>
            <w:vAlign w:val="bottom"/>
            <w:shd w:val="clear" w:color="auto" w:fill="DBDBDB"/>
          </w:tcPr>
          <w:p>
            <w:pPr>
              <w:spacing w:after="0"/>
              <w:rPr>
                <w:sz w:val="15"/>
                <w:szCs w:val="15"/>
                <w:color w:val="auto"/>
              </w:rPr>
            </w:pPr>
          </w:p>
        </w:tc>
      </w:tr>
      <w:tr>
        <w:trPr>
          <w:trHeight w:val="243"/>
        </w:trPr>
        <w:tc>
          <w:tcPr>
            <w:tcW w:w="43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statement.</w:t>
            </w:r>
          </w:p>
        </w:tc>
        <w:tc>
          <w:tcPr>
            <w:tcW w:w="4460" w:type="dxa"/>
            <w:vAlign w:val="bottom"/>
            <w:shd w:val="clear" w:color="auto" w:fill="DBDBDB"/>
          </w:tcPr>
          <w:p>
            <w:pPr>
              <w:spacing w:after="0"/>
              <w:rPr>
                <w:sz w:val="21"/>
                <w:szCs w:val="21"/>
                <w:color w:val="auto"/>
              </w:rPr>
            </w:pPr>
          </w:p>
        </w:tc>
        <w:tc>
          <w:tcPr>
            <w:tcW w:w="2340" w:type="dxa"/>
            <w:vAlign w:val="bottom"/>
            <w:shd w:val="clear" w:color="auto" w:fill="DBDBDB"/>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180"/>
          </w:cols>
          <w:pgMar w:left="320" w:top="1080" w:right="39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PROPOSAL NO. 5</w:t>
      </w:r>
    </w:p>
    <w:p>
      <w:pPr>
        <w:spacing w:after="0" w:line="23" w:lineRule="exact"/>
        <w:rPr>
          <w:sz w:val="20"/>
          <w:szCs w:val="20"/>
          <w:color w:val="auto"/>
        </w:rPr>
      </w:pPr>
    </w:p>
    <w:p>
      <w:pPr>
        <w:ind w:left="20"/>
        <w:spacing w:after="0" w:line="224" w:lineRule="auto"/>
        <w:rPr>
          <w:sz w:val="20"/>
          <w:szCs w:val="20"/>
          <w:color w:val="auto"/>
        </w:rPr>
      </w:pPr>
      <w:r>
        <w:rPr>
          <w:rFonts w:ascii="Times New Roman" w:cs="Times New Roman" w:eastAsia="Times New Roman" w:hAnsi="Times New Roman"/>
          <w:sz w:val="18"/>
          <w:szCs w:val="18"/>
          <w:color w:val="auto"/>
        </w:rPr>
        <w:t>To approve one or more adjournments of the Special Meeting, if necessary, as described in Proposal No. 5 in the accompanying proxy statement.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If there are insufficient votes to approve the foregoing proposals at the Special Meeting or any adjournment(s) thereof, we need the ability to adjourn the Special Meeting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solicit additional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4445</wp:posOffset>
            </wp:positionV>
            <wp:extent cx="7089140" cy="939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9140" cy="93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40"/>
        <w:spacing w:after="0" w:line="216" w:lineRule="auto"/>
        <w:rPr>
          <w:sz w:val="20"/>
          <w:szCs w:val="20"/>
          <w:color w:val="auto"/>
        </w:rPr>
      </w:pPr>
      <w:r>
        <w:rPr>
          <w:rFonts w:ascii="Times New Roman" w:cs="Times New Roman" w:eastAsia="Times New Roman" w:hAnsi="Times New Roman"/>
          <w:sz w:val="18"/>
          <w:szCs w:val="18"/>
          <w:color w:val="auto"/>
        </w:rPr>
        <w:t>Approval of Proposal No. 5 is independent and not conditioned upon the approval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other proposal.</w:t>
      </w:r>
    </w:p>
    <w:p>
      <w:pPr>
        <w:spacing w:after="0" w:line="200" w:lineRule="exact"/>
        <w:rPr>
          <w:sz w:val="20"/>
          <w:szCs w:val="20"/>
          <w:color w:val="auto"/>
        </w:rPr>
      </w:pPr>
    </w:p>
    <w:p>
      <w:pPr>
        <w:sectPr>
          <w:pgSz w:w="11900" w:h="16838" w:orient="portrait"/>
          <w:cols w:equalWidth="0" w:num="3">
            <w:col w:w="4280" w:space="120"/>
            <w:col w:w="4420" w:space="120"/>
            <w:col w:w="2240"/>
          </w:cols>
          <w:pgMar w:left="320" w:top="1080" w:right="399" w:bottom="1440" w:gutter="0" w:footer="0" w:header="0"/>
          <w:type w:val="continuous"/>
        </w:sectPr>
      </w:pPr>
    </w:p>
    <w:p>
      <w:pPr>
        <w:spacing w:after="0" w:line="23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Board has determined that each of the proposals is in the best interests of the Company and its stockholders and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proposal.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0" w:right="399" w:bottom="1440" w:gutter="0" w:footer="0" w:header="0"/>
          <w:type w:val="continuous"/>
        </w:sectPr>
      </w:pPr>
    </w:p>
    <w:bookmarkStart w:id="11" w:name="page12"/>
    <w:bookmarkEnd w:id="11"/>
    <w:p>
      <w:pPr>
        <w:ind w:right="180"/>
        <w:spacing w:after="0" w:line="266" w:lineRule="auto"/>
        <w:rPr>
          <w:sz w:val="20"/>
          <w:szCs w:val="20"/>
          <w:color w:val="auto"/>
        </w:rPr>
      </w:pPr>
      <w:r>
        <w:rPr>
          <w:rFonts w:ascii="Times New Roman" w:cs="Times New Roman" w:eastAsia="Times New Roman" w:hAnsi="Times New Roman"/>
          <w:sz w:val="18"/>
          <w:szCs w:val="18"/>
          <w:color w:val="auto"/>
        </w:rPr>
        <w:t>Other than the five items of business described in this proxy statement, we are not aware of any other business to be acted upon at the Special Meeting. If any additional matters are properly presented at the Special Meeting, the persons named in the proxy card will have discretion to vote the shares of our Common Stock they represent in accordance with their own judgment on such matters.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Holders of our Common Stock on the Record Date may vote at the Special Meeting. As of the Record Date, there were 488,846,722 shares of our Common Stock outstanding. In deciding all matters at the Special Meeting, each share of our Common Stock held by a stockholder on the Record Date will be entitled to one vote for each of the proposals.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 there any voting agreements in place?</w:t>
      </w:r>
    </w:p>
    <w:p>
      <w:pPr>
        <w:spacing w:after="0" w:line="11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Yes, as of June 4, 2026 (the “</w:t>
      </w:r>
      <w:r>
        <w:rPr>
          <w:rFonts w:ascii="Times New Roman" w:cs="Times New Roman" w:eastAsia="Times New Roman" w:hAnsi="Times New Roman"/>
          <w:sz w:val="18"/>
          <w:szCs w:val="18"/>
          <w:b w:val="1"/>
          <w:bCs w:val="1"/>
          <w:i w:val="1"/>
          <w:iCs w:val="1"/>
          <w:color w:val="auto"/>
        </w:rPr>
        <w:t>Early Settlement Date</w:t>
      </w:r>
      <w:r>
        <w:rPr>
          <w:rFonts w:ascii="Times New Roman" w:cs="Times New Roman" w:eastAsia="Times New Roman" w:hAnsi="Times New Roman"/>
          <w:sz w:val="18"/>
          <w:szCs w:val="18"/>
          <w:color w:val="auto"/>
        </w:rPr>
        <w:t>”), Existing Noteholders holding 90.526% of the aggregate outstanding principal of the Existing Convertible Notes entered into voting agreements, or are deemed to have agreed to substantially the same terms as those in the voting agreements, with the Company in connection with the tender of their Existing Convertible Notes pursuant to which they agreed to be present in person (which includes by remote communication) or by proxy at the Special Meeting and to vote all shares of Common Stock they received in the Exchange Offer and beneficially owned as of the Record Date in favor of the proposals set forth in this proxy statement. Additional information concerning the voting agreements is available under the section of this proxy statement entitled “Background of the Special Meeting—Voting Agreements.”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of Record: Shares Registered in Your Name</w:t>
      </w:r>
    </w:p>
    <w:p>
      <w:pPr>
        <w:spacing w:after="0" w:line="121"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If shares of our Common Stock are registered directly in your name with our transfer agent, Computershare Trust Company, N.A., you are considered the stockholder of record with respect to those shares, and these proxy materials were provided to you directly by us. As the stockholder of record, you have the right to grant your voting proxy and indicate your voting choices directly to the individuals listed on the proxy card or to vote virtually at the Special Meeting. Throughout this proxy statement, we refer to these registered stockholders as “</w:t>
      </w:r>
      <w:r>
        <w:rPr>
          <w:rFonts w:ascii="Times New Roman" w:cs="Times New Roman" w:eastAsia="Times New Roman" w:hAnsi="Times New Roman"/>
          <w:sz w:val="18"/>
          <w:szCs w:val="18"/>
          <w:b w:val="1"/>
          <w:bCs w:val="1"/>
          <w:i w:val="1"/>
          <w:iCs w:val="1"/>
          <w:color w:val="auto"/>
        </w:rPr>
        <w:t>stockholders of record</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Street Name Stockholders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shares of our Common Stock are held on your behalf in a brokerage account or by a bank or other nominee, you are considered to be the beneficial owner of shares that are held in “street name,” and these proxy materials were forwarded to you by your broker, bank or other nominee, who is considered the stockholder of record with respect to those shares. As the beneficial owner, you have the right to direct your broker, bank or other nominee as to how to vote your shares in the manner provided in the voting instructions you receive from your broker, bank or other nominee. However, because a street name stockholder is not the stockholder of record, you may not vote your shares of our Common Stock electronically at the Special Meeting unless you follow the procedures required by your broker, bank or other nominee. Throughout this proxy statement, we refer to stockholders who hold their shares through a broker, bank or other nominee as “</w:t>
      </w:r>
      <w:r>
        <w:rPr>
          <w:rFonts w:ascii="Times New Roman" w:cs="Times New Roman" w:eastAsia="Times New Roman" w:hAnsi="Times New Roman"/>
          <w:sz w:val="18"/>
          <w:szCs w:val="18"/>
          <w:b w:val="1"/>
          <w:bCs w:val="1"/>
          <w:i w:val="1"/>
          <w:iCs w:val="1"/>
          <w:color w:val="auto"/>
        </w:rPr>
        <w:t>street name stockholders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 quorum?</w:t>
      </w:r>
    </w:p>
    <w:p>
      <w:pPr>
        <w:spacing w:after="0" w:line="12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A quorum is the minimum number of shares required to be present at the Special Meeting to properly hold a stockholder meeting and conduct business under our amended and restated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and Delaware law. The presence at the Special Meeting, by virtual attendance or by proxy, of holders representing a majority of our outstanding Common Stock as of June 5, 2026 constitutes a quorum at the meeting, permitting us to conduct our business. Abstentions and broker non-votes are counted as shares present and entitled to vote for purposes of determining a quorum.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effect of giving a proxy?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Proxies are solicited by and on behalf of the Board. Faheem Hasnain (our President, Chief Executive Officer and Chairman) and Christian Waage (our Executive Vice President, General Counsel) have been designated as proxy holders by the Board. When proxies are properly dated, executed and returned, the shares represented by such proxies will be voted at the Special Meeting in accordance with the instructions of the stockholder. If no specific instructions are given, however, the shares will be voted in accordance with the recommendations of the Board as described in this proxy statement. If any matters not described in this proxy statement are properly presented at the Special Meeting, the proxy holders will use their own judgment to determine how to vote the shares. If the Special Meeting is postponed, adjourned or continued, the proxy holders can vote the shares on the new Special Meeting date as well, unless you have properly revoked your proxy instructions, as described below.</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How many votes are needed for approval of each proposal?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PROPOSAL</w:t>
            </w:r>
          </w:p>
        </w:tc>
        <w:tc>
          <w:tcPr>
            <w:tcW w:w="9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VOTE NEEDED FOR APPROVAL AND EFFECT OF ABSTENTIONS AND BROKER NON-VOTES</w:t>
            </w:r>
          </w:p>
        </w:tc>
      </w:tr>
      <w:tr>
        <w:trPr>
          <w:trHeight w:val="225"/>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 NO. 1</w:t>
            </w:r>
          </w:p>
        </w:tc>
        <w:tc>
          <w:tcPr>
            <w:tcW w:w="9000" w:type="dxa"/>
            <w:vAlign w:val="bottom"/>
          </w:tcPr>
          <w:p>
            <w:pPr>
              <w:spacing w:after="0"/>
              <w:rPr>
                <w:sz w:val="19"/>
                <w:szCs w:val="19"/>
                <w:color w:val="auto"/>
              </w:rPr>
            </w:pPr>
          </w:p>
        </w:tc>
      </w:tr>
      <w:tr>
        <w:trPr>
          <w:trHeight w:val="180"/>
        </w:trPr>
        <w:tc>
          <w:tcPr>
            <w:tcW w:w="1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Approval of the Nasdaq</w:t>
            </w:r>
          </w:p>
        </w:tc>
        <w:tc>
          <w:tcPr>
            <w:tcW w:w="900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Affirmative vote of the holders of a majority in voting power of the votes cast affirmatively or negatively on the proposal,</w:t>
            </w:r>
          </w:p>
        </w:tc>
      </w:tr>
      <w:tr>
        <w:trPr>
          <w:trHeight w:val="184"/>
        </w:trPr>
        <w:tc>
          <w:tcPr>
            <w:tcW w:w="1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5635(d) Proposal</w:t>
            </w:r>
          </w:p>
        </w:tc>
        <w:tc>
          <w:tcPr>
            <w:tcW w:w="900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meaning the number of shares voted “For” the proposal must exceed the number of shares voted “Against” the proposal.</w:t>
            </w:r>
          </w:p>
        </w:tc>
      </w:tr>
      <w:tr>
        <w:trPr>
          <w:trHeight w:val="180"/>
        </w:trPr>
        <w:tc>
          <w:tcPr>
            <w:tcW w:w="1820" w:type="dxa"/>
            <w:vAlign w:val="bottom"/>
          </w:tcPr>
          <w:p>
            <w:pPr>
              <w:spacing w:after="0"/>
              <w:rPr>
                <w:sz w:val="15"/>
                <w:szCs w:val="15"/>
                <w:color w:val="auto"/>
              </w:rPr>
            </w:pPr>
          </w:p>
        </w:tc>
        <w:tc>
          <w:tcPr>
            <w:tcW w:w="900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Abstentions will not be counted toward the tabulation of votes cast on this proposal and will have no effect on the proposal.</w:t>
            </w:r>
          </w:p>
        </w:tc>
      </w:tr>
      <w:tr>
        <w:trPr>
          <w:trHeight w:val="175"/>
        </w:trPr>
        <w:tc>
          <w:tcPr>
            <w:tcW w:w="1820" w:type="dxa"/>
            <w:vAlign w:val="bottom"/>
          </w:tcPr>
          <w:p>
            <w:pPr>
              <w:spacing w:after="0"/>
              <w:rPr>
                <w:sz w:val="15"/>
                <w:szCs w:val="15"/>
                <w:color w:val="auto"/>
              </w:rPr>
            </w:pPr>
          </w:p>
        </w:tc>
        <w:tc>
          <w:tcPr>
            <w:tcW w:w="90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Broker non-votes will have no effect on this proposal as brokers or other nominees are not entitled to vote on such proposal</w:t>
            </w:r>
          </w:p>
        </w:tc>
      </w:tr>
      <w:tr>
        <w:trPr>
          <w:trHeight w:val="234"/>
        </w:trPr>
        <w:tc>
          <w:tcPr>
            <w:tcW w:w="1820" w:type="dxa"/>
            <w:vAlign w:val="bottom"/>
          </w:tcPr>
          <w:p>
            <w:pPr>
              <w:spacing w:after="0"/>
              <w:rPr>
                <w:sz w:val="20"/>
                <w:szCs w:val="20"/>
                <w:color w:val="auto"/>
              </w:rPr>
            </w:pPr>
          </w:p>
        </w:tc>
        <w:tc>
          <w:tcPr>
            <w:tcW w:w="9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 the absence of voting instructions from the beneficial owner.</w:t>
            </w: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PROPOSAL NO. 2</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Approval of the Restated Affirmative vote of the holders of a majority in voting power of the votes cast affirmatively or negatively on the proposal,</w:t>
      </w:r>
    </w:p>
    <w:tbl>
      <w:tblPr>
        <w:tblLayout w:type="fixed"/>
        <w:tblInd w:w="0" w:type="dxa"/>
        <w:tblCellMar>
          <w:top w:w="0" w:type="dxa"/>
          <w:left w:w="0" w:type="dxa"/>
          <w:bottom w:w="0" w:type="dxa"/>
          <w:right w:w="0" w:type="dxa"/>
        </w:tblCellMar>
      </w:tblPr>
      <w:tr>
        <w:trPr>
          <w:trHeight w:val="169"/>
        </w:trPr>
        <w:tc>
          <w:tcPr>
            <w:tcW w:w="18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Plan Proposal</w:t>
            </w:r>
          </w:p>
        </w:tc>
        <w:tc>
          <w:tcPr>
            <w:tcW w:w="898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color w:val="auto"/>
              </w:rPr>
              <w:t>meaning the number of shares voted “For” the proposal must exceed the number of shares voted “Against” the proposal.</w:t>
            </w:r>
          </w:p>
        </w:tc>
      </w:tr>
      <w:tr>
        <w:trPr>
          <w:trHeight w:val="180"/>
        </w:trPr>
        <w:tc>
          <w:tcPr>
            <w:tcW w:w="1840" w:type="dxa"/>
            <w:vAlign w:val="bottom"/>
          </w:tcPr>
          <w:p>
            <w:pPr>
              <w:spacing w:after="0"/>
              <w:rPr>
                <w:sz w:val="15"/>
                <w:szCs w:val="15"/>
                <w:color w:val="auto"/>
              </w:rPr>
            </w:pPr>
          </w:p>
        </w:tc>
        <w:tc>
          <w:tcPr>
            <w:tcW w:w="89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Abstentions will not be counted toward the tabulation of votes cast on this proposal and will have no effect on the proposal.</w:t>
            </w:r>
          </w:p>
        </w:tc>
      </w:tr>
      <w:tr>
        <w:trPr>
          <w:trHeight w:val="176"/>
        </w:trPr>
        <w:tc>
          <w:tcPr>
            <w:tcW w:w="1840" w:type="dxa"/>
            <w:vAlign w:val="bottom"/>
          </w:tcPr>
          <w:p>
            <w:pPr>
              <w:spacing w:after="0"/>
              <w:rPr>
                <w:sz w:val="15"/>
                <w:szCs w:val="15"/>
                <w:color w:val="auto"/>
              </w:rPr>
            </w:pPr>
          </w:p>
        </w:tc>
        <w:tc>
          <w:tcPr>
            <w:tcW w:w="898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Broker non-votes will have no effect on this proposal as brokers or other nominees are not entitled to vote on such proposal</w:t>
            </w:r>
          </w:p>
        </w:tc>
      </w:tr>
      <w:tr>
        <w:trPr>
          <w:trHeight w:val="234"/>
        </w:trPr>
        <w:tc>
          <w:tcPr>
            <w:tcW w:w="1840" w:type="dxa"/>
            <w:vAlign w:val="bottom"/>
          </w:tcPr>
          <w:p>
            <w:pPr>
              <w:spacing w:after="0"/>
              <w:rPr>
                <w:sz w:val="20"/>
                <w:szCs w:val="20"/>
                <w:color w:val="auto"/>
              </w:rPr>
            </w:pP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the absence of voting instructions from the beneficial owner.</w:t>
            </w:r>
          </w:p>
        </w:tc>
      </w:tr>
      <w:tr>
        <w:trPr>
          <w:trHeight w:val="233"/>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 NO. 3</w:t>
            </w:r>
          </w:p>
        </w:tc>
        <w:tc>
          <w:tcPr>
            <w:tcW w:w="8980" w:type="dxa"/>
            <w:vAlign w:val="bottom"/>
          </w:tcPr>
          <w:p>
            <w:pPr>
              <w:spacing w:after="0"/>
              <w:rPr>
                <w:sz w:val="20"/>
                <w:szCs w:val="20"/>
                <w:color w:val="auto"/>
              </w:rPr>
            </w:pPr>
          </w:p>
        </w:tc>
      </w:tr>
      <w:tr>
        <w:trPr>
          <w:trHeight w:val="180"/>
        </w:trPr>
        <w:tc>
          <w:tcPr>
            <w:tcW w:w="1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Approval of the</w:t>
            </w:r>
          </w:p>
        </w:tc>
        <w:tc>
          <w:tcPr>
            <w:tcW w:w="89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Affirmative vote of the holders of a majority of the votes cast at the Special Meeting pursuant to Section 242(d)(2) of the</w:t>
            </w:r>
          </w:p>
        </w:tc>
      </w:tr>
      <w:tr>
        <w:trPr>
          <w:trHeight w:val="184"/>
        </w:trPr>
        <w:tc>
          <w:tcPr>
            <w:tcW w:w="1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Authorized Share</w:t>
            </w:r>
          </w:p>
        </w:tc>
        <w:tc>
          <w:tcPr>
            <w:tcW w:w="898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General Corporation Law of the State of Delaware. Abstentions will not be counted toward the tabulation of votes cast on</w:t>
            </w:r>
          </w:p>
        </w:tc>
      </w:tr>
      <w:tr>
        <w:trPr>
          <w:trHeight w:val="180"/>
        </w:trPr>
        <w:tc>
          <w:tcPr>
            <w:tcW w:w="1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Increase Proposal</w:t>
            </w:r>
          </w:p>
        </w:tc>
        <w:tc>
          <w:tcPr>
            <w:tcW w:w="89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this proposal and will have no effect on the proposal. Broker non-votes, if any, will also have no effect on the outcome of</w:t>
            </w:r>
          </w:p>
        </w:tc>
      </w:tr>
      <w:tr>
        <w:trPr>
          <w:trHeight w:val="175"/>
        </w:trPr>
        <w:tc>
          <w:tcPr>
            <w:tcW w:w="1840" w:type="dxa"/>
            <w:vAlign w:val="bottom"/>
          </w:tcPr>
          <w:p>
            <w:pPr>
              <w:spacing w:after="0"/>
              <w:rPr>
                <w:sz w:val="15"/>
                <w:szCs w:val="15"/>
                <w:color w:val="auto"/>
              </w:rPr>
            </w:pPr>
          </w:p>
        </w:tc>
        <w:tc>
          <w:tcPr>
            <w:tcW w:w="898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this proposal. Because Proposal No. 3 is considered a routine matter on which a broker or other nominee has discretionary</w:t>
            </w:r>
          </w:p>
        </w:tc>
      </w:tr>
      <w:tr>
        <w:trPr>
          <w:trHeight w:val="234"/>
        </w:trPr>
        <w:tc>
          <w:tcPr>
            <w:tcW w:w="1840" w:type="dxa"/>
            <w:vAlign w:val="bottom"/>
          </w:tcPr>
          <w:p>
            <w:pPr>
              <w:spacing w:after="0"/>
              <w:rPr>
                <w:sz w:val="20"/>
                <w:szCs w:val="20"/>
                <w:color w:val="auto"/>
              </w:rPr>
            </w:pP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authority to vote, no broker non-votes will likely result from this proposal.</w:t>
            </w:r>
          </w:p>
        </w:tc>
      </w:tr>
      <w:tr>
        <w:trPr>
          <w:trHeight w:val="233"/>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 NO. 4</w:t>
            </w:r>
          </w:p>
        </w:tc>
        <w:tc>
          <w:tcPr>
            <w:tcW w:w="8980" w:type="dxa"/>
            <w:vAlign w:val="bottom"/>
          </w:tcPr>
          <w:p>
            <w:pPr>
              <w:spacing w:after="0"/>
              <w:rPr>
                <w:sz w:val="20"/>
                <w:szCs w:val="20"/>
                <w:color w:val="auto"/>
              </w:rPr>
            </w:pPr>
          </w:p>
        </w:tc>
      </w:tr>
      <w:tr>
        <w:trPr>
          <w:trHeight w:val="180"/>
        </w:trPr>
        <w:tc>
          <w:tcPr>
            <w:tcW w:w="1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Approval of the Reverse</w:t>
            </w:r>
          </w:p>
        </w:tc>
        <w:tc>
          <w:tcPr>
            <w:tcW w:w="89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Affirmative vote of the holders of a majority of the votes cast at the Special Meeting pursuant to Section 242(d)(2) of the</w:t>
            </w:r>
          </w:p>
        </w:tc>
      </w:tr>
      <w:tr>
        <w:trPr>
          <w:trHeight w:val="184"/>
        </w:trPr>
        <w:tc>
          <w:tcPr>
            <w:tcW w:w="1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Stock Split Proposal</w:t>
            </w:r>
          </w:p>
        </w:tc>
        <w:tc>
          <w:tcPr>
            <w:tcW w:w="898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General Corporation Law of the State of Delaware. Abstentions will not be counted toward the tabulation of votes cast on</w:t>
            </w:r>
          </w:p>
        </w:tc>
      </w:tr>
      <w:tr>
        <w:trPr>
          <w:trHeight w:val="180"/>
        </w:trPr>
        <w:tc>
          <w:tcPr>
            <w:tcW w:w="1840" w:type="dxa"/>
            <w:vAlign w:val="bottom"/>
          </w:tcPr>
          <w:p>
            <w:pPr>
              <w:spacing w:after="0"/>
              <w:rPr>
                <w:sz w:val="15"/>
                <w:szCs w:val="15"/>
                <w:color w:val="auto"/>
              </w:rPr>
            </w:pPr>
          </w:p>
        </w:tc>
        <w:tc>
          <w:tcPr>
            <w:tcW w:w="89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this proposal and will have no effect on the proposal. Broker non-votes, if any, will also have no effect on the outcome of</w:t>
            </w:r>
          </w:p>
        </w:tc>
      </w:tr>
      <w:tr>
        <w:trPr>
          <w:trHeight w:val="176"/>
        </w:trPr>
        <w:tc>
          <w:tcPr>
            <w:tcW w:w="1840" w:type="dxa"/>
            <w:vAlign w:val="bottom"/>
          </w:tcPr>
          <w:p>
            <w:pPr>
              <w:spacing w:after="0"/>
              <w:rPr>
                <w:sz w:val="15"/>
                <w:szCs w:val="15"/>
                <w:color w:val="auto"/>
              </w:rPr>
            </w:pPr>
          </w:p>
        </w:tc>
        <w:tc>
          <w:tcPr>
            <w:tcW w:w="898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this proposal. Because Proposal No. 4 is considered a routine matter on which a broker or other nominee has discretionary</w:t>
            </w:r>
          </w:p>
        </w:tc>
      </w:tr>
      <w:tr>
        <w:trPr>
          <w:trHeight w:val="234"/>
        </w:trPr>
        <w:tc>
          <w:tcPr>
            <w:tcW w:w="1840" w:type="dxa"/>
            <w:vAlign w:val="bottom"/>
          </w:tcPr>
          <w:p>
            <w:pPr>
              <w:spacing w:after="0"/>
              <w:rPr>
                <w:sz w:val="20"/>
                <w:szCs w:val="20"/>
                <w:color w:val="auto"/>
              </w:rPr>
            </w:pP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authority to vote, no broker non-votes will likely result from this proposal.</w:t>
            </w:r>
          </w:p>
        </w:tc>
      </w:tr>
      <w:tr>
        <w:trPr>
          <w:trHeight w:val="233"/>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 NO. 5</w:t>
            </w:r>
          </w:p>
        </w:tc>
        <w:tc>
          <w:tcPr>
            <w:tcW w:w="8980" w:type="dxa"/>
            <w:vAlign w:val="bottom"/>
          </w:tcPr>
          <w:p>
            <w:pPr>
              <w:spacing w:after="0"/>
              <w:rPr>
                <w:sz w:val="20"/>
                <w:szCs w:val="20"/>
                <w:color w:val="auto"/>
              </w:rPr>
            </w:pPr>
          </w:p>
        </w:tc>
      </w:tr>
      <w:tr>
        <w:trPr>
          <w:trHeight w:val="180"/>
        </w:trPr>
        <w:tc>
          <w:tcPr>
            <w:tcW w:w="1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Approval of the</w:t>
            </w:r>
          </w:p>
        </w:tc>
        <w:tc>
          <w:tcPr>
            <w:tcW w:w="89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Affirmative vote of the holders of a majority in voting power of the votes cast affirmatively or negatively on the proposal,</w:t>
            </w:r>
          </w:p>
        </w:tc>
      </w:tr>
      <w:tr>
        <w:trPr>
          <w:trHeight w:val="184"/>
        </w:trPr>
        <w:tc>
          <w:tcPr>
            <w:tcW w:w="1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Adjournment Proposal</w:t>
            </w:r>
          </w:p>
        </w:tc>
        <w:tc>
          <w:tcPr>
            <w:tcW w:w="898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meaning the number of shares voted “For” the proposal must exceed the number of shares voted “Against” the proposal.</w:t>
            </w:r>
          </w:p>
        </w:tc>
      </w:tr>
      <w:tr>
        <w:trPr>
          <w:trHeight w:val="180"/>
        </w:trPr>
        <w:tc>
          <w:tcPr>
            <w:tcW w:w="1840" w:type="dxa"/>
            <w:vAlign w:val="bottom"/>
          </w:tcPr>
          <w:p>
            <w:pPr>
              <w:spacing w:after="0"/>
              <w:rPr>
                <w:sz w:val="15"/>
                <w:szCs w:val="15"/>
                <w:color w:val="auto"/>
              </w:rPr>
            </w:pPr>
          </w:p>
        </w:tc>
        <w:tc>
          <w:tcPr>
            <w:tcW w:w="89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Abstentions will not be counted toward the tabulation of votes cast on this proposal and will have no effect on the proposal.</w:t>
            </w:r>
          </w:p>
        </w:tc>
      </w:tr>
      <w:tr>
        <w:trPr>
          <w:trHeight w:val="175"/>
        </w:trPr>
        <w:tc>
          <w:tcPr>
            <w:tcW w:w="1840" w:type="dxa"/>
            <w:vAlign w:val="bottom"/>
          </w:tcPr>
          <w:p>
            <w:pPr>
              <w:spacing w:after="0"/>
              <w:rPr>
                <w:sz w:val="15"/>
                <w:szCs w:val="15"/>
                <w:color w:val="auto"/>
              </w:rPr>
            </w:pPr>
          </w:p>
        </w:tc>
        <w:tc>
          <w:tcPr>
            <w:tcW w:w="898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Broker non-votes will have no effect on this proposal as brokers or other nominees are not entitled to vote on such proposal</w:t>
            </w:r>
          </w:p>
        </w:tc>
      </w:tr>
      <w:tr>
        <w:trPr>
          <w:trHeight w:val="239"/>
        </w:trPr>
        <w:tc>
          <w:tcPr>
            <w:tcW w:w="1840" w:type="dxa"/>
            <w:vAlign w:val="bottom"/>
          </w:tcPr>
          <w:p>
            <w:pPr>
              <w:spacing w:after="0"/>
              <w:rPr>
                <w:sz w:val="20"/>
                <w:szCs w:val="20"/>
                <w:color w:val="auto"/>
              </w:rPr>
            </w:pP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the absence of voting instructions from the beneficial owner.</w:t>
            </w:r>
          </w:p>
        </w:tc>
      </w:tr>
      <w:tr>
        <w:trPr>
          <w:trHeight w:val="112"/>
        </w:trPr>
        <w:tc>
          <w:tcPr>
            <w:tcW w:w="1840" w:type="dxa"/>
            <w:vAlign w:val="bottom"/>
            <w:shd w:val="clear" w:color="auto" w:fill="CCEEFF"/>
          </w:tcPr>
          <w:p>
            <w:pPr>
              <w:spacing w:after="0"/>
              <w:rPr>
                <w:sz w:val="9"/>
                <w:szCs w:val="9"/>
                <w:color w:val="auto"/>
              </w:rPr>
            </w:pPr>
          </w:p>
        </w:tc>
        <w:tc>
          <w:tcPr>
            <w:tcW w:w="8980" w:type="dxa"/>
            <w:vAlign w:val="bottom"/>
            <w:shd w:val="clear" w:color="auto" w:fill="CCEEFF"/>
          </w:tcPr>
          <w:p>
            <w:pPr>
              <w:spacing w:after="0"/>
              <w:rPr>
                <w:sz w:val="9"/>
                <w:szCs w:val="9"/>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results will be tabulated and certified by the inspector of election appointed for the Special Meeting.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each of the proposals, you may vote “For,” “Against” or abstain from voting.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Stockholders of Record: Shares Registered in Your Name</w:t>
      </w:r>
    </w:p>
    <w:p>
      <w:pPr>
        <w:spacing w:after="0" w:line="11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there are several ways for you to vote your shares. Whether or not you plan to attend the virtual Special Meeting, we urge you to vote by proxy prior to the Special meeting to ensure that your vote is counted.</w:t>
      </w:r>
    </w:p>
    <w:p>
      <w:pPr>
        <w:spacing w:after="0" w:line="94" w:lineRule="exact"/>
        <w:rPr>
          <w:sz w:val="20"/>
          <w:szCs w:val="20"/>
          <w:color w:val="auto"/>
        </w:rPr>
      </w:pPr>
    </w:p>
    <w:p>
      <w:pPr>
        <w:ind w:left="660" w:hanging="328"/>
        <w:spacing w:after="0" w:line="239"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u w:val="single" w:color="auto"/>
          <w:color w:val="auto"/>
        </w:rPr>
        <w:t>Via the Internet</w:t>
      </w:r>
      <w:r>
        <w:rPr>
          <w:rFonts w:ascii="Times New Roman" w:cs="Times New Roman" w:eastAsia="Times New Roman" w:hAnsi="Times New Roman"/>
          <w:sz w:val="18"/>
          <w:szCs w:val="18"/>
          <w:color w:val="auto"/>
        </w:rPr>
        <w:t xml:space="preserve">: You may vote at </w:t>
      </w:r>
      <w:r>
        <w:rPr>
          <w:rFonts w:ascii="Times New Roman" w:cs="Times New Roman" w:eastAsia="Times New Roman" w:hAnsi="Times New Roman"/>
          <w:sz w:val="18"/>
          <w:szCs w:val="18"/>
          <w:u w:val="single" w:color="auto"/>
          <w:color w:val="auto"/>
        </w:rPr>
        <w:t>www.proxypush.com/GOSS</w:t>
      </w:r>
      <w:r>
        <w:rPr>
          <w:rFonts w:ascii="Times New Roman" w:cs="Times New Roman" w:eastAsia="Times New Roman" w:hAnsi="Times New Roman"/>
          <w:sz w:val="18"/>
          <w:szCs w:val="18"/>
          <w:color w:val="auto"/>
        </w:rPr>
        <w:t xml:space="preserve"> 24 hours a day, seven days a week. Votes submitted via the Internet must be received by 8:59 a.m., Pacific Time, on July 14, 2026. Have your proxy card available when you call and use the Control Number shown on your proxy card.</w:t>
      </w:r>
    </w:p>
    <w:p>
      <w:pPr>
        <w:spacing w:after="0" w:line="91" w:lineRule="exact"/>
        <w:rPr>
          <w:rFonts w:ascii="Arial" w:cs="Arial" w:eastAsia="Arial" w:hAnsi="Arial"/>
          <w:sz w:val="22"/>
          <w:szCs w:val="22"/>
          <w:color w:val="auto"/>
        </w:rPr>
      </w:pPr>
    </w:p>
    <w:p>
      <w:pPr>
        <w:ind w:left="660" w:right="8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Telephone</w:t>
      </w:r>
      <w:r>
        <w:rPr>
          <w:rFonts w:ascii="Times New Roman" w:cs="Times New Roman" w:eastAsia="Times New Roman" w:hAnsi="Times New Roman"/>
          <w:sz w:val="18"/>
          <w:szCs w:val="18"/>
          <w:color w:val="auto"/>
        </w:rPr>
        <w:t>: You may vote using a touch-tone telephone by calling (866)-230-8457, 24 hours a day, seven days a week. Have your proxy card available when you call and use the Control Number shown on your proxy card. Votes submitted by telephone must be received by 8:59 a.m., Pacific Time, on July 14, 2026.</w:t>
      </w:r>
    </w:p>
    <w:p>
      <w:pPr>
        <w:spacing w:after="0" w:line="67"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Mail</w:t>
      </w:r>
      <w:r>
        <w:rPr>
          <w:rFonts w:ascii="Times New Roman" w:cs="Times New Roman" w:eastAsia="Times New Roman" w:hAnsi="Times New Roman"/>
          <w:sz w:val="18"/>
          <w:szCs w:val="18"/>
          <w:color w:val="auto"/>
        </w:rPr>
        <w:t>: You may vote using your proxy card by completing, signing, dating and returning the proxy card in the self-addressed, postage-paid envelope provided. If you properly complete your proxy card and send it to us in time to vote, your proxy (one of the individuals named on your proxy card) will vote your shares as you have directed.</w:t>
      </w:r>
    </w:p>
    <w:p>
      <w:pPr>
        <w:spacing w:after="0" w:line="200" w:lineRule="exact"/>
        <w:rPr>
          <w:sz w:val="20"/>
          <w:szCs w:val="20"/>
          <w:color w:val="auto"/>
        </w:rPr>
      </w:pPr>
    </w:p>
    <w:p>
      <w:pPr>
        <w:spacing w:after="0" w:line="3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35" w:right="459" w:bottom="1440" w:gutter="0" w:footer="0" w:header="0"/>
        </w:sectPr>
      </w:pPr>
    </w:p>
    <w:bookmarkStart w:id="13" w:name="page14"/>
    <w:bookmarkEnd w:id="13"/>
    <w:p>
      <w:pPr>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 the Virtual Special Meeting</w:t>
      </w:r>
      <w:r>
        <w:rPr>
          <w:rFonts w:ascii="Times New Roman" w:cs="Times New Roman" w:eastAsia="Times New Roman" w:hAnsi="Times New Roman"/>
          <w:sz w:val="18"/>
          <w:szCs w:val="18"/>
          <w:color w:val="auto"/>
        </w:rPr>
        <w:t>: You may vote during the virtual Special Meeting through www.proxydocs.com/GOSS. To be admitted to the Special Meeting and vote your shares, you must register to attend the Special Meeting at www.proxydocs.com/GOSS by the Registration Deadline of 5:00 p.m. Pacific Time on July 13, 2026, and provide the Control Number shown on your proxy card. After completion of your registration by the Registration Deadline, further instructions, including a unique link to access the Special Meeting, will be emailed to you.</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Street Name Holders (Beneficial Owners): Shares Registered in the Name of a Broker, Bank, or Other Nominee</w:t>
      </w:r>
    </w:p>
    <w:p>
      <w:pPr>
        <w:spacing w:after="0" w:line="11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If you are a street name holder, you should have received voting instructions from your broker, bank or other nominee rather than directly from us. Please check with your bank, broker, or other nominee and follow the voting instructions they provide to vote your shares. Generally, you have three options for returning your proxy.</w:t>
      </w:r>
    </w:p>
    <w:p>
      <w:pPr>
        <w:spacing w:after="0" w:line="68" w:lineRule="exact"/>
        <w:rPr>
          <w:sz w:val="20"/>
          <w:szCs w:val="20"/>
          <w:color w:val="auto"/>
        </w:rPr>
      </w:pPr>
    </w:p>
    <w:p>
      <w:pPr>
        <w:ind w:left="660" w:right="20" w:hanging="328"/>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Method Listed on Voting Instruction Card</w:t>
      </w:r>
      <w:r>
        <w:rPr>
          <w:rFonts w:ascii="Times New Roman" w:cs="Times New Roman" w:eastAsia="Times New Roman" w:hAnsi="Times New Roman"/>
          <w:sz w:val="18"/>
          <w:szCs w:val="18"/>
          <w:color w:val="auto"/>
        </w:rPr>
        <w:t>: Please refer to your voting instruction card or other information provided by your bank, broker or other nominee to determine whether you may vote by telephone or electronically on the Internet, and follow the instructions on the voting instruction card or other information provided by your broker, bank or other nominee. A large number of banks and brokerage firms offer Internet and telephone voting. If your bank, broker or other nominee does not offer Internet or telephone voting information, please follow the other voting instructions they provide to vote your shares.</w:t>
      </w:r>
    </w:p>
    <w:p>
      <w:pPr>
        <w:spacing w:after="0" w:line="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Mail</w:t>
      </w:r>
      <w:r>
        <w:rPr>
          <w:rFonts w:ascii="Times New Roman" w:cs="Times New Roman" w:eastAsia="Times New Roman" w:hAnsi="Times New Roman"/>
          <w:sz w:val="18"/>
          <w:szCs w:val="18"/>
          <w:color w:val="auto"/>
        </w:rPr>
        <w:t>: You may vote by signing, dating and returning your voting instruction card in the pre-addressed envelope provided by your broker, bank or other nominee.</w:t>
      </w:r>
    </w:p>
    <w:p>
      <w:pPr>
        <w:spacing w:after="0" w:line="53" w:lineRule="exact"/>
        <w:rPr>
          <w:rFonts w:ascii="Times New Roman" w:cs="Times New Roman" w:eastAsia="Times New Roman" w:hAnsi="Times New Roman"/>
          <w:sz w:val="18"/>
          <w:szCs w:val="18"/>
          <w:color w:val="auto"/>
        </w:rPr>
      </w:pPr>
    </w:p>
    <w:p>
      <w:pPr>
        <w:ind w:left="660" w:right="100" w:hanging="328"/>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 the Virtual Special Meeting</w:t>
      </w:r>
      <w:r>
        <w:rPr>
          <w:rFonts w:ascii="Times New Roman" w:cs="Times New Roman" w:eastAsia="Times New Roman" w:hAnsi="Times New Roman"/>
          <w:sz w:val="18"/>
          <w:szCs w:val="18"/>
          <w:color w:val="auto"/>
        </w:rPr>
        <w:t>: To vote online during the virtual Special Meeting, you must obtain a valid proxy from your broker, bank or other nominee. Follow the instructions from your broker, bank or other nominee included with these proxy materials, or contact your broker or bank to request the proxy form authorizing you to vote the shares. You must also register to attend the Special Meeting at www.proxydocs.com/GOSS by the Registration Deadline and provide the Control Number shown on your proxy card. After completion of your registration by the Registration Deadline, further instructions, including a unique link to access the Special Meeting, will be emailed to you.</w:t>
      </w:r>
    </w:p>
    <w:p>
      <w:pPr>
        <w:spacing w:after="0" w:line="7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VOTING VIA THE INTERNET OR BY TELEPHONE IS FAST AND CONVENIENT, AND YOUR VOTE IS IMMEDIATELY CONFIRMED AND TABULATED. VOTING EARLY WILL HELP AVOID ADDITIONAL SOLICITATION COSTS AND WILL NOT PREVENT YOU FROM VOTING ELECTRONICALLY DURING THE SPECIAL MEETING IF YOU WISH TO DO SO.</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If you are a stockholder of record, you can change your vote or revoke your proxy any time before the Special Meeting by:</w:t>
      </w:r>
    </w:p>
    <w:p>
      <w:pPr>
        <w:spacing w:after="0" w:line="117"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a new vote by Internet or by telephone;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and returning a later-dated proxy card;</w:t>
      </w:r>
    </w:p>
    <w:p>
      <w:pPr>
        <w:spacing w:after="0" w:line="117" w:lineRule="exact"/>
        <w:rPr>
          <w:rFonts w:ascii="Times New Roman" w:cs="Times New Roman" w:eastAsia="Times New Roman" w:hAnsi="Times New Roman"/>
          <w:sz w:val="18"/>
          <w:szCs w:val="18"/>
          <w:color w:val="auto"/>
        </w:rPr>
      </w:pPr>
    </w:p>
    <w:p>
      <w:pPr>
        <w:ind w:left="1300" w:right="240" w:hanging="644"/>
        <w:spacing w:after="0" w:line="266"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Notifying our corporate secretary, Christian Waage, at 3115 Merryfield Row, Suite 120, San Diego, California 92121 in writing before the Special Meeting that you have revoked your proxy, after which you are entitled to submit a new proxy or vote during the virtual Special Meeting; or</w:t>
      </w:r>
    </w:p>
    <w:p>
      <w:pPr>
        <w:spacing w:after="0" w:line="67"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and voting electronically at the virtual Special Meeting (although attendance at the Special Meeting will not, by itself, revoke a proxy).</w:t>
      </w:r>
    </w:p>
    <w:p>
      <w:pPr>
        <w:spacing w:after="0" w:line="162" w:lineRule="exact"/>
        <w:rPr>
          <w:sz w:val="20"/>
          <w:szCs w:val="20"/>
          <w:color w:val="auto"/>
        </w:rPr>
      </w:pPr>
    </w:p>
    <w:p>
      <w:pPr>
        <w:ind w:right="1460"/>
        <w:spacing w:after="0" w:line="375" w:lineRule="auto"/>
        <w:rPr>
          <w:sz w:val="20"/>
          <w:szCs w:val="20"/>
          <w:color w:val="auto"/>
        </w:rPr>
      </w:pPr>
      <w:r>
        <w:rPr>
          <w:rFonts w:ascii="Times New Roman" w:cs="Times New Roman" w:eastAsia="Times New Roman" w:hAnsi="Times New Roman"/>
          <w:sz w:val="18"/>
          <w:szCs w:val="18"/>
          <w:color w:val="auto"/>
        </w:rPr>
        <w:t xml:space="preserve">If you are a street name stockholder, your broker, bank or other nominee can provide you with instructions on how to change your vote. </w:t>
      </w:r>
      <w:r>
        <w:rPr>
          <w:rFonts w:ascii="Times New Roman" w:cs="Times New Roman" w:eastAsia="Times New Roman" w:hAnsi="Times New Roman"/>
          <w:sz w:val="18"/>
          <w:szCs w:val="18"/>
          <w:b w:val="1"/>
          <w:bCs w:val="1"/>
          <w:color w:val="auto"/>
        </w:rPr>
        <w:t>How are proxies solicited for the Special Meeting?</w:t>
      </w:r>
    </w:p>
    <w:p>
      <w:pPr>
        <w:spacing w:after="0" w:line="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will bear the total expense of the solicitation, which will include amounts paid for printing and postage and to reimburse banks, brokerage firms and others for their expenses in forwarding proxy solicitation materials. In addition, our directors and employees may also solicit proxies in person, by telephone or by other means of communication. Our directors and employees will not be paid any additional compensation for soliciting proxies.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may my broker, bank or other nominee vote my shares if I fail to provide timely directions?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Brokers, banks and other nominees holding shares of our Common Stock in street name for their customers are generally required to vote such shares in the manner directed by their customers. In the absence of timely directions, your broker, bank or other nominee may have discretion to vote your shares on Proposal No. 3 (Authorized Share Increase Proposal) and Proposal No. 4 (Reverse Stock Split Proposal), which are the only “routine” matters being considered at the Special Meeting. Absent direction from you, your broker, bank or other nominee will not have discretion to vote on Proposal No. 1 (Nasdaq 5635(d)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4" w:name="page15"/>
    <w:bookmarkEnd w:id="14"/>
    <w:p>
      <w:pPr>
        <w:ind w:right="20"/>
        <w:spacing w:after="0" w:line="258" w:lineRule="auto"/>
        <w:rPr>
          <w:sz w:val="20"/>
          <w:szCs w:val="20"/>
          <w:color w:val="auto"/>
        </w:rPr>
      </w:pPr>
      <w:r>
        <w:rPr>
          <w:rFonts w:ascii="Times New Roman" w:cs="Times New Roman" w:eastAsia="Times New Roman" w:hAnsi="Times New Roman"/>
          <w:sz w:val="18"/>
          <w:szCs w:val="18"/>
          <w:color w:val="auto"/>
        </w:rPr>
        <w:t>Proposal), Proposal No. 2 (Restated Plan Proposal) and Proposal No. 5 (Adjournment Proposal), which are considered “non-routine” matters. If the broker, bank or other nominee that holds your shares in street name returns a proxy card without voting on any non-routine proposal because it did not receive voting instructions from you on that proposal, this is referred to as a “broker non-vote.” Broker non-votes will be counted in determining whether a quorum exists at the Special Meeting. The effect of broker non-votes on the outcome of each proposal to be voted on at the Special Meeting is explained above under “—How many votes are needed for approval of each proposal?”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will count the votes obtained at the Special Meeting?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results will be tabulated and certified by the inspector of election appointed for the Special Meeting.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Special Meeting?</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will announce preliminary voting results at the Special Meeting. We will also disclose voting results on a Current Report on Form 8-K that we will file with the SEC within four business days after the Special Meeting. If final voting results are not available to us in time to file a Current Report on Form 8-K within four business days after the Special Meeting, we will file a Current Report on Form 8-K to publish preliminary results and will provide the final results in an amendment to the Current Report on Form 8-K as soon as they become available.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BACKGROUND OF THE SPECIAL MEETING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Offer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Special Meeting is being held to consider various proposals arising out of the Exchange Offer of the Existing Convertible Notes for a combination of</w:t>
      </w:r>
    </w:p>
    <w:p>
      <w:pPr>
        <w:spacing w:after="0" w:line="27" w:lineRule="exact"/>
        <w:rPr>
          <w:sz w:val="20"/>
          <w:szCs w:val="20"/>
          <w:color w:val="auto"/>
        </w:rPr>
      </w:pPr>
    </w:p>
    <w:p>
      <w:pPr>
        <w:ind w:right="40" w:firstLine="8"/>
        <w:spacing w:after="0" w:line="252" w:lineRule="auto"/>
        <w:tabs>
          <w:tab w:leader="none" w:pos="2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$72.0 million in aggregate principal amount of New Convertible Notes, (ii) up to 317,647,058 New Shares or, in lieu of issuing shares of Common Stock to the extent such shares would cause any Eligible Holder to beneficially own greater than 9.99% of the outstanding Common Stock, Prefunded Warrants, and (iii) with respect to Eligible Holders who validly tendered (and did not validly withdraw at or prior to the Withdrawal Deadline) their Existing Convertible Notes and validly delivered their related Consents at or prior to the Extended Early Tender Date, 135,789,000 Purchase Warrants. The Exchange Offer is intended to address the future debt repayment obligations related to the Existing Convertible Notes in a timely and organized manner prior to their maturity, provide the Company with an enhanced capital structure and strengthen the Company’s balance sheet. The Exchange Offer itself is not subject to stockholder approval.</w:t>
      </w:r>
    </w:p>
    <w:p>
      <w:pPr>
        <w:spacing w:after="0" w:line="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Offered Securities are being offered, in accordance with Section 4(a)(2) and Rule 506 of Regulation 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only to holders of Existing Convertible Notes (the “</w:t>
      </w:r>
      <w:r>
        <w:rPr>
          <w:rFonts w:ascii="Times New Roman" w:cs="Times New Roman" w:eastAsia="Times New Roman" w:hAnsi="Times New Roman"/>
          <w:sz w:val="18"/>
          <w:szCs w:val="18"/>
          <w:b w:val="1"/>
          <w:bCs w:val="1"/>
          <w:i w:val="1"/>
          <w:iCs w:val="1"/>
          <w:color w:val="auto"/>
        </w:rPr>
        <w:t>Eligible Holders</w:t>
      </w:r>
      <w:r>
        <w:rPr>
          <w:rFonts w:ascii="Times New Roman" w:cs="Times New Roman" w:eastAsia="Times New Roman" w:hAnsi="Times New Roman"/>
          <w:sz w:val="18"/>
          <w:szCs w:val="18"/>
          <w:color w:val="auto"/>
        </w:rPr>
        <w:t>”) that represent in the eligibility certification that is available from the Information Agent (as defined below) that they are “qualified institutional buyers” as defined in Rule 144A under the Securities Act.</w:t>
      </w:r>
    </w:p>
    <w:p>
      <w:pPr>
        <w:spacing w:after="0" w:line="6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We have engaged D.F. King &amp; Co., Inc. to act as the exchange agent (in such capacity, the “</w:t>
      </w:r>
      <w:r>
        <w:rPr>
          <w:rFonts w:ascii="Times New Roman" w:cs="Times New Roman" w:eastAsia="Times New Roman" w:hAnsi="Times New Roman"/>
          <w:sz w:val="18"/>
          <w:szCs w:val="18"/>
          <w:b w:val="1"/>
          <w:bCs w:val="1"/>
          <w:i w:val="1"/>
          <w:iCs w:val="1"/>
          <w:color w:val="auto"/>
        </w:rPr>
        <w:t>Exchange Agent</w:t>
      </w:r>
      <w:r>
        <w:rPr>
          <w:rFonts w:ascii="Times New Roman" w:cs="Times New Roman" w:eastAsia="Times New Roman" w:hAnsi="Times New Roman"/>
          <w:sz w:val="18"/>
          <w:szCs w:val="18"/>
          <w:color w:val="auto"/>
        </w:rPr>
        <w:t>”), and the information agent (in such capacity, the “</w:t>
      </w:r>
      <w:r>
        <w:rPr>
          <w:rFonts w:ascii="Times New Roman" w:cs="Times New Roman" w:eastAsia="Times New Roman" w:hAnsi="Times New Roman"/>
          <w:sz w:val="18"/>
          <w:szCs w:val="18"/>
          <w:b w:val="1"/>
          <w:bCs w:val="1"/>
          <w:i w:val="1"/>
          <w:iCs w:val="1"/>
          <w:color w:val="auto"/>
        </w:rPr>
        <w:t>Information Agent</w:t>
      </w:r>
      <w:r>
        <w:rPr>
          <w:rFonts w:ascii="Times New Roman" w:cs="Times New Roman" w:eastAsia="Times New Roman" w:hAnsi="Times New Roman"/>
          <w:sz w:val="18"/>
          <w:szCs w:val="18"/>
          <w:color w:val="auto"/>
        </w:rPr>
        <w:t>”) for the Exchange Offer.</w:t>
      </w:r>
    </w:p>
    <w:p>
      <w:pPr>
        <w:spacing w:after="0" w:line="5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Existing Convertible Notes were issued pursuant to an indenture, dated as of May 21, 2020, and a first supplemental indenture, dated as of May 21, 2020 (together, the “</w:t>
      </w:r>
      <w:r>
        <w:rPr>
          <w:rFonts w:ascii="Times New Roman" w:cs="Times New Roman" w:eastAsia="Times New Roman" w:hAnsi="Times New Roman"/>
          <w:sz w:val="18"/>
          <w:szCs w:val="18"/>
          <w:b w:val="1"/>
          <w:bCs w:val="1"/>
          <w:i w:val="1"/>
          <w:iCs w:val="1"/>
          <w:color w:val="auto"/>
        </w:rPr>
        <w:t>Existing Convertible Notes Indenture</w:t>
      </w:r>
      <w:r>
        <w:rPr>
          <w:rFonts w:ascii="Times New Roman" w:cs="Times New Roman" w:eastAsia="Times New Roman" w:hAnsi="Times New Roman"/>
          <w:sz w:val="18"/>
          <w:szCs w:val="18"/>
          <w:color w:val="auto"/>
        </w:rPr>
        <w:t>”), each between the Company, as issuer, and Wilmington Trust, National Association, as the trustee. In conjunction with the Exchange Offer, the Company also solicited (the “</w:t>
      </w:r>
      <w:r>
        <w:rPr>
          <w:rFonts w:ascii="Times New Roman" w:cs="Times New Roman" w:eastAsia="Times New Roman" w:hAnsi="Times New Roman"/>
          <w:sz w:val="18"/>
          <w:szCs w:val="18"/>
          <w:b w:val="1"/>
          <w:bCs w:val="1"/>
          <w:i w:val="1"/>
          <w:iCs w:val="1"/>
          <w:color w:val="auto"/>
        </w:rPr>
        <w:t>Consent Solicitation</w:t>
      </w:r>
      <w:r>
        <w:rPr>
          <w:rFonts w:ascii="Times New Roman" w:cs="Times New Roman" w:eastAsia="Times New Roman" w:hAnsi="Times New Roman"/>
          <w:sz w:val="18"/>
          <w:szCs w:val="18"/>
          <w:color w:val="auto"/>
        </w:rPr>
        <w:t>”) consents (the “</w:t>
      </w:r>
      <w:r>
        <w:rPr>
          <w:rFonts w:ascii="Times New Roman" w:cs="Times New Roman" w:eastAsia="Times New Roman" w:hAnsi="Times New Roman"/>
          <w:sz w:val="18"/>
          <w:szCs w:val="18"/>
          <w:b w:val="1"/>
          <w:bCs w:val="1"/>
          <w:i w:val="1"/>
          <w:iCs w:val="1"/>
          <w:color w:val="auto"/>
        </w:rPr>
        <w:t>Consents</w:t>
      </w:r>
      <w:r>
        <w:rPr>
          <w:rFonts w:ascii="Times New Roman" w:cs="Times New Roman" w:eastAsia="Times New Roman" w:hAnsi="Times New Roman"/>
          <w:sz w:val="18"/>
          <w:szCs w:val="18"/>
          <w:color w:val="auto"/>
        </w:rPr>
        <w:t>”) from holders of the Existing Convertible Notes to certain proposed amendments (the “</w:t>
      </w:r>
      <w:r>
        <w:rPr>
          <w:rFonts w:ascii="Times New Roman" w:cs="Times New Roman" w:eastAsia="Times New Roman" w:hAnsi="Times New Roman"/>
          <w:sz w:val="18"/>
          <w:szCs w:val="18"/>
          <w:b w:val="1"/>
          <w:bCs w:val="1"/>
          <w:i w:val="1"/>
          <w:iCs w:val="1"/>
          <w:color w:val="auto"/>
        </w:rPr>
        <w:t>Proposed Amendments</w:t>
      </w:r>
      <w:r>
        <w:rPr>
          <w:rFonts w:ascii="Times New Roman" w:cs="Times New Roman" w:eastAsia="Times New Roman" w:hAnsi="Times New Roman"/>
          <w:sz w:val="18"/>
          <w:szCs w:val="18"/>
          <w:color w:val="auto"/>
        </w:rPr>
        <w:t>”) to the Existing Convertible Notes Indenture, to eliminate substantially all of the restrictive covenants, certain of the default provisions and certain other provisions contained in the Existing Convertible Notes Indenture. As of the Extended Early Tender Date, the Company had obtained sufficient consents to effectuate the Proposed Amendments. As a result, the Proposed Amendments became effective upon the Early Settlement Date.</w:t>
      </w:r>
    </w:p>
    <w:p>
      <w:pPr>
        <w:spacing w:after="0" w:line="8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In connection with the Exchange Offer, on May 18, 2026, the Company entered into a transaction support agreement with certain beneficial owners or nominees, investment managers or advisors for beneficial holders of the Existing Convertible Notes (the “</w:t>
      </w:r>
      <w:r>
        <w:rPr>
          <w:rFonts w:ascii="Times New Roman" w:cs="Times New Roman" w:eastAsia="Times New Roman" w:hAnsi="Times New Roman"/>
          <w:sz w:val="18"/>
          <w:szCs w:val="18"/>
          <w:b w:val="1"/>
          <w:bCs w:val="1"/>
          <w:i w:val="1"/>
          <w:iCs w:val="1"/>
          <w:color w:val="auto"/>
        </w:rPr>
        <w:t>Supporting Noteholders</w:t>
      </w:r>
      <w:r>
        <w:rPr>
          <w:rFonts w:ascii="Times New Roman" w:cs="Times New Roman" w:eastAsia="Times New Roman" w:hAnsi="Times New Roman"/>
          <w:sz w:val="18"/>
          <w:szCs w:val="18"/>
          <w:color w:val="auto"/>
        </w:rPr>
        <w:t>”) who held, as of the effective date of the Transaction Support Agreement, approximately 75.2% of the aggregate principal amount of the Existing Convertible Notes (the “</w:t>
      </w:r>
      <w:r>
        <w:rPr>
          <w:rFonts w:ascii="Times New Roman" w:cs="Times New Roman" w:eastAsia="Times New Roman" w:hAnsi="Times New Roman"/>
          <w:sz w:val="18"/>
          <w:szCs w:val="18"/>
          <w:b w:val="1"/>
          <w:bCs w:val="1"/>
          <w:i w:val="1"/>
          <w:iCs w:val="1"/>
          <w:color w:val="auto"/>
        </w:rPr>
        <w:t>Transaction Support Agreement</w:t>
      </w:r>
      <w:r>
        <w:rPr>
          <w:rFonts w:ascii="Times New Roman" w:cs="Times New Roman" w:eastAsia="Times New Roman" w:hAnsi="Times New Roman"/>
          <w:sz w:val="18"/>
          <w:szCs w:val="18"/>
          <w:color w:val="auto"/>
        </w:rPr>
        <w:t>”), pursuant to which the Supporting Noteholders individually agreed, among other things, to support the Exchange Offer, including by tendering all of their Existing Convertible Notes in the Exchange Offer prior to the Extended Early Tender Date.</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Exchange Offer commenced on May 18, 2026 and is expected to expire on June 16, 2026, unless extended or earlier terminated subject to the terms of the Transaction Support Agreement and Exchange Offer, with final settlement, if any expected to occur on June 18, 2026 (the date on which the final settlement occurs, the “</w:t>
      </w:r>
      <w:r>
        <w:rPr>
          <w:rFonts w:ascii="Times New Roman" w:cs="Times New Roman" w:eastAsia="Times New Roman" w:hAnsi="Times New Roman"/>
          <w:sz w:val="18"/>
          <w:szCs w:val="18"/>
          <w:b w:val="1"/>
          <w:bCs w:val="1"/>
          <w:i w:val="1"/>
          <w:iCs w:val="1"/>
          <w:color w:val="auto"/>
        </w:rPr>
        <w:t>Final Settlement Date</w:t>
      </w:r>
      <w:r>
        <w:rPr>
          <w:rFonts w:ascii="Times New Roman" w:cs="Times New Roman" w:eastAsia="Times New Roman" w:hAnsi="Times New Roman"/>
          <w:sz w:val="18"/>
          <w:szCs w:val="18"/>
          <w:color w:val="auto"/>
        </w:rPr>
        <w:t>”). The Final Settlement Date is referred to herein as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provided, however, if there is no Final Settlement Date, the Early Settlement Date shall be deemed to be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for purposes hereof. The Company’s obligation to accept the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5" w:name="page16"/>
    <w:bookmarkEnd w:id="15"/>
    <w:p>
      <w:pPr>
        <w:ind w:right="120"/>
        <w:spacing w:after="0" w:line="257" w:lineRule="auto"/>
        <w:rPr>
          <w:sz w:val="20"/>
          <w:szCs w:val="20"/>
          <w:color w:val="auto"/>
        </w:rPr>
      </w:pPr>
      <w:r>
        <w:rPr>
          <w:rFonts w:ascii="Times New Roman" w:cs="Times New Roman" w:eastAsia="Times New Roman" w:hAnsi="Times New Roman"/>
          <w:sz w:val="18"/>
          <w:szCs w:val="18"/>
          <w:color w:val="auto"/>
        </w:rPr>
        <w:t>Existing Convertible Notes for exchange from holders of the Existing Convertible Notes (the “</w:t>
      </w:r>
      <w:r>
        <w:rPr>
          <w:rFonts w:ascii="Times New Roman" w:cs="Times New Roman" w:eastAsia="Times New Roman" w:hAnsi="Times New Roman"/>
          <w:sz w:val="18"/>
          <w:szCs w:val="18"/>
          <w:b w:val="1"/>
          <w:bCs w:val="1"/>
          <w:i w:val="1"/>
          <w:iCs w:val="1"/>
          <w:color w:val="auto"/>
        </w:rPr>
        <w:t>Existing Noteholders</w:t>
      </w:r>
      <w:r>
        <w:rPr>
          <w:rFonts w:ascii="Times New Roman" w:cs="Times New Roman" w:eastAsia="Times New Roman" w:hAnsi="Times New Roman"/>
          <w:sz w:val="18"/>
          <w:szCs w:val="18"/>
          <w:color w:val="auto"/>
        </w:rPr>
        <w:t>”) was subject to the satisfaction of certain conditions, unless such conditions were waived in accordance with the terms of the Exchange Offer and the Transaction Support Agreement. Existing Noteholders have agreed to vote their New Shares by validly tendering and exchanging their Existing Notes in accordance with the Exchange Offer; Supporting Noteholders additionally entered into voting agreements where they agreed to vote their New Shares as further described below. See the section of this proxy statement entitled “Proposal No. 1: Nasdaq 5635(d) Issuance of Additional Shares” for additional information concerning the Exchange Offer and the New Convertible Notes.</w:t>
      </w:r>
    </w:p>
    <w:p>
      <w:pPr>
        <w:spacing w:after="0" w:line="7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Offered Securities have not been, and will not be, registered under the Securities Act of 1933, as amended, or any other securities laws. This proxy statement shall not constitute an offer to sell, or the solicitation of an offer to buy, the Offered Securities, any shares underlying the Offered Securities, the Existing Convertible Notes or any other securities, nor will there be any sale of such securities or any other securities, in any state or other jurisdiction in which such offer, sale or solicitation would be unlawful.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Restated Plan</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Also, in connection with the Exchange Offer, we are holding the Special Meeting for our stockholders to consider a proposal to approve the Restated Plan, which was approved by the Board on May 15, 2026, to increase the number of shares of Common Stock authorized for issuance thereunder. The Restated Plan was effective on May 18, 2026, subject to the occurrence of the Closing Date and stockholder approval at the Special Meeting. See the section of this proxy statement entitled “Proposal No. 2: Amendment and Restatement of the 2019 Incentive Award Plan” for additional information concerning the Restated Plan.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early settlement of the Exchange Offer has resulted in substantial dilution to existing holders of Common Stock and may result in additional dilution to holders of Common Stock. Based on the number of shares of Common Stock outstanding as of March 31, 2026 and assuming (i) the Existing Noteholders validly tender and exchange 100% of the aggregate outstanding principal amount of the Existing Convertible Notes in the Exchange Offer (of which 90.526% was already tendered and exchanged on the Early Settlement Date) and (ii) all Prefunded Warrants that are issued have been exercised, immediately following the Closing Date, the Existing Noteholders would own in the aggregate 317,647,058 shares, or approximately 57.5%, of the issued and outstanding Common Stock, and would receive in the aggregate $72.0 million in principal amount of New Convertible Notes. Existing holders of Common Stock will be subject to further dilution in the event the New Convertible Notes convert into shares of Common Stock or the Purchase Warrants are exercised for shares of Common Stock. Based on the number of shares of Common Stock outstanding as of March 31, 2026 and assuming (i) the Existing Noteholders validly tender and exchange 100% of the aggregate outstanding principal amount of the Existing Convertible Notes in the Exchange Offer, (ii) all Prefunded Warrants that are issued have been exercised and (iii) the Existing Noteholders subsequently convert 100% of the New Convertible Notes into shares of Common Stock at the floor conversion price in the New Convertible Notes, immediately following the Closing Date and upon such conversion, the Existing Noteholders will own in the aggregate 868,235,293 shares, or approximately 78.7%, of the issued and outstanding Common Stock, inclusive of the maximum number of make-whole shares issuable. The foregoing dilution is prior to giving effect to shares of Common Stock (i) available for issuance, or that may become available for issuance, under the Company’s equity plans; (ii) issuable under outstanding awards granted under the Company’s equity plans; and (iii) reserved for issuance under outstanding warrants, including the Purchase Warrants.</w:t>
      </w:r>
    </w:p>
    <w:p>
      <w:pPr>
        <w:spacing w:after="0" w:line="8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Company’s issued and outstanding shares of Common Stock and shares of Common Stock reserved for future issuance as of March 31, 2026 and on a pro forma basis assuming (i) 100% participation in the Exchange Offer and (ii) approval of Proposal No. 1 (Nasdaq 5635(d) Proposal), Proposal No. 2 (Restated Plan Proposal) and Proposal No. 3 (Authorized Share Increase Proposal):</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March 31, 2026 (Pro</w:t>
            </w:r>
          </w:p>
        </w:tc>
      </w:tr>
      <w:tr>
        <w:trPr>
          <w:trHeight w:val="214"/>
        </w:trPr>
        <w:tc>
          <w:tcPr>
            <w:tcW w:w="78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Forma)</w:t>
            </w:r>
          </w:p>
        </w:tc>
      </w:tr>
      <w:tr>
        <w:trPr>
          <w:trHeight w:val="252"/>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authorized</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700,000,000</w:t>
            </w:r>
          </w:p>
        </w:tc>
        <w:tc>
          <w:tcPr>
            <w:tcW w:w="10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4,000,000,000</w:t>
            </w:r>
          </w:p>
        </w:tc>
        <w:tc>
          <w:tcPr>
            <w:tcW w:w="260" w:type="dxa"/>
            <w:vAlign w:val="bottom"/>
          </w:tcPr>
          <w:p>
            <w:pPr>
              <w:spacing w:after="0"/>
              <w:rPr>
                <w:sz w:val="21"/>
                <w:szCs w:val="21"/>
                <w:color w:val="auto"/>
              </w:rPr>
            </w:pPr>
          </w:p>
        </w:tc>
      </w:tr>
      <w:tr>
        <w:trPr>
          <w:trHeight w:val="256"/>
        </w:trPr>
        <w:tc>
          <w:tcPr>
            <w:tcW w:w="7820" w:type="dxa"/>
            <w:vAlign w:val="bottom"/>
          </w:tcPr>
          <w:p>
            <w:pPr>
              <w:ind w:left="20"/>
              <w:spacing w:after="0" w:line="256" w:lineRule="exact"/>
              <w:rPr>
                <w:sz w:val="20"/>
                <w:szCs w:val="20"/>
                <w:color w:val="auto"/>
              </w:rPr>
            </w:pPr>
            <w:r>
              <w:rPr>
                <w:rFonts w:ascii="Times New Roman" w:cs="Times New Roman" w:eastAsia="Times New Roman" w:hAnsi="Times New Roman"/>
                <w:sz w:val="16"/>
                <w:szCs w:val="16"/>
                <w:color w:val="auto"/>
              </w:rPr>
              <w:t>Common Stock—issued and outstanding</w:t>
            </w:r>
            <w:r>
              <w:rPr>
                <w:rFonts w:ascii="Times New Roman" w:cs="Times New Roman" w:eastAsia="Times New Roman" w:hAnsi="Times New Roman"/>
                <w:sz w:val="23"/>
                <w:szCs w:val="23"/>
                <w:color w:val="auto"/>
                <w:vertAlign w:val="superscript"/>
              </w:rPr>
              <w:t>(1)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234,696,282</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552,343,340</w:t>
            </w:r>
          </w:p>
        </w:tc>
        <w:tc>
          <w:tcPr>
            <w:tcW w:w="260" w:type="dxa"/>
            <w:vAlign w:val="bottom"/>
          </w:tcPr>
          <w:p>
            <w:pPr>
              <w:spacing w:after="0"/>
              <w:rPr>
                <w:sz w:val="22"/>
                <w:szCs w:val="22"/>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reserved for future issuance:</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60" w:type="dxa"/>
            <w:vAlign w:val="bottom"/>
          </w:tcPr>
          <w:p>
            <w:pPr>
              <w:spacing w:after="0"/>
              <w:rPr>
                <w:sz w:val="19"/>
                <w:szCs w:val="19"/>
                <w:color w:val="auto"/>
              </w:rPr>
            </w:pPr>
          </w:p>
        </w:tc>
      </w:tr>
      <w:tr>
        <w:trPr>
          <w:trHeight w:val="257"/>
        </w:trPr>
        <w:tc>
          <w:tcPr>
            <w:tcW w:w="7820" w:type="dxa"/>
            <w:vAlign w:val="bottom"/>
          </w:tcPr>
          <w:p>
            <w:pPr>
              <w:ind w:left="180"/>
              <w:spacing w:after="0" w:line="256" w:lineRule="exact"/>
              <w:rPr>
                <w:sz w:val="20"/>
                <w:szCs w:val="20"/>
                <w:color w:val="auto"/>
              </w:rPr>
            </w:pPr>
            <w:r>
              <w:rPr>
                <w:rFonts w:ascii="Times New Roman" w:cs="Times New Roman" w:eastAsia="Times New Roman" w:hAnsi="Times New Roman"/>
                <w:sz w:val="16"/>
                <w:szCs w:val="16"/>
                <w:color w:val="auto"/>
              </w:rPr>
              <w:t>Equity incentive compensation awards granted and outstanding</w:t>
            </w:r>
            <w:r>
              <w:rPr>
                <w:rFonts w:ascii="Times New Roman" w:cs="Times New Roman" w:eastAsia="Times New Roman" w:hAnsi="Times New Roman"/>
                <w:sz w:val="23"/>
                <w:szCs w:val="23"/>
                <w:color w:val="auto"/>
                <w:vertAlign w:val="superscript"/>
              </w:rPr>
              <w:t>(2)</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66,967,972</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66,967,972</w:t>
            </w:r>
          </w:p>
        </w:tc>
        <w:tc>
          <w:tcPr>
            <w:tcW w:w="260" w:type="dxa"/>
            <w:vAlign w:val="bottom"/>
          </w:tcPr>
          <w:p>
            <w:pPr>
              <w:spacing w:after="0"/>
              <w:rPr>
                <w:sz w:val="22"/>
                <w:szCs w:val="22"/>
                <w:color w:val="auto"/>
              </w:rPr>
            </w:pPr>
          </w:p>
        </w:tc>
      </w:tr>
      <w:tr>
        <w:trPr>
          <w:trHeight w:val="256"/>
        </w:trPr>
        <w:tc>
          <w:tcPr>
            <w:tcW w:w="782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6"/>
                <w:szCs w:val="16"/>
                <w:color w:val="auto"/>
              </w:rPr>
              <w:t>Shares available for issuance under the 2019 Incentive Award Plan</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23"/>
                <w:szCs w:val="23"/>
                <w:color w:val="auto"/>
                <w:vertAlign w:val="superscript"/>
              </w:rPr>
              <w:t>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4,619,694</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81,550,825</w:t>
            </w:r>
          </w:p>
        </w:tc>
        <w:tc>
          <w:tcPr>
            <w:tcW w:w="260" w:type="dxa"/>
            <w:vAlign w:val="bottom"/>
          </w:tcPr>
          <w:p>
            <w:pPr>
              <w:spacing w:after="0"/>
              <w:rPr>
                <w:sz w:val="22"/>
                <w:szCs w:val="22"/>
                <w:color w:val="auto"/>
              </w:rPr>
            </w:pPr>
          </w:p>
        </w:tc>
      </w:tr>
      <w:tr>
        <w:trPr>
          <w:trHeight w:val="257"/>
        </w:trPr>
        <w:tc>
          <w:tcPr>
            <w:tcW w:w="7820" w:type="dxa"/>
            <w:vAlign w:val="bottom"/>
          </w:tcPr>
          <w:p>
            <w:pPr>
              <w:ind w:left="180"/>
              <w:spacing w:after="0" w:line="256" w:lineRule="exact"/>
              <w:rPr>
                <w:sz w:val="20"/>
                <w:szCs w:val="20"/>
                <w:color w:val="auto"/>
              </w:rPr>
            </w:pPr>
            <w:r>
              <w:rPr>
                <w:rFonts w:ascii="Times New Roman" w:cs="Times New Roman" w:eastAsia="Times New Roman" w:hAnsi="Times New Roman"/>
                <w:sz w:val="16"/>
                <w:szCs w:val="16"/>
                <w:color w:val="auto"/>
              </w:rPr>
              <w:t>Shares available for issuance under the 2023 Employment Inducement Incentive Award Plan</w:t>
            </w:r>
            <w:r>
              <w:rPr>
                <w:rFonts w:ascii="Times New Roman" w:cs="Times New Roman" w:eastAsia="Times New Roman" w:hAnsi="Times New Roman"/>
                <w:sz w:val="23"/>
                <w:szCs w:val="23"/>
                <w:color w:val="auto"/>
                <w:vertAlign w:val="superscript"/>
              </w:rPr>
              <w:t>(4)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1,751,033</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r>
      <w:tr>
        <w:trPr>
          <w:trHeight w:val="256"/>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available for issuance under the 2019 Employee Stock Purchase Plan</w:t>
            </w:r>
            <w:r>
              <w:rPr>
                <w:rFonts w:ascii="Times New Roman" w:cs="Times New Roman" w:eastAsia="Times New Roman" w:hAnsi="Times New Roman"/>
                <w:sz w:val="21"/>
                <w:szCs w:val="21"/>
                <w:color w:val="auto"/>
                <w:vertAlign w:val="superscript"/>
              </w:rPr>
              <w:t>(5)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7,250,975</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7,250,975</w:t>
            </w:r>
          </w:p>
        </w:tc>
        <w:tc>
          <w:tcPr>
            <w:tcW w:w="260" w:type="dxa"/>
            <w:vAlign w:val="bottom"/>
          </w:tcPr>
          <w:p>
            <w:pPr>
              <w:spacing w:after="0"/>
              <w:rPr>
                <w:sz w:val="22"/>
                <w:szCs w:val="22"/>
                <w:color w:val="auto"/>
              </w:rPr>
            </w:pPr>
          </w:p>
        </w:tc>
      </w:tr>
      <w:tr>
        <w:trPr>
          <w:trHeight w:val="247"/>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reserved for potential issuance under the Existing Convertible Notes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12,321,900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r>
      <w:tr>
        <w:trPr>
          <w:trHeight w:val="266"/>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reserved for potential issuance under the New Convertible Notes</w:t>
            </w:r>
            <w:r>
              <w:rPr>
                <w:rFonts w:ascii="Times New Roman" w:cs="Times New Roman" w:eastAsia="Times New Roman" w:hAnsi="Times New Roman"/>
                <w:sz w:val="21"/>
                <w:szCs w:val="21"/>
                <w:color w:val="auto"/>
                <w:vertAlign w:val="superscript"/>
              </w:rPr>
              <w:t>(6)</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550,588,235</w:t>
            </w:r>
          </w:p>
        </w:tc>
        <w:tc>
          <w:tcPr>
            <w:tcW w:w="260" w:type="dxa"/>
            <w:vAlign w:val="bottom"/>
          </w:tcPr>
          <w:p>
            <w:pPr>
              <w:spacing w:after="0"/>
              <w:rPr>
                <w:sz w:val="23"/>
                <w:szCs w:val="23"/>
                <w:color w:val="auto"/>
              </w:rPr>
            </w:pPr>
          </w:p>
        </w:tc>
      </w:tr>
      <w:tr>
        <w:trPr>
          <w:trHeight w:val="237"/>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reserved for potential issuance under existing warrants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30,675,537</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30,675,537</w:t>
            </w:r>
          </w:p>
        </w:tc>
        <w:tc>
          <w:tcPr>
            <w:tcW w:w="260" w:type="dxa"/>
            <w:vAlign w:val="bottom"/>
          </w:tcPr>
          <w:p>
            <w:pPr>
              <w:spacing w:after="0"/>
              <w:rPr>
                <w:sz w:val="20"/>
                <w:szCs w:val="20"/>
                <w:color w:val="auto"/>
              </w:rPr>
            </w:pPr>
          </w:p>
        </w:tc>
      </w:tr>
      <w:tr>
        <w:trPr>
          <w:trHeight w:val="924"/>
        </w:trPr>
        <w:tc>
          <w:tcPr>
            <w:tcW w:w="782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15"/>
        </w:trPr>
        <w:tc>
          <w:tcPr>
            <w:tcW w:w="78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57"/>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reserved for potential issuance under the Purchase Warrants</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135,789,000</w:t>
            </w:r>
          </w:p>
        </w:tc>
      </w:tr>
      <w:tr>
        <w:trPr>
          <w:trHeight w:val="23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Common Stock reserved for future issuance</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123,587,111</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872,822,544</w:t>
            </w: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Stock—authorized and unissued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465,303,718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3,447,656,660</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340" w:hanging="332"/>
        <w:spacing w:after="0" w:line="280" w:lineRule="auto"/>
        <w:tabs>
          <w:tab w:leader="none" w:pos="25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 pro-forma basis as of March 31, 2026, Common Stock issued and outstanding includes 317,647,058 shares issued to the holders of Existing Convertible Notes in the Exchange Offer and assumes that all Equity Securities are issued as shares of Common Stock.</w:t>
      </w:r>
    </w:p>
    <w:p>
      <w:pPr>
        <w:spacing w:after="0" w:line="39" w:lineRule="exact"/>
        <w:rPr>
          <w:rFonts w:ascii="Times New Roman" w:cs="Times New Roman" w:eastAsia="Times New Roman" w:hAnsi="Times New Roman"/>
          <w:sz w:val="16"/>
          <w:szCs w:val="16"/>
          <w:color w:val="auto"/>
        </w:rPr>
      </w:pPr>
    </w:p>
    <w:p>
      <w:pPr>
        <w:ind w:left="340" w:hanging="332"/>
        <w:spacing w:after="0" w:line="244" w:lineRule="auto"/>
        <w:tabs>
          <w:tab w:leader="none" w:pos="245"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2026, includes: 58,816,985 shares issuable under stock options outstanding; 4,034,571 shares issuable under unvested restricted stock units (“</w:t>
      </w:r>
      <w:r>
        <w:rPr>
          <w:rFonts w:ascii="Times New Roman" w:cs="Times New Roman" w:eastAsia="Times New Roman" w:hAnsi="Times New Roman"/>
          <w:sz w:val="16"/>
          <w:szCs w:val="16"/>
          <w:b w:val="1"/>
          <w:bCs w:val="1"/>
          <w:i w:val="1"/>
          <w:iCs w:val="1"/>
          <w:color w:val="auto"/>
        </w:rPr>
        <w:t>RSUs</w:t>
      </w:r>
      <w:r>
        <w:rPr>
          <w:rFonts w:ascii="Times New Roman" w:cs="Times New Roman" w:eastAsia="Times New Roman" w:hAnsi="Times New Roman"/>
          <w:sz w:val="16"/>
          <w:szCs w:val="16"/>
          <w:color w:val="auto"/>
        </w:rPr>
        <w:t>”) outstanding; and 4,116,416 shares issuable under unvested performance stock units (“</w:t>
      </w:r>
      <w:r>
        <w:rPr>
          <w:rFonts w:ascii="Times New Roman" w:cs="Times New Roman" w:eastAsia="Times New Roman" w:hAnsi="Times New Roman"/>
          <w:sz w:val="16"/>
          <w:szCs w:val="16"/>
          <w:b w:val="1"/>
          <w:bCs w:val="1"/>
          <w:i w:val="1"/>
          <w:iCs w:val="1"/>
          <w:color w:val="auto"/>
        </w:rPr>
        <w:t>PSUs</w:t>
      </w:r>
      <w:r>
        <w:rPr>
          <w:rFonts w:ascii="Times New Roman" w:cs="Times New Roman" w:eastAsia="Times New Roman" w:hAnsi="Times New Roman"/>
          <w:sz w:val="16"/>
          <w:szCs w:val="16"/>
          <w:color w:val="auto"/>
        </w:rPr>
        <w:t>”) outstanding, in each case under our 2017 Equity Incentive Plan, as amended (the “</w:t>
      </w:r>
      <w:r>
        <w:rPr>
          <w:rFonts w:ascii="Times New Roman" w:cs="Times New Roman" w:eastAsia="Times New Roman" w:hAnsi="Times New Roman"/>
          <w:sz w:val="16"/>
          <w:szCs w:val="16"/>
          <w:b w:val="1"/>
          <w:bCs w:val="1"/>
          <w:i w:val="1"/>
          <w:iCs w:val="1"/>
          <w:color w:val="auto"/>
        </w:rPr>
        <w:t>2017 Plan</w:t>
      </w:r>
      <w:r>
        <w:rPr>
          <w:rFonts w:ascii="Times New Roman" w:cs="Times New Roman" w:eastAsia="Times New Roman" w:hAnsi="Times New Roman"/>
          <w:sz w:val="16"/>
          <w:szCs w:val="16"/>
          <w:color w:val="auto"/>
        </w:rPr>
        <w:t>”), our 2019 Incentive Award Plan, as amended (as in effect prior to the adoption of the Restated Plan, the “</w:t>
      </w:r>
      <w:r>
        <w:rPr>
          <w:rFonts w:ascii="Times New Roman" w:cs="Times New Roman" w:eastAsia="Times New Roman" w:hAnsi="Times New Roman"/>
          <w:sz w:val="16"/>
          <w:szCs w:val="16"/>
          <w:b w:val="1"/>
          <w:bCs w:val="1"/>
          <w:i w:val="1"/>
          <w:iCs w:val="1"/>
          <w:color w:val="auto"/>
        </w:rPr>
        <w:t>Existing Plan</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i w:val="1"/>
          <w:iCs w:val="1"/>
          <w:color w:val="auto"/>
        </w:rPr>
        <w:t>2019 Plan</w:t>
      </w:r>
      <w:r>
        <w:rPr>
          <w:rFonts w:ascii="Times New Roman" w:cs="Times New Roman" w:eastAsia="Times New Roman" w:hAnsi="Times New Roman"/>
          <w:sz w:val="16"/>
          <w:szCs w:val="16"/>
          <w:color w:val="auto"/>
        </w:rPr>
        <w:t>”), and our 2023 Employment Inducement Incentive Award Plan, as amended (the “</w:t>
      </w:r>
      <w:r>
        <w:rPr>
          <w:rFonts w:ascii="Times New Roman" w:cs="Times New Roman" w:eastAsia="Times New Roman" w:hAnsi="Times New Roman"/>
          <w:sz w:val="16"/>
          <w:szCs w:val="16"/>
          <w:b w:val="1"/>
          <w:bCs w:val="1"/>
          <w:i w:val="1"/>
          <w:iCs w:val="1"/>
          <w:color w:val="auto"/>
        </w:rPr>
        <w:t>Inducement Plan</w:t>
      </w:r>
      <w:r>
        <w:rPr>
          <w:rFonts w:ascii="Times New Roman" w:cs="Times New Roman" w:eastAsia="Times New Roman" w:hAnsi="Times New Roman"/>
          <w:sz w:val="16"/>
          <w:szCs w:val="16"/>
          <w:color w:val="auto"/>
        </w:rPr>
        <w:t>”). The 2017 Plan, the Existing Plan, the Restated Plan (once effective), and the Inducement Plan are referred to as the “</w:t>
      </w:r>
      <w:r>
        <w:rPr>
          <w:rFonts w:ascii="Times New Roman" w:cs="Times New Roman" w:eastAsia="Times New Roman" w:hAnsi="Times New Roman"/>
          <w:sz w:val="16"/>
          <w:szCs w:val="16"/>
          <w:b w:val="1"/>
          <w:bCs w:val="1"/>
          <w:i w:val="1"/>
          <w:iCs w:val="1"/>
          <w:color w:val="auto"/>
        </w:rPr>
        <w:t>Company Equity Plans</w:t>
      </w:r>
      <w:r>
        <w:rPr>
          <w:rFonts w:ascii="Times New Roman" w:cs="Times New Roman" w:eastAsia="Times New Roman" w:hAnsi="Times New Roman"/>
          <w:sz w:val="16"/>
          <w:szCs w:val="16"/>
          <w:color w:val="auto"/>
        </w:rPr>
        <w:t>.” On a pro-forma basis as of March 31, 2026 includes: 58,816,985 shares issuable under stock options outstanding; 4,034,571 shares issuable under unvested RSUs outstanding; and 4,116,416 shares issuable under unvested PSUs outstanding, in each case under the Company Equity Plans.</w:t>
      </w:r>
    </w:p>
    <w:p>
      <w:pPr>
        <w:spacing w:after="0" w:line="71" w:lineRule="exact"/>
        <w:rPr>
          <w:rFonts w:ascii="Times New Roman" w:cs="Times New Roman" w:eastAsia="Times New Roman" w:hAnsi="Times New Roman"/>
          <w:sz w:val="16"/>
          <w:szCs w:val="16"/>
          <w:color w:val="auto"/>
        </w:rPr>
      </w:pPr>
    </w:p>
    <w:p>
      <w:pPr>
        <w:ind w:left="340" w:hanging="332"/>
        <w:spacing w:after="0" w:line="280" w:lineRule="auto"/>
        <w:tabs>
          <w:tab w:leader="none" w:pos="245"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2026, reflects shares available for issuance under the Existing Plan. On a pro forma basis as of March 31, 2026 reflects shares available for issuance under the Restated Plan. Does not include future increases to the share reserve under the evergreen provisions of the Existing Plan or the Restated Plan, as applicable.</w:t>
      </w:r>
    </w:p>
    <w:p>
      <w:pPr>
        <w:spacing w:after="0" w:line="43" w:lineRule="exact"/>
        <w:rPr>
          <w:rFonts w:ascii="Times New Roman" w:cs="Times New Roman" w:eastAsia="Times New Roman" w:hAnsi="Times New Roman"/>
          <w:sz w:val="16"/>
          <w:szCs w:val="16"/>
          <w:color w:val="auto"/>
        </w:rPr>
      </w:pPr>
    </w:p>
    <w:p>
      <w:pPr>
        <w:ind w:left="340" w:right="20" w:hanging="332"/>
        <w:spacing w:after="0" w:line="254" w:lineRule="auto"/>
        <w:tabs>
          <w:tab w:leader="none" w:pos="245"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2026, reflects shares available for issuance under the Inducement Plan. The Board determined to cease granting awards under the Inducement Plan upon commencement of the Exchange Offer. As a result, there will be no shares available for future issuance under the Inducement Plan on a pro forma basis as of March 31, 2026.</w:t>
      </w:r>
    </w:p>
    <w:p>
      <w:pPr>
        <w:spacing w:after="0" w:line="6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include future increases to the share reserve under the Employee Stock Purchase Plan pursuant to the evergreen provisions thereof.</w:t>
      </w:r>
    </w:p>
    <w:p>
      <w:pPr>
        <w:spacing w:after="0" w:line="113" w:lineRule="exact"/>
        <w:rPr>
          <w:rFonts w:ascii="Times New Roman" w:cs="Times New Roman" w:eastAsia="Times New Roman" w:hAnsi="Times New Roman"/>
          <w:sz w:val="16"/>
          <w:szCs w:val="16"/>
          <w:color w:val="auto"/>
        </w:rPr>
      </w:pPr>
    </w:p>
    <w:p>
      <w:pPr>
        <w:ind w:left="340" w:hanging="332"/>
        <w:spacing w:after="0" w:line="263" w:lineRule="auto"/>
        <w:tabs>
          <w:tab w:leader="none" w:pos="245"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conversion of the New Convertible Notes and assuming approval of the Nasdaq 5635(d) Proposal and the Authorized Share Increase Proposal, we will deliver up to a maximum of approximately 550,588,235 shares of our Common Stock, inclusive of the maximum number of make-whole shares issuable.</w:t>
      </w:r>
    </w:p>
    <w:p>
      <w:pPr>
        <w:spacing w:after="0" w:line="6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issuance of New Shares in connection with the early settlement of the Exchange Offer increased the number of shares of Common Stock outstanding, and existing holders of our Common Stock incurred substantial dilution in their percentage interest. Further, the potential issuance of shares of Common Stock upon exercise of the Purchase Warrants or Prefunded Warrants or conversion of the New Convertible Notes, or make-whole payments in the form of Common Stock, will increase the number of shares of Common Stock outstanding, and holders of our Common Stock will incur further dilution in their percentage interest. In addition, the sale into the public market of these shares materially and adversely affected, and could further materially and adversely affect, the market price of our Common Stock. Such dilution would, among other things, limit the ability of holders of our Common Stock to influence management of the Company, including through the election of directors, and to influence significant corporate decisions requiring stockholder approval. In addition, there has been be a dilutive effect on both earnings per share of our Common Stock and the book value per share of our Common Stock following the early settlement of the Exchange Offer. In addition, holders of our Common Stock have incurred substantial dilution to their voting interests and own a smaller percentage of our outstanding capital stock as a result of the early settlement of the Exchange Offer.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1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addition, we are holding the Special Meeting for our stockholders to consider a reverse stock split proposal to provide the Board with the authority and flexibility to effect a reverse stock split at a later date, if and when needed, in the event it determines that a reverse stock split is in the best interests of the Company and our stockholders. We believe it is beneficial to provide the Board with the authority and flexibility to effect a reverse stock split, if and when needed, in the event it determines that a reverse stock split is in the best interests of the Company and our stockholders. See the section of this proxy statement entitled “Proposal No. 4: Reverse Stock Split” for additional information.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Agreements</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of the Early Settlement Date, Existing Noteholders holding 90.526% of the aggregate outstanding principal amount of the Existing Convertible Notes entered into voting agreements, or are deemed to have agreed to substantially the same terms as those in the voting agreements, with the Company in connection with the tender of their Existing Convertible Notes pursuant to which they agreed to be present in person (which includes by remote communication) or by proxy at the Special Meeting and to vote all shares of Common Stock they received in the Exchange Offer and beneficially owned as of the Record Date in favor of the proposals set forth in this proxy statement.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NASDAQ 5635(d) ISSUANCE OF ADDITIONAL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Proposal</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are asking stockholders to approve, in accordance with Nasdaq Listing Rule 5635(d), the potential issuance of shares of Common Stock upon (i) conversion of up to $72.0 million in aggregate principal amount of the New Convertible Notes and make-whole payments in the form of Common Stock, and (ii) exercise of 135,789,000 Purchase Warrants, which issuances would, in the aggregate, exceed 20% of the number of shares of Common Stock issued and outstanding immediately prior to the time of commencement of the Exchange Offer.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to Approval of Proposal</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Approval of this Proposal No. 1 (Nasdaq 5635(d) Proposal) is conditioned upon approval of Proposal No. 3 (Authorized Share Increase Proposal). If Proposal No. 3 (Authorized Share Increase Proposal) is not approved, this Proposal No. 1 (Nasdaq 5635(d) Proposal) will also not be approved.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Purpose of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Approval Requirement Under Nasdaq Listing Rule 5635(d)</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Pursuant to Nasdaq Listing Rule 5635(d), stockholder approval is required prior to the issuance of securities in a transaction, other than a public offering, involving the sale, issuance or potential issuance by the Company of Common Stock (or securities convertible into or exercisable for Common Stock), which equals 20% or more of the Common Stock or 20% or more of the voting power outstanding before the issuance, at a price less than the lower of: (i) the closing price immediately preceding the signing of the binding agreement or (ii) the average closing price of the Common Stock for the five trading days immediately preceding the signing of the binding agreement for the transaction. Because the conversion of the New Convertible Notes into shares of Common Stock, or make-whole payments in the form of Common Stock, and the exercise of the Purchase Warrants, would, in the aggregate, result in the potential issuance of greater than 20% of the number of shares of Common Stock issued and outstanding immediately prior to the time of commencement of the Exchange Offer, we are required to obtain stockholder approval for such potential issuance pursuant to Nasdaq Listing Rule 5635(d).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Early Settlement of Exchange Offer</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of the Extended Early Tender Date, $181,052,000 in aggregate principal amount of Existing Convertible Notes was validly tendered in the Exchange Offer and not validly withdrawn (such notes, the “</w:t>
      </w:r>
      <w:r>
        <w:rPr>
          <w:rFonts w:ascii="Times New Roman" w:cs="Times New Roman" w:eastAsia="Times New Roman" w:hAnsi="Times New Roman"/>
          <w:sz w:val="18"/>
          <w:szCs w:val="18"/>
          <w:b w:val="1"/>
          <w:bCs w:val="1"/>
          <w:i w:val="1"/>
          <w:iCs w:val="1"/>
          <w:color w:val="auto"/>
        </w:rPr>
        <w:t>Early Tendered Notes</w:t>
      </w:r>
      <w:r>
        <w:rPr>
          <w:rFonts w:ascii="Times New Roman" w:cs="Times New Roman" w:eastAsia="Times New Roman" w:hAnsi="Times New Roman"/>
          <w:sz w:val="18"/>
          <w:szCs w:val="18"/>
          <w:color w:val="auto"/>
        </w:rPr>
        <w:t>”) and related consents to the Proposed Amendments (as defined below) were validly delivered and not validly withdrawn as of such time. The Early Tendered Notes represented 90.526% of the aggregate outstanding principal amount of Existing Convertible Notes. The Company and the Supporting Noteholders representing a majority of the Existing Convertible Notes held by Supporting Noteholders agreed to amend the condition to the Exchange Offer that a minimum of 98% of the aggregate principal amount of Existing Convertible Notes be validly tendered to a minimum of 90.5% of the aggregate principal amount of Existing Convertible Notes be validly tendered. As a result, on the Early Settlement Date, the Company completed the early settlement of the Exchange Offer in which the Early Tendered Notes were accepted for exchange by the Company and subsequently cancelled. Following the cancellation of the Early Tendered Notes, $18,948,000 in aggregate principal amount of the Existing Convertible Notes remains outstanding. On the Early Settlement Date, the Company issued (i) $65,174,000 in aggregate principal amount of New Convertible Notes and (ii) 254,150,441 New Shares, (iii) 33,402,727 Prefunded Warrants and (iv) 135,789,000 Purchase Warrants, in exchange for the Early Tendered Notes. In accordance with the terms of the Transaction Support Agreement, the Transaction Support Agreement automatically terminated on the Early Settlement Date.</w:t>
      </w:r>
    </w:p>
    <w:p>
      <w:pPr>
        <w:spacing w:after="0" w:line="8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For the remaining holders of Existing Convertible Notes that did not tender their Existing Convertible Notes prior to the Extended Early Tender Date, the Exchange Offer will expire at 5:00 p.m., New York City time, on June 16, 2026 (such time and date, as the same may be extended, the “</w:t>
      </w:r>
      <w:r>
        <w:rPr>
          <w:rFonts w:ascii="Times New Roman" w:cs="Times New Roman" w:eastAsia="Times New Roman" w:hAnsi="Times New Roman"/>
          <w:sz w:val="18"/>
          <w:szCs w:val="18"/>
          <w:b w:val="1"/>
          <w:bCs w:val="1"/>
          <w:i w:val="1"/>
          <w:iCs w:val="1"/>
          <w:color w:val="auto"/>
        </w:rPr>
        <w:t>Expiration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Deadline</w:t>
      </w:r>
      <w:r>
        <w:rPr>
          <w:rFonts w:ascii="Times New Roman" w:cs="Times New Roman" w:eastAsia="Times New Roman" w:hAnsi="Times New Roman"/>
          <w:sz w:val="18"/>
          <w:szCs w:val="18"/>
          <w:color w:val="auto"/>
        </w:rPr>
        <w:t>”), unless extended or earlier terminated. Since the Withdrawal Deadline already occurred and is not being extended, tenders of the Existing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Convertible Notes and related consents may no longer be withdrawn, except in limited circumstances where additional withdrawal rights are required by law. If all conditions to the Exchange Offer have been or are concurrently satisfied or waived at or prior to the Expiration Deadline, unless extended, the Company will accept for exchange any remaining Existing Convertible Notes that were validly tendered in the Exchange Offer following the Extended Early Tender Date and at or prior to the Expiration Deadline, with settlement to occur on the Final Settlement Date.</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New Convertible Notes Indenture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New Convertible Notes issued in connection with the early settlement were issued, and any New Convertible Notes in connection with the final settlement will be issued, pursuant to an indenture and security agreement (the “</w:t>
      </w:r>
      <w:r>
        <w:rPr>
          <w:rFonts w:ascii="Times New Roman" w:cs="Times New Roman" w:eastAsia="Times New Roman" w:hAnsi="Times New Roman"/>
          <w:sz w:val="18"/>
          <w:szCs w:val="18"/>
          <w:b w:val="1"/>
          <w:bCs w:val="1"/>
          <w:i w:val="1"/>
          <w:iCs w:val="1"/>
          <w:color w:val="auto"/>
        </w:rPr>
        <w:t>New Convertible Notes Indenture</w:t>
      </w:r>
      <w:r>
        <w:rPr>
          <w:rFonts w:ascii="Times New Roman" w:cs="Times New Roman" w:eastAsia="Times New Roman" w:hAnsi="Times New Roman"/>
          <w:sz w:val="18"/>
          <w:szCs w:val="18"/>
          <w:color w:val="auto"/>
        </w:rPr>
        <w:t>”), between us, the guarantors party thereto and U.S. Bank Trust Company, National Association, as trustee and as collateral agent. The “</w:t>
      </w:r>
      <w:r>
        <w:rPr>
          <w:rFonts w:ascii="Times New Roman" w:cs="Times New Roman" w:eastAsia="Times New Roman" w:hAnsi="Times New Roman"/>
          <w:sz w:val="18"/>
          <w:szCs w:val="18"/>
          <w:b w:val="1"/>
          <w:bCs w:val="1"/>
          <w:i w:val="1"/>
          <w:iCs w:val="1"/>
          <w:color w:val="auto"/>
        </w:rPr>
        <w:t>Initial Settlement Date</w:t>
      </w:r>
      <w:r>
        <w:rPr>
          <w:rFonts w:ascii="Times New Roman" w:cs="Times New Roman" w:eastAsia="Times New Roman" w:hAnsi="Times New Roman"/>
          <w:sz w:val="18"/>
          <w:szCs w:val="18"/>
          <w:color w:val="auto"/>
        </w:rPr>
        <w:t>” is the date of initial issuance of Offered Securities in the Exchange Offer, which is the Early Settlement Date. The New Convertible Notes will be unconditionally guaranteed on a senior first-priority secured basis by the Company’s current and future wholly-owned domestic subsidiaries, subject to certain customary exceptions. Interest on the New Convertible Notes will be paid semi-annually at a rate of 7.50% per annum. The New Convertible Notes will mature on July 1, 2030, unless earlier converted or repurchased in accordance with the terms of the New Convertible Notes.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terms of the New Convertible Notes Indenture, following the later of (i) the date the conversion rate of the New Convertible Notes has been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and (ii) the earlier of (a) the date of the first special meeting at which we seek stockholder approval of the proposals described herein, whether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not such approvals are obtained and (b) the date that is 61 calendar days following the Initial Settlement Date (as defined below) (such later date,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Conversion Date</w:t>
      </w:r>
      <w:r>
        <w:rPr>
          <w:rFonts w:ascii="Times New Roman" w:cs="Times New Roman" w:eastAsia="Times New Roman" w:hAnsi="Times New Roman"/>
          <w:sz w:val="18"/>
          <w:szCs w:val="18"/>
          <w:color w:val="auto"/>
        </w:rPr>
        <w:t>”), holders may surrender their notes for conversion at any time prior to the close of business on the second scheduled trading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preceding the stated maturity date. The New Convertible Notes will not be convertible at the option of holders prior to the Initial Conversion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9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Upon conversion of the New Convertible Notes and assuming approval of this Proposal No. 1 (Nasdaq 5635(d) Proposal) and Proposal No. 3 (Authorized Share Increase Proposal), we will deliver shares of Common Stock, based on an initial conversion rate determined based on a 10% premium to a reference price calculated as the volume-weighted average price for a 7 trading day period beginning on the trading day immediately after the Final Settlement Date, up to a maximum number of shares (the “</w:t>
      </w:r>
      <w:r>
        <w:rPr>
          <w:rFonts w:ascii="Times New Roman" w:cs="Times New Roman" w:eastAsia="Times New Roman" w:hAnsi="Times New Roman"/>
          <w:sz w:val="18"/>
          <w:szCs w:val="18"/>
          <w:b w:val="1"/>
          <w:bCs w:val="1"/>
          <w:i w:val="1"/>
          <w:iCs w:val="1"/>
          <w:color w:val="auto"/>
        </w:rPr>
        <w:t>share cap</w:t>
      </w:r>
      <w:r>
        <w:rPr>
          <w:rFonts w:ascii="Times New Roman" w:cs="Times New Roman" w:eastAsia="Times New Roman" w:hAnsi="Times New Roman"/>
          <w:sz w:val="18"/>
          <w:szCs w:val="18"/>
          <w:color w:val="auto"/>
        </w:rPr>
        <w:t>”) equal to approximately 550,588,235 shares (assuming 100% participation in the Exchange Offer), inclusive of the maximum number of make-whole shares issuable, settled in the form of shares of our Common Stock, cash or a combination of shares of our Common Stock and cash, at our election.</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number of shares issuable upon conversion of the New Convertible Notes may be increased under certain conditions. Conversions of the New Convertible Notes will result in payment in shares of Common Stock of a sum equal to the remaining scheduled payments of stated interest that would have been made on such notes to be converted had such notes remained outstanding from the conversion date to, and including the maturity date of the New Convertible Notes, subject to the share cap described above.</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New Convertible Notes Indenture, we agreed to convene a special meeting of stockholders to solicit approval of this Proposal No. 1 (Nasdaq 5635(d) Proposal), and the other proposals set forth in this proxy statement. Pursuant to the terms of the New Convertible Notes, prior to obtaining stockholder approval of this Proposal No. 1 (Nasdaq 5635(d) Proposal) and Proposal No. 3 (Authorized Share Increase Proposal), we will only be permitted to satisfy our obligations under the New Convertible Notes upon conversion, including payment of make-whole amounts, in the form of cash settlement of such obligations.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Purchase Warrants</w:t>
      </w:r>
    </w:p>
    <w:p>
      <w:pPr>
        <w:spacing w:after="0" w:line="11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The Company issued the Purchase Warrants under a warrant agreement (the “</w:t>
      </w:r>
      <w:r>
        <w:rPr>
          <w:rFonts w:ascii="Times New Roman" w:cs="Times New Roman" w:eastAsia="Times New Roman" w:hAnsi="Times New Roman"/>
          <w:sz w:val="18"/>
          <w:szCs w:val="18"/>
          <w:b w:val="1"/>
          <w:bCs w:val="1"/>
          <w:i w:val="1"/>
          <w:iCs w:val="1"/>
          <w:color w:val="auto"/>
        </w:rPr>
        <w:t>Warrant Agreement</w:t>
      </w:r>
      <w:r>
        <w:rPr>
          <w:rFonts w:ascii="Times New Roman" w:cs="Times New Roman" w:eastAsia="Times New Roman" w:hAnsi="Times New Roman"/>
          <w:sz w:val="18"/>
          <w:szCs w:val="18"/>
          <w:color w:val="auto"/>
        </w:rPr>
        <w:t>”), dated the Initial Settlement Date, between us and Computershare, Inc. (in such capacity, the “</w:t>
      </w:r>
      <w:r>
        <w:rPr>
          <w:rFonts w:ascii="Times New Roman" w:cs="Times New Roman" w:eastAsia="Times New Roman" w:hAnsi="Times New Roman"/>
          <w:sz w:val="18"/>
          <w:szCs w:val="18"/>
          <w:b w:val="1"/>
          <w:bCs w:val="1"/>
          <w:i w:val="1"/>
          <w:iCs w:val="1"/>
          <w:color w:val="auto"/>
        </w:rPr>
        <w:t>Warrant Agent</w:t>
      </w:r>
      <w:r>
        <w:rPr>
          <w:rFonts w:ascii="Times New Roman" w:cs="Times New Roman" w:eastAsia="Times New Roman" w:hAnsi="Times New Roman"/>
          <w:sz w:val="18"/>
          <w:szCs w:val="18"/>
          <w:color w:val="auto"/>
        </w:rPr>
        <w:t>”). Under the terms of the Warrant Agreement, the Company issued 135,789,000 purchase warrants (the “</w:t>
      </w:r>
      <w:r>
        <w:rPr>
          <w:rFonts w:ascii="Times New Roman" w:cs="Times New Roman" w:eastAsia="Times New Roman" w:hAnsi="Times New Roman"/>
          <w:sz w:val="18"/>
          <w:szCs w:val="18"/>
          <w:b w:val="1"/>
          <w:bCs w:val="1"/>
          <w:i w:val="1"/>
          <w:iCs w:val="1"/>
          <w:color w:val="auto"/>
        </w:rPr>
        <w:t>Purchase Warrants</w:t>
      </w:r>
      <w:r>
        <w:rPr>
          <w:rFonts w:ascii="Times New Roman" w:cs="Times New Roman" w:eastAsia="Times New Roman" w:hAnsi="Times New Roman"/>
          <w:sz w:val="18"/>
          <w:szCs w:val="18"/>
          <w:color w:val="auto"/>
        </w:rPr>
        <w:t>”). Unless and until the Company obtains the approval contemplated by this Proposal No. 1 (Nasdaq 5635(d) Proposal) and Proposal No. 3 (Authorized Share Increase Proposal), no shares of Common Stock will be issuable under the Purchase Warrants.</w:t>
      </w:r>
    </w:p>
    <w:p>
      <w:pPr>
        <w:spacing w:after="0" w:line="6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The initial exercise price (the “</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per whole share of our Common Stock purchasable upon exercise of the Purchase Warrants will be equal to the greater of (i) $0.34, and (ii) 125% of volume-weighted average price for a 7 trading day period. The Exercise Price is subject to adjustments.</w:t>
      </w:r>
    </w:p>
    <w:p>
      <w:pPr>
        <w:spacing w:after="0" w:line="47"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auto"/>
        </w:rPr>
        <w:t>The Purchase Warrants will be exercisable at any time from December 3, 2026 until June 3, 2031 (such period, the “</w:t>
      </w:r>
      <w:r>
        <w:rPr>
          <w:rFonts w:ascii="Times New Roman" w:cs="Times New Roman" w:eastAsia="Times New Roman" w:hAnsi="Times New Roman"/>
          <w:sz w:val="18"/>
          <w:szCs w:val="18"/>
          <w:b w:val="1"/>
          <w:bCs w:val="1"/>
          <w:i w:val="1"/>
          <w:iCs w:val="1"/>
          <w:color w:val="auto"/>
        </w:rPr>
        <w:t>Exercise Period</w:t>
      </w:r>
      <w:r>
        <w:rPr>
          <w:rFonts w:ascii="Times New Roman" w:cs="Times New Roman" w:eastAsia="Times New Roman" w:hAnsi="Times New Roman"/>
          <w:sz w:val="18"/>
          <w:szCs w:val="18"/>
          <w:color w:val="auto"/>
        </w:rPr>
        <w:t>”). The Purchase Warrants will be exercisable, at the option of each holder, during the Exercise Period. Pursuant to the terms of the Purchase Warrants, prior to obtaining stockholder approval of this Proposal No. 1 (Nasdaq 5635(d) Proposal) and Proposal No. 3 (Authorized Share Increase Proposal), we will only be permitted to satisfy our obligations under the Purchase Warrants upon exercise, in the form of cash settlement of such obligations.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Proposal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Proposal</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Subject to approval of Proposal No. 3 (Authorized Share Increase Proposal), if stockholders approve this Proposal No. 1 (Nasdaq 5635(d) Proposal), we will be permitted to elect to settle (i) all of the conversions of the New Convertible Notes in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9" w:name="page20"/>
    <w:bookmarkEnd w:id="19"/>
    <w:p>
      <w:pPr>
        <w:spacing w:after="0" w:line="256" w:lineRule="auto"/>
        <w:rPr>
          <w:sz w:val="20"/>
          <w:szCs w:val="20"/>
          <w:color w:val="auto"/>
        </w:rPr>
      </w:pPr>
      <w:r>
        <w:rPr>
          <w:rFonts w:ascii="Times New Roman" w:cs="Times New Roman" w:eastAsia="Times New Roman" w:hAnsi="Times New Roman"/>
          <w:sz w:val="18"/>
          <w:szCs w:val="18"/>
          <w:color w:val="auto"/>
        </w:rPr>
        <w:t>whole or in part in shares of Common Stock, subject to the terms and conditions of the New Convertible Notes Indenture, and (ii) all exercises of the Purchase Warrants with shares of our Common Stock. Additionally, subject to the availability of authorized shares of Common Stock and the terms and conditions of the New Convertible Notes Indenture, we will be permitted to settle any portion of the make-whole premium due upon conversion, in shares of Common Stock in accordance with the New Convertible Notes Indenture. Approval of this Proposal No. 1 (Nasdaq 5635(d) Proposal) will result in additional potential dilution to holders of Common Stock as discussed in the section of this proxy statement entitled “Background of the Special Meeting— Dilution.”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Approve Proposal</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stockholders do not approve this Proposal No. 1 (Nasdaq 5635(d) Proposal) and Proposal No. 3 (Authorized Share Increase Proposal), then we will be required to satisfy our obligations under (i) the New Convertible Notes upon conversion, including payment of make-whole amounts , and (ii) the Purchase Warrants, in each case, in the form of cash settlement of such obligations. We could also be required to pay substantially more amounts under the New Convertible Notes and Purchase Warrants in the form of cash than if we were permitted to issue Common Stock upon conversion or exercise of the New Convertible Notes or Purchase Warrants, as applicable. If we are required to pay cash upon conversion of the New Convertible Notes, or upon exercise of the Purchase Warrants, it would reduce our available cash flow and limit our cash flow available for operations, expose us to risks that could adversely affect our business, financial condition and results of operations, and potentially impair our ability to satisfy our obligations under our indebtedness. There can be no assurance that we will have sufficient cash to settle such obligations and support our operations. If we do not have sufficient funds to repay our obligations when it becomes due we may be required to significantly reduce, reorganize, discontinue or shut down our operations. Any such failure could also cause us to become insolvent or enter bankruptcy proceedings. Absent approval of this Proposal No. 1 (Nasdaq 5635(d) Proposal) and Proposal No. 3 (Authorized Share Increase Proposal), we will be left with limited financial and corporate flexibility with respect to our ability to satisfy obligations under the New Convertible Notes and Purchase Warrants, which could have a material adverse effect on our financial condition.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Recommendation</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reaching its determination to approve this Proposal No. 1 (Nasdaq 5635(d) Proposal), the Board, with advice from our management and financial and legal advisers, considered a number of factors, including:</w:t>
      </w:r>
    </w:p>
    <w:p>
      <w:pPr>
        <w:spacing w:after="0" w:line="94" w:lineRule="exact"/>
        <w:rPr>
          <w:sz w:val="20"/>
          <w:szCs w:val="20"/>
          <w:color w:val="auto"/>
        </w:rPr>
      </w:pPr>
    </w:p>
    <w:p>
      <w:pPr>
        <w:ind w:left="660" w:right="300" w:hanging="328"/>
        <w:spacing w:after="0" w:line="234"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That it is in our best interest, and that of our stockholders, that we will have the flexibility to issue Common Stock in accordance with the New Convertible Notes Indenture governing the New Convertible Notes;</w:t>
      </w:r>
    </w:p>
    <w:p>
      <w:pPr>
        <w:spacing w:after="0" w:line="91" w:lineRule="exact"/>
        <w:rPr>
          <w:rFonts w:ascii="Arial" w:cs="Arial" w:eastAsia="Arial" w:hAnsi="Arial"/>
          <w:sz w:val="22"/>
          <w:szCs w:val="22"/>
          <w:color w:val="auto"/>
        </w:rPr>
      </w:pPr>
    </w:p>
    <w:p>
      <w:pPr>
        <w:ind w:left="660" w:right="1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is in our best interest, and that of our stockholders, that we will have the ability to issue shares of our Common Stock upon exercise of the Purchase Warrants;</w:t>
      </w:r>
    </w:p>
    <w:p>
      <w:pPr>
        <w:spacing w:after="0" w:line="94" w:lineRule="exact"/>
        <w:rPr>
          <w:rFonts w:ascii="Times New Roman" w:cs="Times New Roman" w:eastAsia="Times New Roman" w:hAnsi="Times New Roman"/>
          <w:sz w:val="18"/>
          <w:szCs w:val="18"/>
          <w:color w:val="auto"/>
        </w:rPr>
      </w:pPr>
    </w:p>
    <w:p>
      <w:pPr>
        <w:ind w:left="660" w:right="400" w:hanging="328"/>
        <w:spacing w:after="0" w:line="234"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That Proposal No. 1 (Nasdaq 5635(d) Proposal) will provide us with additional options to convert the New Convertible Notes pursuant to the terms of, and subject to the conditions described in, the New Convertible Notes Indenture; and</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Our current financial condition, cash flow and liquidity, including our outstanding debt obligations.</w:t>
      </w:r>
    </w:p>
    <w:p>
      <w:pPr>
        <w:spacing w:after="0" w:line="10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After evaluating these factors, and based upon their knowledge of our business, financial condition and prospects, potential financing alternatives (or lack thereof), and the views of our management, the Board concluded that the potential issuance of more than 20% of the number of shares of Common Stock issued and outstanding immediately prior to the time of commencement of the Exchange Offer upon (i) conversion of up to $72.0 million in aggregate principal amount of the New Convertible Notes or make-whole payments in the form of Common Stock and (ii) exercise of 135,789,000 Purchase Warrants, is in our best interest, and in the best interests of our stockholders, and recommends that our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this Proposal No. 1 (Nasdaq 5635(d) Proposal).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Recommendation of the Board of Directors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Proposal No. 1 (Nasdaq 5635(d) Proposal) requires the affirmative vote of the holders of a majority in voting power of the votes cast affirmatively or negatively on the proposal, meaning the number of shares voted “For” the proposal must exceed the number of shares voted “Against” the proposal. Abstentions will not be counted toward the tabulation of votes cast on this proposal and will have no effect on the proposal. Broker non-votes will have no effect on this proposal as brokers or other nominees are not entitled to vote on such proposal in the absence of voting instructions from the beneficial owner.</w:t>
      </w:r>
    </w:p>
    <w:p>
      <w:pPr>
        <w:spacing w:after="0" w:line="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of the Early Settlement Date, Existing Noteholders holding 90.526% of the aggregate outstanding principal amount of the Existing Convertible Notes entered into voting agreements, or are deemed to have agreed to substantially the same terms as those in the voting agreements, with the Company in connection with the tender of their Existing Convertible Notes pursuant to which they agreed to be present in person (which includes by remote communication) or by proxy at the Special Meeting and to</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20" w:name="page21"/>
    <w:bookmarkEnd w:id="20"/>
    <w:p>
      <w:pPr>
        <w:spacing w:after="0" w:line="282" w:lineRule="auto"/>
        <w:rPr>
          <w:sz w:val="20"/>
          <w:szCs w:val="20"/>
          <w:color w:val="auto"/>
        </w:rPr>
      </w:pPr>
      <w:r>
        <w:rPr>
          <w:rFonts w:ascii="Times New Roman" w:cs="Times New Roman" w:eastAsia="Times New Roman" w:hAnsi="Times New Roman"/>
          <w:sz w:val="18"/>
          <w:szCs w:val="18"/>
          <w:color w:val="auto"/>
        </w:rPr>
        <w:t>vote all shares of Common Stock they received in the Exchange Offer and beneficially owned as of the Record Date in favor of the proposals set forth in this proxy statement.</w:t>
      </w:r>
    </w:p>
    <w:p>
      <w:pPr>
        <w:spacing w:after="0" w:line="5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THE STOCKHOLDERS VOTE “FOR” THE NASDAQ 5635(D) PROPOSAL.</w:t>
      </w:r>
    </w:p>
    <w:p>
      <w:pPr>
        <w:spacing w:after="0" w:line="200" w:lineRule="exact"/>
        <w:rPr>
          <w:sz w:val="20"/>
          <w:szCs w:val="20"/>
          <w:color w:val="auto"/>
        </w:rPr>
      </w:pPr>
    </w:p>
    <w:p>
      <w:pPr>
        <w:spacing w:after="0" w:line="33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39" w:right="57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AND RESTATEMENT OF THE 2019 INCENTIVE AWARD PLAN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1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Our stockholders are being asked to approve an amendment and restatement of our 2019 Incentive Award Plan (the “</w:t>
      </w:r>
      <w:r>
        <w:rPr>
          <w:rFonts w:ascii="Times New Roman" w:cs="Times New Roman" w:eastAsia="Times New Roman" w:hAnsi="Times New Roman"/>
          <w:sz w:val="18"/>
          <w:szCs w:val="18"/>
          <w:b w:val="1"/>
          <w:bCs w:val="1"/>
          <w:i w:val="1"/>
          <w:iCs w:val="1"/>
          <w:color w:val="auto"/>
        </w:rPr>
        <w:t>Existing Plan</w:t>
      </w:r>
      <w:r>
        <w:rPr>
          <w:rFonts w:ascii="Times New Roman" w:cs="Times New Roman" w:eastAsia="Times New Roman" w:hAnsi="Times New Roman"/>
          <w:sz w:val="18"/>
          <w:szCs w:val="18"/>
          <w:color w:val="auto"/>
        </w:rPr>
        <w:t>”or “</w:t>
      </w:r>
      <w:r>
        <w:rPr>
          <w:rFonts w:ascii="Times New Roman" w:cs="Times New Roman" w:eastAsia="Times New Roman" w:hAnsi="Times New Roman"/>
          <w:sz w:val="18"/>
          <w:szCs w:val="18"/>
          <w:b w:val="1"/>
          <w:bCs w:val="1"/>
          <w:i w:val="1"/>
          <w:iCs w:val="1"/>
          <w:color w:val="auto"/>
        </w:rPr>
        <w:t>2019 Plan</w:t>
      </w:r>
      <w:r>
        <w:rPr>
          <w:rFonts w:ascii="Times New Roman" w:cs="Times New Roman" w:eastAsia="Times New Roman" w:hAnsi="Times New Roman"/>
          <w:sz w:val="18"/>
          <w:szCs w:val="18"/>
          <w:color w:val="auto"/>
        </w:rPr>
        <w:t>”). The amended and restated 2019 Incentive Award Plan is referred to herein as the “</w:t>
      </w:r>
      <w:r>
        <w:rPr>
          <w:rFonts w:ascii="Times New Roman" w:cs="Times New Roman" w:eastAsia="Times New Roman" w:hAnsi="Times New Roman"/>
          <w:sz w:val="18"/>
          <w:szCs w:val="18"/>
          <w:b w:val="1"/>
          <w:bCs w:val="1"/>
          <w:i w:val="1"/>
          <w:iCs w:val="1"/>
          <w:color w:val="auto"/>
        </w:rPr>
        <w:t>Restated Plan</w:t>
      </w:r>
      <w:r>
        <w:rPr>
          <w:rFonts w:ascii="Times New Roman" w:cs="Times New Roman" w:eastAsia="Times New Roman" w:hAnsi="Times New Roman"/>
          <w:sz w:val="18"/>
          <w:szCs w:val="18"/>
          <w:color w:val="auto"/>
        </w:rPr>
        <w:t>.” The Board approved the Restated Plan on May 15, 2026 and became effective on May 18, 2026, subject to the occurrence of the Closing Date and certain stockholder approvals at the Special Meeting.</w:t>
      </w:r>
    </w:p>
    <w:p>
      <w:pPr>
        <w:spacing w:after="0" w:line="6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a result of the substantial dilution that has occurred or will occur as a result of the Exchange Offer and potential future dilution resulting from conversion of the New Convertible Notes, if we do not increase the shares available for future issuance under the Existing Plan (as in effect prior to the adoption of the Restated Plan), we will have a limited number of shares available for future grants thereunder as a percentage of the number of shares of our Common Stock outstanding and would not have a sufficient number of shares authorized under the Existing Plan to make necessary equity awards in the future. In addition, the outstanding equity awards held by our employees, directors and independent contractors will also be substantially diluted by the Exchange Offer, resulting in an equity incentive program that, without additional awards, does not represent a market competitive compensation program for long-term incentives and is insufficient to retain key personnel. Absent approval of this Proposal No. 2 (Restated Plan Proposal), we will lose an important compensation tool aligned with stockholder interests to attract, motivate, and retain highly qualified talent. We have long had an ownership culture in which our key employees and directors are granted equity-based awards to align their interests with those of stockholders. The Restated Plan will permit the Company to continue to use equity-based awards, including awards of performance-based awards, as an integral part of its compensation program.</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to Approval of Proposal</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Approval of this Proposal No. 2 (Restated Plan Proposal) is conditioned upon approval of Proposal No. 3 (Authorized Share Increase Proposal). If Proposal No. 3 (Authorized Share Increase Proposal) is not approved, this Proposal No. 2 will also not be approved.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Proposed Amendments</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Increase in Share Reserve</w:t>
      </w:r>
      <w:r>
        <w:rPr>
          <w:rFonts w:ascii="Times New Roman" w:cs="Times New Roman" w:eastAsia="Times New Roman" w:hAnsi="Times New Roman"/>
          <w:sz w:val="18"/>
          <w:szCs w:val="18"/>
          <w:color w:val="auto"/>
        </w:rPr>
        <w:t>. We strongly believe that an employee equity compensation program is a necessary and powerful incentive and retention tool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all stockholders. As of March 31, 2026, the aggregate number of shares of Common Stock subject to awards under the Existing Plan was 60,173,197 shares and a total of 4,619,694 shares of Common Stock remained available under the Existing Plan for future issuance. In addition, the Existing Plan contains an “evergreen provision” that allows for an annual increase in the number of shares available for issuance under the Existing Plan on January 1 of each year during the existing ten year term of the Existing Plan. The annual increase in the number of shares under the Existing Plan is equal to the lesser of:</w:t>
      </w:r>
    </w:p>
    <w:p>
      <w:pPr>
        <w:spacing w:after="0" w:line="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of the aggregate number of shares of our Common Stock outstanding on the last day of the immediately preceding calendar year;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determined by the Board.</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automatic increases pursuant to the evergreen provision of the Existing Plan to date since the original effectiveness of the Existing Plan are included in the total number of shares reserved for issuance under the Existing Plan as of March 31, 2026 set forth above.</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Pursuant to the Restated Plan, subject to the share counting provisions described below and the adjustment provisions under the Restated Plan in the event of certain corporate transactions, the number of shares that may be issued under the Restated Plan will be equal to the sum of the following:</w:t>
      </w:r>
    </w:p>
    <w:p>
      <w:pPr>
        <w:spacing w:after="0" w:line="54"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reserved for issuance under the Existing Plan (which, as of March 31, 2026, was 69,238,008 shares); plus</w:t>
      </w:r>
    </w:p>
    <w:p>
      <w:pPr>
        <w:spacing w:after="0" w:line="117" w:lineRule="exact"/>
        <w:rPr>
          <w:rFonts w:ascii="Times New Roman" w:cs="Times New Roman" w:eastAsia="Times New Roman" w:hAnsi="Times New Roman"/>
          <w:sz w:val="18"/>
          <w:szCs w:val="18"/>
          <w:color w:val="auto"/>
        </w:rPr>
      </w:pPr>
    </w:p>
    <w:p>
      <w:pPr>
        <w:ind w:left="660" w:right="24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following the Closing Date, an increase equal to a number of shares of Common Stock representing 10% (rounded up to the nearest whole share) of the Post-Transaction Fully-Diluted Shares Outstanding (as defined below) (which increase in the number of shares reserved for issuance under the Restated Plan is estimated to be approximately 77 million shares of Common Stock, assuming 100% participation in the Exchange Offer, as illustrated below); plus</w:t>
      </w:r>
    </w:p>
    <w:p>
      <w:pPr>
        <w:spacing w:after="0" w:line="71" w:lineRule="exact"/>
        <w:rPr>
          <w:rFonts w:ascii="Times New Roman" w:cs="Times New Roman" w:eastAsia="Times New Roman" w:hAnsi="Times New Roman"/>
          <w:sz w:val="18"/>
          <w:szCs w:val="18"/>
          <w:color w:val="auto"/>
        </w:rPr>
      </w:pPr>
    </w:p>
    <w:p>
      <w:pPr>
        <w:jc w:val="both"/>
        <w:ind w:left="660" w:right="50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increase on January 1 of each calendar year during the term of the Restated Plan commencing January 1, 2027 and ending on and including January 1, 2036, equal to the lesser of (A) 5% of the Evergreen Fully-Diluted Shares Outstanding (as defined below) on such date (rounded up to the nearest whole share) or (B) such number of shares of Common Stock determined by the plan administrator; plus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2" w:name="page23"/>
    <w:bookmarkEnd w:id="22"/>
    <w:p>
      <w:pPr>
        <w:ind w:left="660" w:right="500" w:hanging="328"/>
        <w:spacing w:after="0" w:line="28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outstanding awards under the Company’s 2017 Stock Incentive Plan (the “</w:t>
      </w:r>
      <w:r>
        <w:rPr>
          <w:rFonts w:ascii="Times New Roman" w:cs="Times New Roman" w:eastAsia="Times New Roman" w:hAnsi="Times New Roman"/>
          <w:sz w:val="18"/>
          <w:szCs w:val="18"/>
          <w:b w:val="1"/>
          <w:bCs w:val="1"/>
          <w:i w:val="1"/>
          <w:iCs w:val="1"/>
          <w:color w:val="auto"/>
        </w:rPr>
        <w:t>2017 Plan</w:t>
      </w:r>
      <w:r>
        <w:rPr>
          <w:rFonts w:ascii="Times New Roman" w:cs="Times New Roman" w:eastAsia="Times New Roman" w:hAnsi="Times New Roman"/>
          <w:sz w:val="18"/>
          <w:szCs w:val="18"/>
          <w:color w:val="auto"/>
        </w:rPr>
        <w:t>”) as of the effective date of the Restated Plan that become available after such date in accordance with the share counting provisions of the Restated Plan.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Restated Plan, the term “</w:t>
      </w:r>
      <w:r>
        <w:rPr>
          <w:rFonts w:ascii="Times New Roman" w:cs="Times New Roman" w:eastAsia="Times New Roman" w:hAnsi="Times New Roman"/>
          <w:sz w:val="18"/>
          <w:szCs w:val="18"/>
          <w:b w:val="1"/>
          <w:bCs w:val="1"/>
          <w:i w:val="1"/>
          <w:iCs w:val="1"/>
          <w:color w:val="auto"/>
        </w:rPr>
        <w:t>Post-Transaction Fully-Diluted Shares Outstanding</w:t>
      </w:r>
      <w:r>
        <w:rPr>
          <w:rFonts w:ascii="Times New Roman" w:cs="Times New Roman" w:eastAsia="Times New Roman" w:hAnsi="Times New Roman"/>
          <w:sz w:val="18"/>
          <w:szCs w:val="18"/>
          <w:color w:val="auto"/>
        </w:rPr>
        <w:t>” means, as of the date following the Closing Date, the sum of:</w:t>
      </w:r>
    </w:p>
    <w:p>
      <w:pPr>
        <w:spacing w:after="0" w:line="121" w:lineRule="exact"/>
        <w:rPr>
          <w:sz w:val="20"/>
          <w:szCs w:val="20"/>
          <w:color w:val="auto"/>
        </w:rPr>
      </w:pPr>
    </w:p>
    <w:p>
      <w:pPr>
        <w:ind w:left="660" w:right="2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outstanding on such date (calculated on an as-converted basis after giving effect to the closing of the Exchange Offer, which includes the shares of Common Stock reserved for potential issuance under the Prefunded Warrants and the Purchase Warrants and any shares of Common Stock issued in the Exchange Offer but excluding the shares of Common Stock issuable in the future (but not yet issued) under the New Convertible Notes following such date); plus</w:t>
      </w:r>
    </w:p>
    <w:p>
      <w:pPr>
        <w:spacing w:after="0" w:line="7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subject to the equity awards (including stock options) outstanding under the Company’s equity plans (including the Restated Plan, the 2017 Plan and the Inducement Plan) on such date.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Restated Plan, the term “</w:t>
      </w:r>
      <w:r>
        <w:rPr>
          <w:rFonts w:ascii="Times New Roman" w:cs="Times New Roman" w:eastAsia="Times New Roman" w:hAnsi="Times New Roman"/>
          <w:sz w:val="18"/>
          <w:szCs w:val="18"/>
          <w:b w:val="1"/>
          <w:bCs w:val="1"/>
          <w:i w:val="1"/>
          <w:iCs w:val="1"/>
          <w:color w:val="auto"/>
        </w:rPr>
        <w:t>Evergreen Fully-Diluted Shares Outstanding</w:t>
      </w:r>
      <w:r>
        <w:rPr>
          <w:rFonts w:ascii="Times New Roman" w:cs="Times New Roman" w:eastAsia="Times New Roman" w:hAnsi="Times New Roman"/>
          <w:sz w:val="18"/>
          <w:szCs w:val="18"/>
          <w:color w:val="auto"/>
        </w:rPr>
        <w:t>” means, as of any date, the sum of:</w:t>
      </w:r>
    </w:p>
    <w:p>
      <w:pPr>
        <w:spacing w:after="0" w:line="121"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outstanding on such date; plus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that remain issuable under the Prefunded Warrants and the Purchase Warrants as of such date.</w:t>
      </w:r>
    </w:p>
    <w:p>
      <w:pPr>
        <w:spacing w:after="0" w:line="11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Restated Plan became effective on May 18, 2026, subject to the occurrence of the Closing Date and certain stockholder approvals at the Annual Meeting. We may, prior to the date of the Special Meeting, grant equity awards under the Restated Plan; these awards are within the discretion of the plan administrator and are not currently determinable. Any such awards will reduce the shares available for future issuance pursuant to the Restated Plan. To the extent such awards are granted out of the share reserve increase pursuant to the Restated Plan, they will be subject to the occurrence of the Closing Date and stockholder approval of the Restated Plan. To the extent such awards are not granted out of the share reserve increase pursuant to the Restated Plan, and the Restated Plan terminates due to the Closing Date not occurring or the failure of the stockholders to approve the Restated Plan, such awards will remain outstanding under the Existing Plan and will reduce the shares available for issuance thereunder.</w:t>
      </w:r>
    </w:p>
    <w:p>
      <w:pPr>
        <w:spacing w:after="0" w:line="8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the event the Closing Date does not occur, the Restated Plan will cease to be effective and any awards granted following the effective date of the Restated Plan out of the share reserve increase pursuant to the Restated Plan over the existing share reserve under the Existing Plan will be forfeited. In the event stockholder approval of the Restated Plan does not occur, but the Closing Date does occur, the Restated Plan will cease to be effective and any awards granted following the effective date of the Restated Plan out of the share reserve increase pursuant to the Restated Plan over the existing share reserve under the Existing Plan will be forfeited. If the Restated Plan is not approved by stockholders and/or the Closing Date does not occur, the Existing Plan will continue in full force and effect as in effect prior to the effective date of the Restated Plan, and we may continue to grant awards under the Existing Plan, subject to its terms, conditions and limitations, using the shares available for issuance thereunder.</w:t>
      </w:r>
    </w:p>
    <w:p>
      <w:pPr>
        <w:spacing w:after="0" w:line="7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i w:val="1"/>
          <w:iCs w:val="1"/>
          <w:color w:val="auto"/>
        </w:rPr>
        <w:t>Increase in Incentive Stock Option Limit</w:t>
      </w:r>
      <w:r>
        <w:rPr>
          <w:rFonts w:ascii="Times New Roman" w:cs="Times New Roman" w:eastAsia="Times New Roman" w:hAnsi="Times New Roman"/>
          <w:sz w:val="18"/>
          <w:szCs w:val="18"/>
          <w:color w:val="auto"/>
        </w:rPr>
        <w:t>. The number of shares of stock that may be issued or transferred pursuant to incentive stock options (“</w:t>
      </w:r>
      <w:r>
        <w:rPr>
          <w:rFonts w:ascii="Times New Roman" w:cs="Times New Roman" w:eastAsia="Times New Roman" w:hAnsi="Times New Roman"/>
          <w:sz w:val="18"/>
          <w:szCs w:val="18"/>
          <w:b w:val="1"/>
          <w:bCs w:val="1"/>
          <w:i w:val="1"/>
          <w:iCs w:val="1"/>
          <w:color w:val="auto"/>
        </w:rPr>
        <w:t>ISOs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Restated Plan may not exceed an aggregate of 2,000,000,000 shares.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Extension of Term</w:t>
      </w:r>
      <w:r>
        <w:rPr>
          <w:rFonts w:ascii="Times New Roman" w:cs="Times New Roman" w:eastAsia="Times New Roman" w:hAnsi="Times New Roman"/>
          <w:sz w:val="18"/>
          <w:szCs w:val="18"/>
          <w:color w:val="auto"/>
        </w:rPr>
        <w:t>. The term of the Restated Plan will also be extended so that the Restated Plan will terminate in May 2036.</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Restated Plan is not being amended in any material respect other than to reflect the changes described above.</w:t>
      </w:r>
    </w:p>
    <w:p>
      <w:pPr>
        <w:spacing w:after="0" w:line="11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All of the foregoing share numbers may be adjusted for changes in our capitalization and certain corporate transactions, as described below under heading “Adjustments.”</w:t>
      </w:r>
    </w:p>
    <w:p>
      <w:pPr>
        <w:spacing w:after="0" w:line="5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color w:val="auto"/>
        </w:rPr>
        <w:t>The following table sets forth the Company’s Post-Transaction Fully-Diluted Shares Outstanding for purposes of the Restated Plan as of March 31, 2026 and on a pro forma basis assuming (i) the occurrence of the Closing Date and 100% participation in the Exchange Offer and (ii) approval of Proposal No. 1 (Nasdaq 5635(d) Proposal), this Proposal No. 2 (Restated Plan Proposal) and Proposal No. 3 (Authorized Share Increase Proposal):</w:t>
      </w: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4280" w:type="dxa"/>
            <w:vAlign w:val="bottom"/>
          </w:tcPr>
          <w:p>
            <w:pPr>
              <w:jc w:val="right"/>
              <w:ind w:right="170"/>
              <w:spacing w:after="0" w:line="186" w:lineRule="exact"/>
              <w:rPr>
                <w:sz w:val="20"/>
                <w:szCs w:val="20"/>
                <w:color w:val="auto"/>
              </w:rPr>
            </w:pPr>
            <w:r>
              <w:rPr>
                <w:rFonts w:ascii="Times New Roman" w:cs="Times New Roman" w:eastAsia="Times New Roman" w:hAnsi="Times New Roman"/>
                <w:sz w:val="18"/>
                <w:szCs w:val="18"/>
                <w:b w:val="1"/>
                <w:bCs w:val="1"/>
                <w:color w:val="auto"/>
              </w:rPr>
              <w:t>As of March 31, 2026</w:t>
            </w:r>
          </w:p>
        </w:tc>
        <w:tc>
          <w:tcPr>
            <w:tcW w:w="1980" w:type="dxa"/>
            <w:vAlign w:val="bottom"/>
            <w:gridSpan w:val="2"/>
          </w:tcPr>
          <w:p>
            <w:pPr>
              <w:jc w:val="right"/>
              <w:ind w:right="140"/>
              <w:spacing w:after="0" w:line="186" w:lineRule="exact"/>
              <w:rPr>
                <w:sz w:val="20"/>
                <w:szCs w:val="20"/>
                <w:color w:val="auto"/>
              </w:rPr>
            </w:pPr>
            <w:r>
              <w:rPr>
                <w:rFonts w:ascii="Times New Roman" w:cs="Times New Roman" w:eastAsia="Times New Roman" w:hAnsi="Times New Roman"/>
                <w:sz w:val="18"/>
                <w:szCs w:val="18"/>
                <w:b w:val="1"/>
                <w:bCs w:val="1"/>
                <w:color w:val="auto"/>
              </w:rPr>
              <w:t>March 31, 2026 (Pro</w:t>
            </w:r>
          </w:p>
        </w:tc>
      </w:tr>
      <w:tr>
        <w:trPr>
          <w:trHeight w:val="241"/>
        </w:trPr>
        <w:tc>
          <w:tcPr>
            <w:tcW w:w="49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Forma)</w:t>
            </w:r>
          </w:p>
        </w:tc>
      </w:tr>
      <w:tr>
        <w:trPr>
          <w:trHeight w:val="25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Stock—issued and outstanding</w:t>
            </w:r>
            <w:r>
              <w:rPr>
                <w:rFonts w:ascii="Times New Roman" w:cs="Times New Roman" w:eastAsia="Times New Roman" w:hAnsi="Times New Roman"/>
                <w:sz w:val="21"/>
                <w:szCs w:val="21"/>
                <w:color w:val="auto"/>
                <w:vertAlign w:val="superscript"/>
              </w:rPr>
              <w:t>(1)</w:t>
            </w:r>
          </w:p>
        </w:tc>
        <w:tc>
          <w:tcPr>
            <w:tcW w:w="42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234,696,282</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552,343,340</w:t>
            </w:r>
          </w:p>
        </w:tc>
        <w:tc>
          <w:tcPr>
            <w:tcW w:w="120" w:type="dxa"/>
            <w:vAlign w:val="bottom"/>
          </w:tcPr>
          <w:p>
            <w:pPr>
              <w:spacing w:after="0"/>
              <w:rPr>
                <w:sz w:val="22"/>
                <w:szCs w:val="22"/>
                <w:color w:val="auto"/>
              </w:rPr>
            </w:pPr>
          </w:p>
        </w:tc>
      </w:tr>
      <w:tr>
        <w:trPr>
          <w:trHeight w:val="220"/>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reserved for future issuance:</w:t>
            </w:r>
          </w:p>
        </w:tc>
        <w:tc>
          <w:tcPr>
            <w:tcW w:w="42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6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incentive compensation awards granted and outstanding</w:t>
            </w:r>
            <w:r>
              <w:rPr>
                <w:rFonts w:ascii="Times New Roman" w:cs="Times New Roman" w:eastAsia="Times New Roman" w:hAnsi="Times New Roman"/>
                <w:sz w:val="21"/>
                <w:szCs w:val="21"/>
                <w:color w:val="auto"/>
                <w:vertAlign w:val="superscript"/>
              </w:rPr>
              <w:t>(2)</w:t>
            </w:r>
          </w:p>
        </w:tc>
        <w:tc>
          <w:tcPr>
            <w:tcW w:w="42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66,967,972</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66,967,972</w:t>
            </w:r>
          </w:p>
        </w:tc>
        <w:tc>
          <w:tcPr>
            <w:tcW w:w="120" w:type="dxa"/>
            <w:vAlign w:val="bottom"/>
          </w:tcPr>
          <w:p>
            <w:pPr>
              <w:spacing w:after="0"/>
              <w:rPr>
                <w:sz w:val="23"/>
                <w:szCs w:val="23"/>
                <w:color w:val="auto"/>
              </w:rPr>
            </w:pPr>
          </w:p>
        </w:tc>
      </w:tr>
      <w:tr>
        <w:trPr>
          <w:trHeight w:val="904"/>
        </w:trPr>
        <w:tc>
          <w:tcPr>
            <w:tcW w:w="4980" w:type="dxa"/>
            <w:vAlign w:val="bottom"/>
          </w:tcPr>
          <w:p>
            <w:pPr>
              <w:spacing w:after="0"/>
              <w:rPr>
                <w:sz w:val="24"/>
                <w:szCs w:val="24"/>
                <w:color w:val="auto"/>
              </w:rPr>
            </w:pPr>
          </w:p>
        </w:tc>
        <w:tc>
          <w:tcPr>
            <w:tcW w:w="4280" w:type="dxa"/>
            <w:vAlign w:val="bottom"/>
          </w:tcPr>
          <w:p>
            <w:pPr>
              <w:jc w:val="right"/>
              <w:ind w:right="3450"/>
              <w:spacing w:after="0"/>
              <w:rPr>
                <w:sz w:val="20"/>
                <w:szCs w:val="20"/>
                <w:color w:val="auto"/>
              </w:rPr>
            </w:pPr>
            <w:r>
              <w:rPr>
                <w:rFonts w:ascii="Times New Roman" w:cs="Times New Roman" w:eastAsia="Times New Roman" w:hAnsi="Times New Roman"/>
                <w:sz w:val="18"/>
                <w:szCs w:val="18"/>
                <w:color w:val="auto"/>
              </w:rPr>
              <w:t>15</w:t>
            </w: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52"/>
        </w:trPr>
        <w:tc>
          <w:tcPr>
            <w:tcW w:w="7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reserved for potential issuance under the Purchase Warrants</w:t>
            </w: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135,789,000</w:t>
            </w:r>
          </w:p>
        </w:tc>
      </w:tr>
      <w:tr>
        <w:trPr>
          <w:trHeight w:val="23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Post-Transaction Fully-Diluted Shares</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301,664,254</w:t>
            </w:r>
          </w:p>
        </w:tc>
        <w:tc>
          <w:tcPr>
            <w:tcW w:w="140" w:type="dxa"/>
            <w:vAlign w:val="bottom"/>
            <w:shd w:val="clear" w:color="auto" w:fill="CCEEFF"/>
          </w:tcPr>
          <w:p>
            <w:pPr>
              <w:spacing w:after="0"/>
              <w:rPr>
                <w:sz w:val="20"/>
                <w:szCs w:val="20"/>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755,100,312</w:t>
            </w:r>
          </w:p>
        </w:tc>
      </w:tr>
    </w:tbl>
    <w:p>
      <w:pPr>
        <w:spacing w:after="0" w:line="189" w:lineRule="exact"/>
        <w:rPr>
          <w:sz w:val="20"/>
          <w:szCs w:val="20"/>
          <w:color w:val="auto"/>
        </w:rPr>
      </w:pPr>
    </w:p>
    <w:p>
      <w:pPr>
        <w:ind w:left="660" w:right="380" w:hanging="328"/>
        <w:spacing w:after="0" w:line="280" w:lineRule="auto"/>
        <w:tabs>
          <w:tab w:leader="none" w:pos="6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 pro-forma basis as of March 31, 2026, Common Stock issued and outstanding includes 317,647,058 shares issued to the holders of Existing Convertible Notes in the Exchange Offer and assumes that all Equity Securities are issued as shares of Common Stock.</w:t>
      </w:r>
    </w:p>
    <w:p>
      <w:pPr>
        <w:spacing w:after="0" w:line="56"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2026, includes: 58,816,985 shares issuable under stock options outstanding; 4,034,571 shares issuable under unvested RSUs outstanding; and</w:t>
      </w:r>
    </w:p>
    <w:p>
      <w:pPr>
        <w:spacing w:after="0" w:line="26" w:lineRule="exact"/>
        <w:rPr>
          <w:rFonts w:ascii="Times New Roman" w:cs="Times New Roman" w:eastAsia="Times New Roman" w:hAnsi="Times New Roman"/>
          <w:sz w:val="16"/>
          <w:szCs w:val="16"/>
          <w:color w:val="auto"/>
        </w:rPr>
      </w:pPr>
    </w:p>
    <w:p>
      <w:pPr>
        <w:ind w:left="660" w:right="200"/>
        <w:spacing w:after="0" w:line="26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4,116,416 shares issuable under unvested PSUs outstanding in each case under the Company Equity Plans. On a pro-forma basis as of March 31, 2026 includes: 58,816,985 shares issuable under stock options outstanding; 4,034,571 shares issuable under unvested RSUs outstanding; and 4,116,416 shares issuable under unvested PSUs outstanding under the Company Equity Plans.</w:t>
      </w:r>
    </w:p>
    <w:p>
      <w:pPr>
        <w:spacing w:after="0" w:line="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determining whether to approve the Restated Plan, including the requested increase to the share reserve under the Restated Plan over the share reserve under the Existing Plan, the Board considered the following:</w:t>
      </w:r>
    </w:p>
    <w:p>
      <w:pPr>
        <w:spacing w:after="0" w:line="54" w:lineRule="exact"/>
        <w:rPr>
          <w:sz w:val="20"/>
          <w:szCs w:val="20"/>
          <w:color w:val="auto"/>
        </w:rPr>
      </w:pPr>
    </w:p>
    <w:p>
      <w:pPr>
        <w:jc w:val="both"/>
        <w:ind w:left="660" w:hanging="328"/>
        <w:spacing w:after="0" w:line="258"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and management believe that equity awards are necessary to remain competitive in our industry and are essential to recruiting and retaining the highly qualified employees in an extremely competitive labor market and industry who help our Company meet its goals. As of March 31, 2026, we had an aggregate of 52,022,210 options outstanding under the Existing Plan (with a weighted average exercise price of $0.55 and a weighted average remaining term of 6.6 years), an aggregate of 4,034,571 RSUs outstanding and an aggregate of 4,116,416 PSUs outstanding. The closing price of our Common Stock on March 31, 2026 was $0.329 per share.</w:t>
      </w:r>
    </w:p>
    <w:p>
      <w:pPr>
        <w:spacing w:after="0" w:line="7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the Special Meeting, the Restated Plan will be the only equity plan under which we may grant future equity awards (other than our Employee Stock Purchase Plan). The Board determined to cease granting awards under the existing Inducement Plan as of the effective date of the Restated Plan.</w:t>
      </w:r>
    </w:p>
    <w:p>
      <w:pPr>
        <w:spacing w:after="0" w:line="67" w:lineRule="exact"/>
        <w:rPr>
          <w:rFonts w:ascii="Times New Roman" w:cs="Times New Roman" w:eastAsia="Times New Roman" w:hAnsi="Times New Roman"/>
          <w:sz w:val="18"/>
          <w:szCs w:val="18"/>
          <w:color w:val="auto"/>
        </w:rPr>
      </w:pPr>
    </w:p>
    <w:p>
      <w:pPr>
        <w:jc w:val="both"/>
        <w:ind w:left="660" w:right="18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determining the size of the share reserve under the Restated Plan, the Board considered the number of equity awards granted by our Company during the past three calendar years. In calendar years 2023, 2024, and 2025, our annual equity burn rates (calculated by dividing the number of shares subject to equity awards granted during the year by the weighted average number of shares outstanding during the applicable year) under the Company Equity Plans were 10.3%, 5.3%, and 7.8%, respectively.</w:t>
      </w:r>
    </w:p>
    <w:p>
      <w:pPr>
        <w:spacing w:after="0" w:line="71" w:lineRule="exact"/>
        <w:rPr>
          <w:rFonts w:ascii="Times New Roman" w:cs="Times New Roman" w:eastAsia="Times New Roman" w:hAnsi="Times New Roman"/>
          <w:sz w:val="18"/>
          <w:szCs w:val="18"/>
          <w:color w:val="auto"/>
        </w:rPr>
      </w:pPr>
    </w:p>
    <w:p>
      <w:pPr>
        <w:ind w:left="660" w:right="42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share reserve under the Restated Plan is dependent on the price of our shares and hiring activity during the next few years and forfeitures of outstanding awards. Furthermore, future circumstances may require us to change our current equity grant practices. We cannot predict our future equity grant practices, the future price of our shares or future hiring activity with any degree of certainty at this time, or the expected life span of the share reserve under the Restated Plan.</w:t>
      </w:r>
    </w:p>
    <w:p>
      <w:pPr>
        <w:spacing w:after="0" w:line="71" w:lineRule="exact"/>
        <w:rPr>
          <w:rFonts w:ascii="Times New Roman" w:cs="Times New Roman" w:eastAsia="Times New Roman" w:hAnsi="Times New Roman"/>
          <w:sz w:val="18"/>
          <w:szCs w:val="18"/>
          <w:color w:val="auto"/>
        </w:rPr>
      </w:pPr>
    </w:p>
    <w:p>
      <w:pPr>
        <w:ind w:left="660" w:right="30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calendar years 2023, 2024, and 2025, the end of year overhang rate for the Company Equity Plans (calculated by dividing (1) the sum of the number of shares subject to equity awards outstanding at the end of the calendar year plus shares remaining available for issuance for future awards at the end of the calendar year by (2) the number of shares outstanding at the end of the calendar year) was 14.7%, 20.0%, and 28.9%, respectively.</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light of the factors described above, and the fact that the ability to continue to grant equity compensation is vital to our ability to continue to attract and retain employees in the extremely competitive labor markets in which we compete, the Board has determined that the size of the share reserve under the Restated Plan is reasonable and appropriate at this time. The Board will not create a subcommittee to evaluate the risk and benefits for issuing shares under the Restated Plan.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Approval Requirement</w:t>
      </w:r>
    </w:p>
    <w:p>
      <w:pPr>
        <w:spacing w:after="0" w:line="121"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Stockholder approval of the Restated Plan is necessary in order for us to (1) meet the stockholder approval requirements of Nasdaq, and (2) grant ISOs thereunder. Specifically, approval of the Restated Plan will constitute approval pursuant to the stockholder approval requirements of Section 422 of the Internal Revenue Code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relating to ISOs.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Restated Plan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principal features of the Restated Plan are summarized below, but the summary is qualified in its entirety by reference to the Restated Plan itself, which is attached as Annex A to this proxy statement.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Purpose</w:t>
      </w:r>
    </w:p>
    <w:p>
      <w:pPr>
        <w:spacing w:after="0" w:line="121"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The purpose of the Restated Plan is to enhance our ability to attract, retain and motivate persons who make (or are expected to make) important contributions to our company by providing these individuals with equity ownership opportunities.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Subject to the Restated Plan</w:t>
      </w:r>
    </w:p>
    <w:p>
      <w:pPr>
        <w:spacing w:after="0" w:line="31" w:lineRule="exact"/>
        <w:rPr>
          <w:sz w:val="20"/>
          <w:szCs w:val="20"/>
          <w:color w:val="auto"/>
        </w:rPr>
      </w:pPr>
    </w:p>
    <w:p>
      <w:pPr>
        <w:ind w:right="820"/>
        <w:spacing w:after="0" w:line="260" w:lineRule="auto"/>
        <w:rPr>
          <w:sz w:val="20"/>
          <w:szCs w:val="20"/>
          <w:color w:val="auto"/>
        </w:rPr>
      </w:pPr>
      <w:r>
        <w:rPr>
          <w:rFonts w:ascii="Times New Roman" w:cs="Times New Roman" w:eastAsia="Times New Roman" w:hAnsi="Times New Roman"/>
          <w:sz w:val="18"/>
          <w:szCs w:val="18"/>
          <w:color w:val="auto"/>
        </w:rPr>
        <w:t>Subject to the share counting provisions described below and the adjustment provisions under the Restated Plan in the event of certain corporate transactions, the number of shares that may be issued under the Restated Plan will be equal to the sum of the following:</w:t>
      </w:r>
    </w:p>
    <w:p>
      <w:pPr>
        <w:spacing w:after="0" w:line="7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Common Stock reserved for issuance under the Existing Plan (which, as of March 31, 2026, was 69,238,008 shares); plus</w:t>
      </w:r>
    </w:p>
    <w:p>
      <w:pPr>
        <w:spacing w:after="0" w:line="128" w:lineRule="exact"/>
        <w:rPr>
          <w:rFonts w:ascii="Times New Roman" w:cs="Times New Roman" w:eastAsia="Times New Roman" w:hAnsi="Times New Roman"/>
          <w:sz w:val="17"/>
          <w:szCs w:val="17"/>
          <w:color w:val="auto"/>
        </w:rPr>
      </w:pPr>
    </w:p>
    <w:p>
      <w:pPr>
        <w:ind w:left="660" w:hanging="328"/>
        <w:spacing w:after="0" w:line="289" w:lineRule="auto"/>
        <w:tabs>
          <w:tab w:leader="none" w:pos="65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date following the Closing Date, a number of shares of Common Stock representing 10% (rounded up to the nearest whole share) of the Post-Transaction Fully-Diluted Shares Outstanding (which increase in the number of shares reserved for issuance under the Restated Plan is estimated to be approximately 77 million shares of Common Stock, assuming 100% participation in the Exchange Offer, as illustrated above); plus</w:t>
      </w:r>
    </w:p>
    <w:p>
      <w:pPr>
        <w:spacing w:after="0" w:line="49" w:lineRule="exact"/>
        <w:rPr>
          <w:rFonts w:ascii="Times New Roman" w:cs="Times New Roman" w:eastAsia="Times New Roman" w:hAnsi="Times New Roman"/>
          <w:sz w:val="17"/>
          <w:szCs w:val="17"/>
          <w:color w:val="auto"/>
        </w:rPr>
      </w:pPr>
    </w:p>
    <w:p>
      <w:pPr>
        <w:jc w:val="both"/>
        <w:ind w:left="660" w:right="48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increase on January 1 of each calendar year during the term of the Restated Plan commencing January 1, 2027 and ending on and including January 1, 2036, equal to the lesser of (A) 5% of the Evergreen Fully-Diluted Shares Outstanding on such date (rounded up to the nearest whole share) or (B) such number of shares of Common Stock determined by the plan administrator; plus</w:t>
      </w:r>
    </w:p>
    <w:p>
      <w:pPr>
        <w:spacing w:after="0" w:line="6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outstanding awards under the 2017 Plan as of the effective date of the Restated Plan that become available after such date in accordance with the share counting provisions of the Restated Plan.</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the avoidance of doubt, the shares to be authorized for issuance under the Restated Plan as described above include shares subject to awards granted under the Existing Plan that remain outstanding or that were settled in prior years and is not a reflection of availability for new, future awards following the effective date of the Restated Plan.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issuable under the Restated Plan may be authorized, but unissued shares, shares purchased on the open market or treasury shares.</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There will be no limit on the number of shares that may become available for issuance under the Restated Plan pursuant to the foregoing evergreen provisions. The number of shares of stock that may be issued or transferred pursuant to ISOs under the Restated Plan may not exceed an aggregate of 2,000,000,000 shares. All of the foregoing share numbers may be adjusted for changes in our capitalization and certain corporate transactions, as described below under the heading “Adjustments.”</w:t>
      </w:r>
    </w:p>
    <w:p>
      <w:pPr>
        <w:spacing w:after="0" w:line="7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an award under the Restated Plan or the 2017 Plan expires, lapses or is terminated, exchanged for cash, surrendered, repurchased, canceled without having been fully exercised or forfeited, any shares subject to such award will, as applicable, become or again be available for new grants under the Restated Plan. Further, shares delivered to us to satisfy the applicable exercise or purchase price of an award under the Restated Plan or the 2017 Plan and/or to satisfy any applicable tax withholding obligations (including shares retained by us from the award under the Restated Plan or the 2017 Plan being exercised or purchased and/or creating the tax obligation) will become or again be available for award grants under the Restated Plan. Awards granted under the Restated Plan upon the assumption of, or in substitution for, awards authorized or outstanding under a qualifying equity plan maintained by an entity with which we enter into a merger or similar corporate transaction will not reduce the shares available for grant under the Restated Plan.</w:t>
      </w:r>
    </w:p>
    <w:p>
      <w:pPr>
        <w:spacing w:after="0" w:line="8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have not, to date, granted any awards out of the share reserve increase under the Restated Plan above the existing share reserve under the 2019 Plan as in effect immediately prior to the adoption of the Restated Plan. We may, prior to the date of the Special Meeting, grant equity awards under the Restated Plan; these awards are within the discretion of the administrator and are not currently determinable. Any such awards will reduce the shares available for future issuance pursuant to the Restated Plan. To the extent such awards are granted out of the share reserve increase pursuant to the Restated Plan, they will be subject to the occurrence of the Closing Date and stockholder approval of the Restated Plan. To the extent such awards are not granted out of the share reserve increase pursuant to the Restated Plan, and the Restated Plan terminates due to the Closing Date not occurring or the failure of the stockholders to approve the Restated Plan, such awards will remain outstanding under the Existing Plan and will reduce the shares available for issuance thereunder.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Eligibility and Administration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employees, consultants and directors, and employees and consultants of our subsidiaries, are eligible to receive awards under the Restated Plan. As of March 31, 2026 there were approximately 6 non-employee directors, 87 employees and 4 consultants who were eligible for awards under the Existing Plan and who would have been eligible for awards under the Restated Plan had it been in effect on such date. The Restated Plan is generally administered by the Board with respect to awards to non-employee directors and by our compensation committee with respect to other participants, each of which may delegate its duties and responsibilities to committees of our directors and/or officers (referred to collectively as the plan administrator below), subject to certain limitations that may be imposed under the Restated Plan, Section 16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and/or stock exchange rules, as applicable. The plan administrator will have the authority to make all determinations and interpretations under, prescribe all forms for use with, and adopt rules for</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25" w:name="page26"/>
    <w:bookmarkEnd w:id="25"/>
    <w:p>
      <w:pPr>
        <w:ind w:right="400"/>
        <w:spacing w:after="0" w:line="282" w:lineRule="auto"/>
        <w:rPr>
          <w:sz w:val="20"/>
          <w:szCs w:val="20"/>
          <w:color w:val="auto"/>
        </w:rPr>
      </w:pPr>
      <w:r>
        <w:rPr>
          <w:rFonts w:ascii="Times New Roman" w:cs="Times New Roman" w:eastAsia="Times New Roman" w:hAnsi="Times New Roman"/>
          <w:sz w:val="18"/>
          <w:szCs w:val="18"/>
          <w:color w:val="auto"/>
        </w:rPr>
        <w:t>the administration of, the Restated Plan, subject to its express terms and conditions. The plan administrator will also set the terms and conditions of all awards under the Restated Plan, including any vesting and vesting acceleration conditions.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Awards</w:t>
      </w:r>
    </w:p>
    <w:p>
      <w:pPr>
        <w:spacing w:after="0" w:line="11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The Restated Plan provides for the grant of stock options, including ISOs, and nonqualified stock options (“</w:t>
      </w:r>
      <w:r>
        <w:rPr>
          <w:rFonts w:ascii="Times New Roman" w:cs="Times New Roman" w:eastAsia="Times New Roman" w:hAnsi="Times New Roman"/>
          <w:sz w:val="18"/>
          <w:szCs w:val="18"/>
          <w:b w:val="1"/>
          <w:bCs w:val="1"/>
          <w:i w:val="1"/>
          <w:iCs w:val="1"/>
          <w:color w:val="auto"/>
        </w:rPr>
        <w:t>NSOs</w:t>
      </w:r>
      <w:r>
        <w:rPr>
          <w:rFonts w:ascii="Times New Roman" w:cs="Times New Roman" w:eastAsia="Times New Roman" w:hAnsi="Times New Roman"/>
          <w:sz w:val="18"/>
          <w:szCs w:val="18"/>
          <w:color w:val="auto"/>
        </w:rPr>
        <w:t>”), restricted stock, dividend equivalents, RSUs, stock appreciation rights (“</w:t>
      </w:r>
      <w:r>
        <w:rPr>
          <w:rFonts w:ascii="Times New Roman" w:cs="Times New Roman" w:eastAsia="Times New Roman" w:hAnsi="Times New Roman"/>
          <w:sz w:val="18"/>
          <w:szCs w:val="18"/>
          <w:b w:val="1"/>
          <w:bCs w:val="1"/>
          <w:i w:val="1"/>
          <w:iCs w:val="1"/>
          <w:color w:val="auto"/>
        </w:rPr>
        <w:t>SARs</w:t>
      </w:r>
      <w:r>
        <w:rPr>
          <w:rFonts w:ascii="Times New Roman" w:cs="Times New Roman" w:eastAsia="Times New Roman" w:hAnsi="Times New Roman"/>
          <w:sz w:val="18"/>
          <w:szCs w:val="18"/>
          <w:color w:val="auto"/>
        </w:rPr>
        <w:t>”) and other stock or cash-based awards. Certain awards under the Restated Plan may constitute or provide for a deferral of compensation, subject to Section 409A of the Code, which may impose additional requirements on the terms and conditions of such awards. All awards under the Restated Plan will be set forth in award agreements, which will detail the terms and conditions of the awards, including any applicable vesting and payment terms and post-termination exercise limitations. A brief description of each award type follows.</w:t>
      </w:r>
    </w:p>
    <w:p>
      <w:pPr>
        <w:spacing w:after="0" w:line="73" w:lineRule="exact"/>
        <w:rPr>
          <w:sz w:val="20"/>
          <w:szCs w:val="20"/>
          <w:color w:val="auto"/>
        </w:rPr>
      </w:pPr>
    </w:p>
    <w:p>
      <w:pPr>
        <w:ind w:left="660" w:right="40" w:hanging="328"/>
        <w:spacing w:after="0" w:line="255"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Stock options provide for the purchase of shares of our Common Stock in the future at an exercise price set on the grant date. ISOs,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contrast to NSOs, may provide tax deferral beyond exercise and favorable capital gains tax treatment to their holders if certain holding period and other requirements of the Code are satisfied. The exercise price of a stock option will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 Vesting conditions determined by the plan administrator may apply to stock options and may include continued service, performance and/or other conditions. ISOs generally may be granted only to our employees and employees of our parent or subsidiary corporations, if any.</w:t>
      </w:r>
    </w:p>
    <w:p>
      <w:pPr>
        <w:spacing w:after="0" w:line="76"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SARs. </w:t>
      </w:r>
      <w:r>
        <w:rPr>
          <w:rFonts w:ascii="Times New Roman" w:cs="Times New Roman" w:eastAsia="Times New Roman" w:hAnsi="Times New Roman"/>
          <w:sz w:val="18"/>
          <w:szCs w:val="18"/>
          <w:color w:val="auto"/>
        </w:rPr>
        <w:t>SARs entitle their holder, upon exercise, to receive from us an amount equal to the appreciation of the shares subject to the award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grant date and the exercise date. The exercise price of a SAR will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plan administrator may apply to SARs and may include continued service, performance and/or other conditions.</w:t>
      </w:r>
    </w:p>
    <w:p>
      <w:pPr>
        <w:spacing w:after="0" w:line="75" w:lineRule="exact"/>
        <w:rPr>
          <w:rFonts w:ascii="Times New Roman" w:cs="Times New Roman" w:eastAsia="Times New Roman" w:hAnsi="Times New Roman"/>
          <w:sz w:val="18"/>
          <w:szCs w:val="18"/>
          <w:color w:val="auto"/>
        </w:rPr>
      </w:pPr>
    </w:p>
    <w:p>
      <w:pPr>
        <w:ind w:left="660" w:right="20" w:hanging="328"/>
        <w:spacing w:after="0" w:line="25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and RSUs</w:t>
      </w:r>
      <w:r>
        <w:rPr>
          <w:rFonts w:ascii="Times New Roman" w:cs="Times New Roman" w:eastAsia="Times New Roman" w:hAnsi="Times New Roman"/>
          <w:sz w:val="18"/>
          <w:szCs w:val="18"/>
          <w:color w:val="auto"/>
        </w:rPr>
        <w:t>. Restricted stock is an award of nontransferable shares of our Common Stock that remain forfeitable unless and until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conditions are met, and which may be subject to a purchase price. RSUs are contractual promises to deliver shares of our Common Stock in the future, which may also remain forfeitable unless and until specified conditions are met and may be accompanied by the right to receive the equivalent value of dividends paid on shares of our Common Stock prior to the delivery of the underlying shares. Delivery of the shares underlying RSUs may be deferred under the terms of the award or at the election of the participant, if the plan administrator permits such a deferral. Conditions applicable to restricted stock and RSUs may be based on continuing service, the attainment of performance goals and/or such other conditions as the plan administrator may determine.</w:t>
      </w:r>
    </w:p>
    <w:p>
      <w:pPr>
        <w:spacing w:after="0" w:line="74" w:lineRule="exact"/>
        <w:rPr>
          <w:rFonts w:ascii="Times New Roman" w:cs="Times New Roman" w:eastAsia="Times New Roman" w:hAnsi="Times New Roman"/>
          <w:sz w:val="18"/>
          <w:szCs w:val="18"/>
          <w:color w:val="auto"/>
        </w:rPr>
      </w:pPr>
    </w:p>
    <w:p>
      <w:pPr>
        <w:ind w:left="660" w:right="160" w:hanging="328"/>
        <w:spacing w:after="0" w:line="257"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Stock or Cash-Based Awards. </w:t>
      </w:r>
      <w:r>
        <w:rPr>
          <w:rFonts w:ascii="Times New Roman" w:cs="Times New Roman" w:eastAsia="Times New Roman" w:hAnsi="Times New Roman"/>
          <w:sz w:val="18"/>
          <w:szCs w:val="18"/>
          <w:color w:val="auto"/>
        </w:rPr>
        <w:t>Other stock or cash-based awards are awards of cash, fully vested shares of our Common Stock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valued wholly or partially by referring to, or otherwise based on, shares of our Common Stock. Other stock or cash-based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cash-based awards, which may include vesting conditions based on continued service, performance and/or other conditions.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Performance awards include any of the foregoing awards that are granted subject to vesting and/or payment based on the attainment of specified performance goals or other criteria the plan administrator may determine, which may or may not be objectively determinable. Performance criteria upon which performance goals are established by the plan administrator may include, without limitation: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w:t>
      </w:r>
    </w:p>
    <w:p>
      <w:pPr>
        <w:spacing w:after="0" w:line="6" w:lineRule="exact"/>
        <w:rPr>
          <w:sz w:val="20"/>
          <w:szCs w:val="20"/>
          <w:color w:val="auto"/>
        </w:rPr>
      </w:pPr>
    </w:p>
    <w:p>
      <w:pPr>
        <w:jc w:val="both"/>
        <w:ind w:right="500"/>
        <w:spacing w:after="0" w:line="255" w:lineRule="auto"/>
        <w:rPr>
          <w:sz w:val="20"/>
          <w:szCs w:val="20"/>
          <w:color w:val="auto"/>
        </w:rPr>
      </w:pPr>
      <w:r>
        <w:rPr>
          <w:rFonts w:ascii="Times New Roman" w:cs="Times New Roman" w:eastAsia="Times New Roman" w:hAnsi="Times New Roman"/>
          <w:sz w:val="18"/>
          <w:szCs w:val="18"/>
          <w:color w:val="auto"/>
        </w:rPr>
        <w:t>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6" w:name="page27"/>
    <w:bookmarkEnd w:id="26"/>
    <w:p>
      <w:pPr>
        <w:ind w:right="20"/>
        <w:spacing w:after="0" w:line="254" w:lineRule="auto"/>
        <w:rPr>
          <w:sz w:val="20"/>
          <w:szCs w:val="20"/>
          <w:color w:val="auto"/>
        </w:rPr>
      </w:pPr>
      <w:r>
        <w:rPr>
          <w:rFonts w:ascii="Times New Roman" w:cs="Times New Roman" w:eastAsia="Times New Roman" w:hAnsi="Times New Roman"/>
          <w:sz w:val="18"/>
          <w:szCs w:val="18"/>
          <w:color w:val="auto"/>
        </w:rPr>
        <w:t>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our performance or the performance of a subsidiary, division, business segment or business unit, or based upon performance relative to performance of other companies or upon comparisons of any of the indicators of performance relative to performance of other companies.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of the Restated Plan Relating to Director Compensation</w:t>
      </w:r>
    </w:p>
    <w:p>
      <w:pPr>
        <w:spacing w:after="0" w:line="12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The Restated Plan provides that the plan administrator may establish compensation for non-employee directors from time to time subject to the Restated Plan’s limitations. The Board may modify the non-employee director compensation program from time to time in the exercise of its business judgment, taking into account such factors, circumstances and considerations as it shall deem relevant from time to time, provided that the sum of any cash compensation or other compensation and the grant date fair value (as determined in accordance with ASC 718, or any successor thereto) of any equity awards granted as compensation for services as a non-employee director during any fiscal year may not exceed $750,000, increased to $1,000,000, in the fiscal year of a non-employee director’s initial service as a non-employee director, which limit shall not apply to the compensation for any non-employee director who serves in any capacity in addition to that of a non-employee director for which he or she receives additional compensation. The plan administrator may make exceptions to this limit for individual non-employee directors in extraordinary circumstances, as the plan administrator may determine in its discretion.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Participants, Claw-Back Provisions, Transferability and Participant Payments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With respect to foreign participants, the plan administrator may modify award terms, establish subplans and/or adjust other terms and conditions of awards, subject to the share limits described above. All awards will be subject to the provisions of any claw-back policy implemented by us to the extent set forth in such claw-back policy or in the applicable award agreement. With limited exceptions for estate planning, domestic relations orders, certain beneficiary designations and the laws of descent and distribution, awards under the Restated Plan are generally non-transferable prior to vesting and are exercisable only by the participant. With regard to tax withholding obligations arising in connection with awards under the Restated Plan and exercise price obligations arising in connection with the exercise of stock options under the Restated Plan, the plan administrator may, in its discretion, accept cash, wire transfer, or check, shares of our Common Stock that meet specified conditions, a “market sell order” or such other consideration as it deems suitable or any combination of the foregoing.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connection with any non-reciprocal transaction between us and our stockholders, such as a stock dividend, stock split, spin-off or recapitalization through a large, nonrecurring cash dividend, or other large nonrecurring cash dividend, that affects the shares of Common Stock (or our other securities) or the share price of Common Stock (or our other securities and causes a change in the per share value of the Common Stock underlying outstanding awards (such transaction, an “</w:t>
      </w:r>
      <w:r>
        <w:rPr>
          <w:rFonts w:ascii="Times New Roman" w:cs="Times New Roman" w:eastAsia="Times New Roman" w:hAnsi="Times New Roman"/>
          <w:sz w:val="18"/>
          <w:szCs w:val="18"/>
          <w:b w:val="1"/>
          <w:bCs w:val="1"/>
          <w:i w:val="1"/>
          <w:iCs w:val="1"/>
          <w:color w:val="auto"/>
        </w:rPr>
        <w:t>Equity Restructuring</w:t>
      </w:r>
      <w:r>
        <w:rPr>
          <w:rFonts w:ascii="Times New Roman" w:cs="Times New Roman" w:eastAsia="Times New Roman" w:hAnsi="Times New Roman"/>
          <w:sz w:val="18"/>
          <w:szCs w:val="18"/>
          <w:color w:val="auto"/>
        </w:rPr>
        <w:t>”), the administrator will equitably adjust each outstanding award as it deems appropriate to reflect the Equity Restructuring, which may include adjusting the number and type of securities subject to each outstanding award and/or award’s exercise price or grant, granting new awards, and/or making a cash payment to participants.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Transactions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certain transactions and events affecting our Common Stock, including a change in control, or change in any applicable laws or accounting principles, the plan administrator has broad discretion to take action under the Restated Plan to prevent the dilution or enlargement of intended benefits, facilitate such transaction or event, or give effect to such change in applicable laws or accounting principles. This includes canceling awards in exchange for either an amount in cash or other property with a value equal to the amount that would have been obtained upon exercise or settlement of the vested portion of such award or realization of the participant’s rights under the vested portion of such award, accelerating the vesting of awards, providing for the assumption or substitution of awards by a successor entity, adjusting the number and type of shares available (including adjustments to the number of shares that may be issued upon exercise of ISOs under the Restated Plan), replacing awards with other rights or property or terminating awards under the Restated Plan. In the event of a change in control where the acquirer does not assume awards granted under the Restated Plan, awards issued under the Restated Plan shall be subject to accelerated vesting such that 100% of the awards will become vested and exercisable or payable, as applicable, and which may be subject to such terms and conditions as apply generally to holders of Common Stock under the change in control documents.</w:t>
      </w:r>
    </w:p>
    <w:p>
      <w:pPr>
        <w:spacing w:after="0" w:line="8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For purposes of the Restated Plan, a “change in control” means and includes each of the following: (1) a transaction or series of transactions (other than an offering of our Common Stock to the general public through a registration statement filed with the SEC or a transaction or series of transactions that meets the requirements of clauses (x) and (y) of clause (3) below) whereby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7" w:name="page28"/>
    <w:bookmarkEnd w:id="27"/>
    <w:p>
      <w:pPr>
        <w:spacing w:after="0" w:line="252" w:lineRule="auto"/>
        <w:rPr>
          <w:sz w:val="20"/>
          <w:szCs w:val="20"/>
          <w:color w:val="auto"/>
        </w:rPr>
      </w:pPr>
      <w:r>
        <w:rPr>
          <w:rFonts w:ascii="Times New Roman" w:cs="Times New Roman" w:eastAsia="Times New Roman" w:hAnsi="Times New Roman"/>
          <w:sz w:val="18"/>
          <w:szCs w:val="18"/>
          <w:color w:val="auto"/>
        </w:rPr>
        <w:t>any “person” or related “group” of “persons” (as such terms are used in Sections 13(d) and 14(d)(2) of the Exchange Act) (other than us, any of our subsidiaries, an employee benefit plan maintained by us or any of our subsidiaries or a “person” that, prior to such transaction, directly or indirectly controls, is controlled by, or is under common control with, us) directly or indirectly acquires beneficial ownership (within the meaning of Rule 13d-3 under the Exchange Act) of our securities possessing more than 50% of the total combined voting power of our securities outstanding immediately after such acquisition; or (2) during any period of two consecutive years, individuals who, at the beginning of such period, constitute the board of directors together with any new director(s) (other than a director designated by a person who shall have entered into an agreement with us to effect a transaction described in clauses (1) or (3)) whose election by the board of directors or nomination for election by our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 (3) the consummation by us (whether directly involving us or indirectly involving us through one or more intermediaries) of (a) a merger, consolidation, reorganization, or business combination or (b) a sale or other disposition of all or substantially all of our assets in any single transaction or series of related transactions or (c) the acquisition of assets or stock of another entity, in each case other than a transaction: (x) which results in our voting securities outstanding immediately before the transaction continuing to represent (either by remaining outstanding or by being converted into our voting securities or the voting securities of a successor entity, directly or indirectly, at least a majority of the combined voting power of our outstanding voting securities or the successor entity’s outstanding voting securities immediately after the transaction, and (y) after which no person or group beneficially owns voting securities representing 50% or more of the combined voting power of us or the successor entity (provided that no person will be treated as beneficially owning 50% or more of the combined voting power of us or the successor entity for purposes of this clause (y) solely as a result of the voting power held in us prior to the consummation of the transaction).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and Termination of the Restated Plan</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plan administrator may amend or terminate the Restated Plan at any time; however, stockholder approval will be obtained for any amendment to the extent necessary to comply with applicable law. No award may be granted pursuant to the Restated Plan after the tenth anniversary of the date on which the Board adopted the Restated Plan.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Repricing Permitted</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plan administrator will have the authority, without the approval of our stockholders, to amend any outstanding stock option or SAR to reduce its exercise price per share.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Laws</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Restated Plan is intended to conform with all provisions of the Securities Act and the Exchange Act, and any and all regulations and rules promulgated by the SEC thereunder, including without limitation Rule 16b 3. The Restated Plan will be administered, and awards will be granted and may be exercised, only in such a manner as to conform to such laws, rules and regulations.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Income Tax Consequences Associated with the Restated Plan</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federal income tax consequences of the Restated Plan under current federal income tax law are summarized in the following discussion which deals with the general tax principles applicable to the Restated Plan and is intended for general information only. The following discussion of federal income tax consequences does not purport to be a complete analysis of all of the potential tax effects of the Restated Plan. It is based upon laws, regulations, rulings and decisions now in effect, all of which are subject to change. Foreign, state and local tax laws, and employment, estate and gift tax considerations are not discussed, and may vary depending on individual circumstances and from locality to locality.</w:t>
      </w:r>
    </w:p>
    <w:p>
      <w:pPr>
        <w:spacing w:after="0" w:line="208" w:lineRule="exact"/>
        <w:rPr>
          <w:sz w:val="20"/>
          <w:szCs w:val="20"/>
          <w:color w:val="auto"/>
        </w:rPr>
      </w:pPr>
    </w:p>
    <w:p>
      <w:pPr>
        <w:ind w:left="660" w:right="20" w:hanging="328"/>
        <w:spacing w:after="0" w:line="254"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Options and Stock Appreciation Rights</w:t>
      </w:r>
      <w:r>
        <w:rPr>
          <w:rFonts w:ascii="Times New Roman" w:cs="Times New Roman" w:eastAsia="Times New Roman" w:hAnsi="Times New Roman"/>
          <w:sz w:val="18"/>
          <w:szCs w:val="18"/>
          <w:color w:val="auto"/>
        </w:rPr>
        <w:t>. A Restated Plan participant generally will not recognize taxable income and we generally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entitled to a tax deduction upon the grant of a stock option or stock appreciation right. The tax consequences of exercising a stock option and the subsequent disposition of the shares received upon exercise will depend upon whether the option qualifies as an “incentive stock option” as defined in Section 422 of the Code. The Restated Plan permits the grant of options that are intended to qualify as incentive stock options as well as options that are not intended to so qualify; however, incentive stock options generally may be granted only to our employees and employees of our parent or subsidiary corporations, if any. Upon exercising an option that does not qualify as an incentive stock option when the fair market value of our stock is higher than the exercise price of the option, a Restated Plan participant generally will recognize taxable income at ordinary income tax rates equal to the excess of the fair market value of the stock on the date of exercise over the purchase price, and we (or our subsidiaries, if any) generally will be entitled to a corresponding tax deduction for compensation expense, in the amount equal to the amount by which the fair market value of the shares purchased exceeds the purchase price for the shares. Upon a</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8" w:name="page29"/>
    <w:bookmarkEnd w:id="28"/>
    <w:p>
      <w:pPr>
        <w:ind w:left="328" w:right="100"/>
        <w:spacing w:after="0" w:line="282" w:lineRule="auto"/>
        <w:rPr>
          <w:sz w:val="20"/>
          <w:szCs w:val="20"/>
          <w:color w:val="auto"/>
        </w:rPr>
      </w:pPr>
      <w:r>
        <w:rPr>
          <w:rFonts w:ascii="Times New Roman" w:cs="Times New Roman" w:eastAsia="Times New Roman" w:hAnsi="Times New Roman"/>
          <w:sz w:val="18"/>
          <w:szCs w:val="18"/>
          <w:color w:val="auto"/>
        </w:rPr>
        <w:t>subsequent sale or other disposition of the option shares, the participant will recognize a short term or long term capital gain or loss in the amount of the difference between the sales price of the shares and the participant’s tax basis in the shares.</w:t>
      </w:r>
    </w:p>
    <w:p>
      <w:pPr>
        <w:spacing w:after="0" w:line="189" w:lineRule="exact"/>
        <w:rPr>
          <w:sz w:val="20"/>
          <w:szCs w:val="20"/>
          <w:color w:val="auto"/>
        </w:rPr>
      </w:pPr>
    </w:p>
    <w:p>
      <w:pPr>
        <w:ind w:left="168" w:right="180"/>
        <w:spacing w:after="0" w:line="255" w:lineRule="auto"/>
        <w:rPr>
          <w:sz w:val="20"/>
          <w:szCs w:val="20"/>
          <w:color w:val="auto"/>
        </w:rPr>
      </w:pPr>
      <w:r>
        <w:rPr>
          <w:rFonts w:ascii="Times New Roman" w:cs="Times New Roman" w:eastAsia="Times New Roman" w:hAnsi="Times New Roman"/>
          <w:sz w:val="18"/>
          <w:szCs w:val="18"/>
          <w:color w:val="auto"/>
        </w:rPr>
        <w:t>Upon exercising an incentive stock option, a Restated Plan participant generally will not recognize taxable income, and we will not be entitled to a tax deduction for compensation expense. However, upon exercise, the amount by which the fair market value of the shares purchased exceeds the purchase price will be an item of adjustment for alternative minimum tax purposes. The participant will recognize taxable income upon a sale or other taxable disposition of the option shares. For federal income tax purposes, dispositions are divided into two categories: qualifying and disqualifying. A qualifying disposition generally occurs if the sale or other disposition is made more than two years after the date the option was granted and more than one year after the date the shares are transferred upon exercise. If the sale or disposition occurs before these two periods are satisfied, then a disqualifying disposition generally will result.</w:t>
      </w:r>
    </w:p>
    <w:p>
      <w:pPr>
        <w:spacing w:after="0" w:line="216" w:lineRule="exact"/>
        <w:rPr>
          <w:sz w:val="20"/>
          <w:szCs w:val="20"/>
          <w:color w:val="auto"/>
        </w:rPr>
      </w:pPr>
    </w:p>
    <w:p>
      <w:pPr>
        <w:ind w:left="168" w:right="60"/>
        <w:spacing w:after="0" w:line="256" w:lineRule="auto"/>
        <w:rPr>
          <w:sz w:val="20"/>
          <w:szCs w:val="20"/>
          <w:color w:val="auto"/>
        </w:rPr>
      </w:pPr>
      <w:r>
        <w:rPr>
          <w:rFonts w:ascii="Times New Roman" w:cs="Times New Roman" w:eastAsia="Times New Roman" w:hAnsi="Times New Roman"/>
          <w:sz w:val="18"/>
          <w:szCs w:val="18"/>
          <w:color w:val="auto"/>
        </w:rPr>
        <w:t>Upon a qualifying disposition of incentive stock option shares, the participant will recognize long term capital gain in an amount equal to the excess of the amount realized upon the sale or other disposition of the shares over their purchase price. If there is a disqualifying disposition of the shares, then the excess of the fair market value of the shares on the exercise date (or, if less, the price at which the shares are sold) over their purchase price will be taxable as ordinary income to the participant. If there is a disqualifying disposition in the same year of exercise, it eliminates the item of adjustment for alternative minimum tax purposes. Any additional gain or loss recognized upon the disposition will be recognized as a capital gain or loss by the participant.</w:t>
      </w:r>
    </w:p>
    <w:p>
      <w:pPr>
        <w:spacing w:after="0" w:line="214" w:lineRule="exact"/>
        <w:rPr>
          <w:sz w:val="20"/>
          <w:szCs w:val="20"/>
          <w:color w:val="auto"/>
        </w:rPr>
      </w:pPr>
    </w:p>
    <w:p>
      <w:pPr>
        <w:ind w:left="168"/>
        <w:spacing w:after="0" w:line="266" w:lineRule="auto"/>
        <w:rPr>
          <w:sz w:val="20"/>
          <w:szCs w:val="20"/>
          <w:color w:val="auto"/>
        </w:rPr>
      </w:pPr>
      <w:r>
        <w:rPr>
          <w:rFonts w:ascii="Times New Roman" w:cs="Times New Roman" w:eastAsia="Times New Roman" w:hAnsi="Times New Roman"/>
          <w:sz w:val="18"/>
          <w:szCs w:val="18"/>
          <w:color w:val="auto"/>
        </w:rPr>
        <w:t>We will not be entitled to any tax deduction if the participant makes a qualifying disposition of incentive stock option shares. If the participant makes a disqualifying disposition of the shares, we should be entitled to a tax deduction for compensation expense in the amount of the ordinary income recognized by the participant.</w:t>
      </w:r>
    </w:p>
    <w:p>
      <w:pPr>
        <w:spacing w:after="0" w:line="203" w:lineRule="exact"/>
        <w:rPr>
          <w:sz w:val="20"/>
          <w:szCs w:val="20"/>
          <w:color w:val="auto"/>
        </w:rPr>
      </w:pPr>
    </w:p>
    <w:p>
      <w:pPr>
        <w:ind w:left="168" w:right="20"/>
        <w:spacing w:after="0" w:line="258" w:lineRule="auto"/>
        <w:rPr>
          <w:sz w:val="20"/>
          <w:szCs w:val="20"/>
          <w:color w:val="auto"/>
        </w:rPr>
      </w:pPr>
      <w:r>
        <w:rPr>
          <w:rFonts w:ascii="Times New Roman" w:cs="Times New Roman" w:eastAsia="Times New Roman" w:hAnsi="Times New Roman"/>
          <w:sz w:val="18"/>
          <w:szCs w:val="18"/>
          <w:color w:val="auto"/>
        </w:rPr>
        <w:t>Upon exercising or settling a stock appreciation right, a Restated Plan participant will recognize taxable income at ordinary income tax rates, and we should be entitled to a corresponding tax deduction for compensation expense, in the amount paid or value of the shares issued upon exercise or settlement. Payments in shares will be valued at the fair market value of the shares at the time of the payment, and upon the subsequent disposition of the shares the participant will recognize a short term or long term capital gain or loss in the amount of the difference between the sales price of the shares and the participant’s tax basis in the shares.</w:t>
      </w:r>
    </w:p>
    <w:p>
      <w:pPr>
        <w:spacing w:after="0" w:line="208" w:lineRule="exact"/>
        <w:rPr>
          <w:sz w:val="20"/>
          <w:szCs w:val="20"/>
          <w:color w:val="auto"/>
        </w:rPr>
      </w:pPr>
    </w:p>
    <w:p>
      <w:pPr>
        <w:ind w:left="328" w:right="40" w:hanging="328"/>
        <w:spacing w:after="0" w:line="253" w:lineRule="auto"/>
        <w:tabs>
          <w:tab w:leader="none" w:pos="32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and Restricted Stock Units</w:t>
      </w:r>
      <w:r>
        <w:rPr>
          <w:rFonts w:ascii="Times New Roman" w:cs="Times New Roman" w:eastAsia="Times New Roman" w:hAnsi="Times New Roman"/>
          <w:sz w:val="18"/>
          <w:szCs w:val="18"/>
          <w:color w:val="auto"/>
        </w:rPr>
        <w:t>. A Restated Plan participant generally will not recognize taxable income at ordinary income tax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we generally will not be entitled to a tax deduction upon the grant of restricted stock or restricted stock units. Upon the termination of restrictions on restricted stock or the payment of restricted stock units, the participant will recognize taxable income at ordinary income tax rates, and we should be entitled to a corresponding tax deduction for compensation expense, in the amount paid to the participant or the amount by which the then fair market value of the shares received by the participant exceeds the amount, if any, paid for them. Upon the subsequent disposition of any shares, the participant will recognize a short term or long term capital gain or loss in the amount of the difference between the sales price of the shares and the participant’s tax basis in the shares. However, a Restated Plan participant granted restricted stock that is subject to forfeiture or repurchase through a vesting schedule such that it is subject to a “risk of forfeiture” (as defined in Section 83 of the Code) may make an election under Section 83(b) of the Code to recognize taxable income at ordinary income tax rates, at the time of the grant, in an amount equal to the fair market value of the shares of Common Stock on the date of grant, less the amount paid, if any, for such shares. We will be entitled to a corresponding tax deduction for compensation, in the amount recognized as taxable income by the participant. If a timely Section 83(b) election is made, the participant will not recognize any additional ordinary income on the termination of restrictions on restricted stock, and we will not be entitled to any additional tax deduction.</w:t>
      </w:r>
    </w:p>
    <w:p>
      <w:pPr>
        <w:spacing w:after="0" w:line="214" w:lineRule="exact"/>
        <w:rPr>
          <w:rFonts w:ascii="Times New Roman" w:cs="Times New Roman" w:eastAsia="Times New Roman" w:hAnsi="Times New Roman"/>
          <w:sz w:val="18"/>
          <w:szCs w:val="18"/>
          <w:color w:val="auto"/>
        </w:rPr>
      </w:pPr>
    </w:p>
    <w:p>
      <w:pPr>
        <w:ind w:left="328" w:hanging="328"/>
        <w:spacing w:after="0" w:line="256" w:lineRule="auto"/>
        <w:tabs>
          <w:tab w:leader="none" w:pos="32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Equivalents, Other Stock or Cash-Based Awards</w:t>
      </w:r>
      <w:r>
        <w:rPr>
          <w:rFonts w:ascii="Times New Roman" w:cs="Times New Roman" w:eastAsia="Times New Roman" w:hAnsi="Times New Roman"/>
          <w:sz w:val="18"/>
          <w:szCs w:val="18"/>
          <w:color w:val="auto"/>
        </w:rPr>
        <w:t>. A Restated Plan participant will not recognize taxable income and we will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a tax deduction upon the grant of dividend equivalents or other stock or cash based awards until cash or shares are paid or distributed to the participant. At that time, any cash payments or the fair market value of shares that the participant receives will be taxable to the participant at ordinary income tax rates and we should be entitled to a corresponding tax deduction for compensation expense. Payments in shares will be valued at the fair market value of the shares at the time of the payment, and upon the subsequent disposition of the shares, the participant will recognize a short term or long term capital gain or loss in the amount of the difference between the sales price of the shares and the participant’s tax basis in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931" w:right="339" w:bottom="1440" w:gutter="0" w:footer="0" w:header="0"/>
        </w:sectPr>
      </w:pPr>
    </w:p>
    <w:bookmarkStart w:id="29" w:name="page30"/>
    <w:bookmarkEnd w:id="29"/>
    <w:p>
      <w:pPr>
        <w:ind w:left="660" w:right="20" w:hanging="328"/>
        <w:spacing w:after="0" w:line="257"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409A of the Internal Revenue Code</w:t>
      </w:r>
      <w:r>
        <w:rPr>
          <w:rFonts w:ascii="Times New Roman" w:cs="Times New Roman" w:eastAsia="Times New Roman" w:hAnsi="Times New Roman"/>
          <w:sz w:val="18"/>
          <w:szCs w:val="18"/>
          <w:color w:val="auto"/>
        </w:rPr>
        <w:t>. Certain types of awards under the Restated Plan may constitute, or provide for, a deferral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under Section 409A. Unless certain requirements set forth in Section 409A are complied with, holders of such awards may be taxed earlier than would otherwise be the case (e.g., at the time of vesting instead of the time of payment) and may be subject to an additional 20% federal income tax (and, potentially, certain interest penalties). To the extent applicable, the Restated Plan and awards granted under the Restated Plan will be structured and interpreted to comply with Section 409A and the Department of Treasury regulations and other interpretive guidance that may be issued pursuant to Section 409A.</w:t>
      </w:r>
    </w:p>
    <w:p>
      <w:pPr>
        <w:spacing w:after="0" w:line="209"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162(m) Limitation</w:t>
      </w:r>
      <w:r>
        <w:rPr>
          <w:rFonts w:ascii="Times New Roman" w:cs="Times New Roman" w:eastAsia="Times New Roman" w:hAnsi="Times New Roman"/>
          <w:sz w:val="18"/>
          <w:szCs w:val="18"/>
          <w:color w:val="auto"/>
        </w:rPr>
        <w:t>. In general, under Section 162(m), income tax deductions of publicly held corporations may be limited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 compensation (including base salary, annual bonus, stock option exercises and non qualified benefits paid) for certain executive officers exceeds $1 million (less the amount of any “excess parachute payments” as defined in Section 280G of the Code) in any one year. There is no guarantee that we will be able to take a deduction for any compensation in excess of $1 million that is paid to a covered employee under the 2013 Plan or the Restated Plan.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Other than with respect to the equity awards that may be granted in the future to our non-employee directors as described below in the section of the proxy statement entitled “Board of Directors Compensation-Director Compensation,” all future awards under the Restated Plan are subject to the discretion of the plan administrator and the Company is unable to determine the amount of benefits that may be received by participants under the Restated Plan, if approved.</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may, prior to the date of the Special Meeting, grant equity awards under the Restated Plan; these awards are within the discretion of the plan administrator and are not currently determinable. Any such awards will reduce the shares available for future issuance pursuant to the Restated Plan. To the extent such awards are granted out of the share reserve increase pursuant to the Restated Plan, they will be subject to the occurrence of the Closing Date and stockholder approval of the Restated Plan. To the extent such awards are not granted out of the share reserve increase pursuant to the Restated Plan, and the Restated Plan terminates due to the Closing Date not occurring or the failure of the stockholders to approve the Restated Plan, such awards will remain outstanding under the Existing Plan and will reduce the shares available for issuance thereunder.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Benefits under the Existing Plan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each of our named executive officers and the other groups identified below had been granted the following stock options, RSUs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PSUs under the Existing Plan since its original adoption: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ind w:left="260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21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Stock Options Granted</w:t>
            </w:r>
          </w:p>
        </w:tc>
        <w:tc>
          <w:tcPr>
            <w:tcW w:w="1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RSUs/PSUs Granted</w:t>
            </w:r>
          </w:p>
        </w:tc>
      </w:tr>
      <w:tr>
        <w:trPr>
          <w:trHeight w:val="27"/>
        </w:trPr>
        <w:tc>
          <w:tcPr>
            <w:tcW w:w="67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Faheem Hasnain, </w:t>
            </w:r>
            <w:r>
              <w:rPr>
                <w:rFonts w:ascii="Times New Roman" w:cs="Times New Roman" w:eastAsia="Times New Roman" w:hAnsi="Times New Roman"/>
                <w:sz w:val="18"/>
                <w:szCs w:val="18"/>
                <w:i w:val="1"/>
                <w:iCs w:val="1"/>
                <w:color w:val="auto"/>
              </w:rPr>
              <w:t>Chairman, President and Chief Executive Officer</w:t>
            </w:r>
          </w:p>
        </w:tc>
        <w:tc>
          <w:tcPr>
            <w:tcW w:w="21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7,874,500</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880,000</w:t>
            </w:r>
          </w:p>
        </w:tc>
      </w:tr>
      <w:tr>
        <w:trPr>
          <w:trHeight w:val="23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Bryan Giraudo, </w:t>
            </w:r>
            <w:r>
              <w:rPr>
                <w:rFonts w:ascii="Times New Roman" w:cs="Times New Roman" w:eastAsia="Times New Roman" w:hAnsi="Times New Roman"/>
                <w:sz w:val="18"/>
                <w:szCs w:val="18"/>
                <w:i w:val="1"/>
                <w:iCs w:val="1"/>
                <w:color w:val="auto"/>
              </w:rPr>
              <w:t>Chief Operating Officer and Financial Officer</w:t>
            </w:r>
          </w:p>
        </w:tc>
        <w:tc>
          <w:tcPr>
            <w:tcW w:w="2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3,521,991</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388,500</w:t>
            </w:r>
          </w:p>
        </w:tc>
      </w:tr>
      <w:tr>
        <w:trPr>
          <w:trHeight w:val="20"/>
        </w:trPr>
        <w:tc>
          <w:tcPr>
            <w:tcW w:w="6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37"/>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Robert Smith, </w:t>
            </w:r>
            <w:r>
              <w:rPr>
                <w:rFonts w:ascii="Times New Roman" w:cs="Times New Roman" w:eastAsia="Times New Roman" w:hAnsi="Times New Roman"/>
                <w:sz w:val="18"/>
                <w:szCs w:val="18"/>
                <w:i w:val="1"/>
                <w:iCs w:val="1"/>
                <w:color w:val="auto"/>
              </w:rPr>
              <w:t>Chief Commercial Officer</w:t>
            </w:r>
          </w:p>
        </w:tc>
        <w:tc>
          <w:tcPr>
            <w:tcW w:w="21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2,634,500</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256,250</w:t>
            </w: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Executive Officers as a Group</w:t>
            </w:r>
          </w:p>
        </w:tc>
        <w:tc>
          <w:tcPr>
            <w:tcW w:w="2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18,268,568</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2,108,231</w:t>
            </w:r>
          </w:p>
        </w:tc>
      </w:tr>
      <w:tr>
        <w:trPr>
          <w:trHeight w:val="22"/>
        </w:trPr>
        <w:tc>
          <w:tcPr>
            <w:tcW w:w="6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57"/>
        </w:trPr>
        <w:tc>
          <w:tcPr>
            <w:tcW w:w="674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All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Directors as a Group</w:t>
            </w:r>
          </w:p>
        </w:tc>
        <w:tc>
          <w:tcPr>
            <w:tcW w:w="2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2,400,777</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Nominees for Election as Directors</w:t>
            </w:r>
          </w:p>
        </w:tc>
        <w:tc>
          <w:tcPr>
            <w:tcW w:w="2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6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37"/>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Each Associate of Any Such Directors, Executive Officers, or Nominees</w:t>
            </w:r>
          </w:p>
        </w:tc>
        <w:tc>
          <w:tcPr>
            <w:tcW w:w="21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7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Each Other Person Who Received or is to Receive Five Percent of All Options, Warrants, or</w:t>
            </w:r>
          </w:p>
        </w:tc>
        <w:tc>
          <w:tcPr>
            <w:tcW w:w="21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Rights</w:t>
            </w:r>
          </w:p>
        </w:tc>
        <w:tc>
          <w:tcPr>
            <w:tcW w:w="2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6"/>
        </w:trPr>
        <w:tc>
          <w:tcPr>
            <w:tcW w:w="674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All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Executive Employees as a Group</w:t>
            </w:r>
          </w:p>
        </w:tc>
        <w:tc>
          <w:tcPr>
            <w:tcW w:w="2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22,741,333</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4,744,912</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Recommendation of the Board of Directors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Proposal No. 2 (Restated Plan Proposal) requires the affirmative vote of the holders of a majority in voting power of the votes cast affirmatively or negatively on the proposal, meaning the number of shares voted “For” the proposal must exceed the number of shares voted “Against” the proposal. Abstentions will not be counted toward the tabulation of votes cast on this proposal and will have no effect on the proposal. Broker non-votes will have no effect on this proposal as brokers or other nominees are not entitled to vote on such proposal in the absence of voting instructions from the beneficial.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9" w:right="379" w:bottom="1440" w:gutter="0" w:footer="0" w:header="0"/>
        </w:sectPr>
      </w:pPr>
    </w:p>
    <w:bookmarkStart w:id="30" w:name="page31"/>
    <w:bookmarkEnd w:id="30"/>
    <w:p>
      <w:pPr>
        <w:spacing w:after="0" w:line="254" w:lineRule="auto"/>
        <w:rPr>
          <w:sz w:val="20"/>
          <w:szCs w:val="20"/>
          <w:color w:val="auto"/>
        </w:rPr>
      </w:pPr>
      <w:r>
        <w:rPr>
          <w:rFonts w:ascii="Times New Roman" w:cs="Times New Roman" w:eastAsia="Times New Roman" w:hAnsi="Times New Roman"/>
          <w:sz w:val="18"/>
          <w:szCs w:val="18"/>
          <w:color w:val="auto"/>
        </w:rPr>
        <w:t>As of the Early Settlement Date, Existing Noteholders holding 90.526% of the aggregate outstanding principal amount of the Existing Convertible Notes entered into voting agreements, or are deemed to have agreed to substantially the same terms as those in the voting agreements, with the Company in connection with the tender of their Existing Convertible Notes pursuant to which they agreed to be present in person (which includes by remote communication) or by proxy at the Special Meeting and to vote all shares of Common Stock they received in the Exchange Offer and beneficially owned as of the Record Date in favor of the proposals set forth in this proxy statement.</w:t>
      </w:r>
    </w:p>
    <w:p>
      <w:pPr>
        <w:spacing w:after="0" w:line="3"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THE STOCKHOLDERS VOTE “FOR” THE RESTATED PLAN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AUTHORIZED SHARE INCREASE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Proposal</w:t>
      </w:r>
    </w:p>
    <w:p>
      <w:pPr>
        <w:spacing w:after="0" w:line="23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asking stockholders to approve an amendment to our Charter to increase the number of authorized shares of our Common Stock from 700,000,000 to 4,000,000,000 in order to support, among other things, the additional share issuances of Common Stock issuable upon conversion of the New Convertible Notes and Purchase Warrants and under the Restated Plan, in the form attached to this proxy statement as Annex B (the “</w:t>
      </w:r>
      <w:r>
        <w:rPr>
          <w:rFonts w:ascii="Times New Roman" w:cs="Times New Roman" w:eastAsia="Times New Roman" w:hAnsi="Times New Roman"/>
          <w:sz w:val="18"/>
          <w:szCs w:val="18"/>
          <w:b w:val="1"/>
          <w:bCs w:val="1"/>
          <w:i w:val="1"/>
          <w:iCs w:val="1"/>
          <w:color w:val="auto"/>
        </w:rPr>
        <w:t>Share Increase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The proposed Share Increase Amendment would amend Article FOURTH of the Charter, as follows:</w:t>
      </w:r>
    </w:p>
    <w:p>
      <w:pPr>
        <w:spacing w:after="0" w:line="207" w:lineRule="exact"/>
        <w:rPr>
          <w:sz w:val="20"/>
          <w:szCs w:val="20"/>
          <w:color w:val="auto"/>
        </w:rPr>
      </w:pPr>
    </w:p>
    <w:p>
      <w:pPr>
        <w:jc w:val="both"/>
        <w:ind w:left="660" w:right="80" w:firstLine="648"/>
        <w:spacing w:after="0" w:line="257" w:lineRule="auto"/>
        <w:rPr>
          <w:sz w:val="20"/>
          <w:szCs w:val="20"/>
          <w:color w:val="auto"/>
        </w:rPr>
      </w:pPr>
      <w:r>
        <w:rPr>
          <w:rFonts w:ascii="Times New Roman" w:cs="Times New Roman" w:eastAsia="Times New Roman" w:hAnsi="Times New Roman"/>
          <w:sz w:val="18"/>
          <w:szCs w:val="18"/>
          <w:color w:val="auto"/>
        </w:rPr>
        <w:t>FOURTH: The total number of shares of all classes of stock which the Corporation shall have authority to issue is 4,070,000,000 shares, consisting of (a) 4,000,000,000 shares of Common Stock, $0.0001 par value per share (“Common Stock”), and (b) 70,000,000 shares of Preferred Stock, $0.0001 par value per share (“Preferred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is qualified in its entirety by the full text of the Share Increase Amendment, which is incorporated herein by reference.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to Approval of Proposal</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Approval of this Proposal No. 3 (Authorized Share Increase Proposal) is independent and not conditioned upon the approval of any other proposal. However, the approval of each of Proposal No. 1 (Nasdaq 5635(d) Proposal) and Proposal No. 2 (Restated Plan Proposal) is conditioned upon the approval of this Proposal No. 3 (Authorized Share Increase Proposal). Therefore, if Proposal No. 3 (Authorized Share Increase Proposal) is not approved, Proposal No. 1 (Nasdaq 5635(d) Proposal) and Proposal No. 2 (Restated Plan Proposal) will also not be approved.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Purpose of Proposal</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of March 31, 2026, we had 234,696,282 shares of Common Stock issued and outstanding and an additional 123,587,111 shares of Common Stock in the aggregate reserved for future issuance under granted and outstanding equity incentive compensation awards, shares available for issuance under the Existing Plan, the Inducement Plan and the Employee Stock Purchase Plan, shares reserved for potential issuance under the Existing Convertible Notes, and shares reserved for potential issuance under outstanding warrants. After giving effect to the issuance of up to 317,647,058 shares of Common Stock in the Exchange Offer, we do not have enough authorized shares of Common Stock to support the issuance of Common Stock that will be issuable or may become issuable upon conversion of the New Convertible Notes and Purchase Warrants or under the Restated Plan. See the section of this proxy statement entitled “Background of the Special Meeting—Dilution” for additional information concerning the issued and outstanding shares of Common Stock as of March 31, 2026 and on a pro forma basis after giving effect to the Exchange Offer and potential issuance of shares of Common Stock upon conversion of the New Convertible Notes and Purchase Warrants and under the Restated Plan.</w:t>
      </w:r>
    </w:p>
    <w:p>
      <w:pPr>
        <w:spacing w:after="0" w:line="21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An increase in the number of authorized shares of Common Stock would provide us greater flexibility in considering and planning for current and future corporate needs, including, but not limited to: providing for sufficient shares of Common Stock underlying the New Convertible Notes and Purchase Warrants and Restated Plan, raising additional capital, and other general corporate purposes. We also believe that additional authorized shares of Common Stock will enable us to take timely advantage of market conditions and favorable financing and acquisition opportunities that may become available to us without the delay and expense associated with convening an additional special meeting of our stockholders.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Proposal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Proposal</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stockholders approve this Proposal No. 3 (Authorized Share Increase Proposal), and assuming approval of Proposal No. 1 (Nasdaq 5635(d) Proposal), we will be permitted (i) to elect to settle all of the conversions of the New Convertible Notes in whole or in part in shares of Common Stock, subject to the terms and conditions of the New Convertible Notes Indenture, and (ii) to settle exercises of the Purchase Warrants with shares of our Common Stock. Additionally, subject to the terms and conditions of the New Convertible Notes Indenture, we will be permitted to settle any portion of the make-whole premium due upon conversion, in shares of Common Stock in accordance with the New Convertible Notes Indenture.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2" w:name="page33"/>
    <w:bookmarkEnd w:id="32"/>
    <w:p>
      <w:pPr>
        <w:ind w:right="160"/>
        <w:spacing w:after="0" w:line="266" w:lineRule="auto"/>
        <w:rPr>
          <w:sz w:val="20"/>
          <w:szCs w:val="20"/>
          <w:color w:val="auto"/>
        </w:rPr>
      </w:pPr>
      <w:r>
        <w:rPr>
          <w:rFonts w:ascii="Times New Roman" w:cs="Times New Roman" w:eastAsia="Times New Roman" w:hAnsi="Times New Roman"/>
          <w:sz w:val="18"/>
          <w:szCs w:val="18"/>
          <w:color w:val="auto"/>
        </w:rPr>
        <w:t>If stockholders approve this Proposal No. 3 (Authorized Share Increase Proposal), and assuming approval of Proposal No. 2 (Restated Plan Proposal), we will have a sufficient number of authorized shares of Common Stock to accommodate the share reserve under the Restated Plan as described above in Proposal No. 2 (Restated Plan Proposal).</w:t>
      </w:r>
    </w:p>
    <w:p>
      <w:pPr>
        <w:spacing w:after="0" w:line="20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If stockholders approve this Proposal No. 3 (Authorized Share Increase Proposal), we will also have greater flexibility in considering and planning for current and future corporate needs, including raising additional capital and other general corporate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Approve Proposal</w:t>
      </w:r>
    </w:p>
    <w:p>
      <w:pPr>
        <w:spacing w:after="0" w:line="25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If stockholders do not approve this Proposal No. 3 (Authorized Share Increase Proposal), Proposal No. 1 (Nasdaq 5635(d) Proposal) will fail regardless of the vote of stockholders on such proposal, and we will be required to satisfy our obligations under (i) the New Convertible Notes upon conversion and in payment of make-whole amounts, and (ii) upon exercise of the Purchase Warrants, in the form of cash settlement of such obligations. There can be no assurance that we will have sufficient cash to settle such obligations and support our operations. Absent approval of this Proposal No. 3 (Authorized Share Increase Proposal) and Proposal No. 1 (Nasdaq 5635(d) Proposal) we will be left with limited financial and corporate flexibility with respect to our ability to satisfy obligations under the New Convertible Notes and Purchase Warrants, which could have a material adverse effect on our financial condition.</w:t>
      </w:r>
    </w:p>
    <w:p>
      <w:pPr>
        <w:spacing w:after="0" w:line="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stockholders do not approve this Proposal No. 3 (Authorized Share Increase Proposal), Proposal No. 2 (Restated Plan Proposal) will fail regardless of the vote of stockholders on such proposal, the Restated Plan will cease to be effective. If the Restated Plan is not approved by stockholders and/or the Closing Date does not occur, the Existing Plan will continue in full force and effect as in effect prior to the Restated Plan Effective Date, and we may continue to grant awards under the Existing Plan, subject to its terms, conditions and limitations, using the shares available for issuance thereunder.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 Additional Authorized Shares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additional authorized shares contemplated by the Share Increase Amendment would be a part of the existing class of Common Stock and, if issued, would have the same rights and privileges as the shares of Common Stock presently issued and outstanding. Holders of shares of Common Stock (solely in their capacity as holders) have no preemptive rights or rights to convert their shares of Common Stock into any other securities. Accordingly, should the Board elect to issue additional shares of Common Stock, existing holders of shares of Common Stock would not have any preferential rights to purchase such shares.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on Existing Stockholders</w:t>
      </w:r>
    </w:p>
    <w:p>
      <w:pPr>
        <w:spacing w:after="0" w:line="31"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Future issuances of Common Stock or securities convertible into Common Stock, including in connection with the New Convertible Notes and Purchase Warrants and the Restated Plan, would have a dilutive effect on the earnings per share, book value per share, voting power and percentage interest of holdings of current stockholders. In addition, the availability of additional shares of our Common Stock for issuance could, under certain circumstances, discourage or make more difficult efforts to obtain control of the Company under a possible takeover scenario. The Board is not aware of any attempt, or contemplated attempt, to acquire control of the Company. This Proposal No. 3 (Authorized Share Increase Proposal) is not being presented with the intent that it be used to prevent or discourage any acquisition attempt, but nothing would prevent the Board from taking any actions that are consistent with its fiduciary duties in the future, including actions related to any attempt to acquire control of the Company. The Share Increase Amendment does not affect the number of shares or rights of preferred stock authorized. See the section of this proxy statement entitled “Background of the Special Meeting— Dilution” for additional information concerning the potential dilution after giving effect to the Exchange Offer and potential issuance of shares upon conversion of the New Convertible Notes and Purchase Warrants and under the Restated Plan.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May 15, 2026, the Board approved the Share Increase Amendment and declared that it was advisable and in the best interests of the Company and our stockholders, and directed that the Share Increase Amendment be submitted to our stockholders for approval and adoption and recommends that our stockholders approve and adopt the Share Increase Amendment.</w:t>
      </w:r>
    </w:p>
    <w:p>
      <w:pPr>
        <w:spacing w:after="0" w:line="20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If approved by our stockholders, the Share Increase Amendment would become effective upon the filing of a certificate of amendment setting forth the Share Increase Amendment with the Delaware Secretary of State, which we expect to file as soon</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3" w:name="page34"/>
    <w:bookmarkEnd w:id="33"/>
    <w:p>
      <w:pPr>
        <w:ind w:right="140"/>
        <w:spacing w:after="0" w:line="266" w:lineRule="auto"/>
        <w:rPr>
          <w:sz w:val="20"/>
          <w:szCs w:val="20"/>
          <w:color w:val="auto"/>
        </w:rPr>
      </w:pPr>
      <w:r>
        <w:rPr>
          <w:rFonts w:ascii="Times New Roman" w:cs="Times New Roman" w:eastAsia="Times New Roman" w:hAnsi="Times New Roman"/>
          <w:sz w:val="18"/>
          <w:szCs w:val="18"/>
          <w:color w:val="auto"/>
        </w:rPr>
        <w:t>as practicable following the Special Meeting. Although the Board intends to file the Share Increase Amendment as soon as practicable after the Special Meeting if this Proposal No. 3 (Authorized Share Increase Proposal) is approved, the Board may determine in its discretion to abandon the Share Increase Amendment at any time prior to the effectiveness of the Share Increase Amendment.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Proposal No. 3 (Authorized Share Increase Proposal) requires the affirmative vote of the holders of a majority of the votes cast at the Special Meeting pursuant to Section 242(d)(2) of the General Corporation Law of the State of Delaware. Abstentions will not be counted toward the tabulation of votes cast on this proposal and will have no effect on the proposal. Broker non-votes, if any, will also have no effect on the outcome of this proposal.</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the Early Settlement Date, Existing Noteholders holding 90.526% of the aggregate outstanding principal amount of the Existing Convertible Notes entered into voting agreements, or are deemed to have agreed to substantially the same terms as those in the voting agreements, with the Company in connection with the tender of their Existing Convertible Notes pursuant to which they agreed to be present in person (which includes by remote communication) or by proxy at the Special Meeting and to vote all shares of Common Stock they received in the Exchange Offer and beneficially owned as of the Record Date in favor of the proposals set forth in this proxy statement.</w:t>
      </w:r>
    </w:p>
    <w:p>
      <w:pPr>
        <w:spacing w:after="0" w:line="20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THE STOCKHOLDERS VOTE “FOR” THE AUTHORIZED SHARE INCREASE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4" w:name="page35"/>
    <w:bookmarkEnd w:id="3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Proposal</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We are asking stockholders to approve a series of 30 alternate amendments to our Charter to effect (i) a reverse stock split (the “</w:t>
      </w:r>
      <w:r>
        <w:rPr>
          <w:rFonts w:ascii="Times New Roman" w:cs="Times New Roman" w:eastAsia="Times New Roman" w:hAnsi="Times New Roman"/>
          <w:sz w:val="18"/>
          <w:szCs w:val="18"/>
          <w:b w:val="1"/>
          <w:bCs w:val="1"/>
          <w:i w:val="1"/>
          <w:iCs w:val="1"/>
          <w:color w:val="auto"/>
        </w:rPr>
        <w:t>reverse stock split</w:t>
      </w:r>
      <w:r>
        <w:rPr>
          <w:rFonts w:ascii="Times New Roman" w:cs="Times New Roman" w:eastAsia="Times New Roman" w:hAnsi="Times New Roman"/>
          <w:sz w:val="18"/>
          <w:szCs w:val="18"/>
          <w:color w:val="auto"/>
        </w:rPr>
        <w:t>”), of our issued and outstanding shares of Common Stock and (ii) a proportionate reduction in the number of authorized shares of Common Stock (and correspondingly decrease the total number of authorized shares of our capital stock), if and when the reverse stock split is effected.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to Approval of Proposal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of this Proposal No. 4 (Reverse Stock Split Proposal) is independent and not conditioned upon the approval of any other proposal.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Purpose of Proposal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15, 2026, Board adopted resolutions:</w:t>
      </w:r>
    </w:p>
    <w:p>
      <w:pPr>
        <w:spacing w:after="0" w:line="252" w:lineRule="exact"/>
        <w:rPr>
          <w:sz w:val="20"/>
          <w:szCs w:val="20"/>
          <w:color w:val="auto"/>
        </w:rPr>
      </w:pPr>
    </w:p>
    <w:p>
      <w:pPr>
        <w:ind w:left="660" w:right="3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declaring advisable a series of 30 alternate amendments of our Charter to effect, at the discretion of the Board, a reverse stock split:</w:t>
      </w:r>
    </w:p>
    <w:p>
      <w:pPr>
        <w:spacing w:after="0" w:line="188" w:lineRule="exact"/>
        <w:rPr>
          <w:rFonts w:ascii="Times New Roman" w:cs="Times New Roman" w:eastAsia="Times New Roman" w:hAnsi="Times New Roman"/>
          <w:sz w:val="18"/>
          <w:szCs w:val="18"/>
          <w:color w:val="auto"/>
        </w:rPr>
      </w:pPr>
    </w:p>
    <w:p>
      <w:pPr>
        <w:ind w:left="1300" w:right="20" w:hanging="320"/>
        <w:spacing w:after="0" w:line="253" w:lineRule="auto"/>
        <w:tabs>
          <w:tab w:leader="none" w:pos="12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one of 15 reverse stock split ratios, 1-for-10, 1-for-20, 1-for-30, 1-for-40, 1-for-50, 1-for-60, 1-for-70, 1-for-80, 1-for-90, 1-for-100, 1-for-110, 1-for-120, 1-for-130, 1-for-140 and 1-for-150, and contemporaneously with such reverse stock split and assuming that Proposal No. 3 (Authorized Share Increase Proposal) is approved by our stockholders and becomes effective, to effect a proportionate reduction in the number of authorized shares of Common Stock from 4,000,000,000 to 400,000,000, 200,000,000, 133,333,334, 100,000,000, 80,000,000, 66,666,667, 57,142,858, 50,000,000, 44,444,445, 40,000,000, 36,363,637, 33,333,334, 30,769,231, 28,571,429, 26,666,667, respectively, and</w:t>
      </w:r>
    </w:p>
    <w:p>
      <w:pPr>
        <w:spacing w:after="0" w:line="5" w:lineRule="exact"/>
        <w:rPr>
          <w:rFonts w:ascii="Times New Roman" w:cs="Times New Roman" w:eastAsia="Times New Roman" w:hAnsi="Times New Roman"/>
          <w:sz w:val="18"/>
          <w:szCs w:val="18"/>
          <w:color w:val="auto"/>
        </w:rPr>
      </w:pPr>
    </w:p>
    <w:p>
      <w:pPr>
        <w:ind w:left="1300" w:right="20" w:hanging="320"/>
        <w:spacing w:after="0" w:line="252"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one of 15 reverse stock split ratios, 1-for-10, 1-for-20, 1-for-30, 1-for-40, 1-for-50, 1-for-60, 1-for-70, 1-for-80, 1-for-90, 1-for-100, 1-for-110, 1-for-120, 1-for-130, 1-for-140 and 1-for-150, and contemporaneously with such reverse stock split and assuming that Proposal No. 3 (Authorized Share Increase Proposal) is not approved by our stockholders, to effect a proportionate reduction in the number of authorized shares of Common Stock from 700,000,000 to 70,000,000, 35,000,000, 23,333,334, 17,500,000, 14,000,000, 11,666,667, 10,000,000, 8,750,000, 7,777,778, 7,000,000, 6,363,637, 5,833,334, 5,384,616, 5,000,000 and 4,666,667, respectively (the reverse stock splits and corresponding proportionate reductions in the number of authorized shares as described in clauses (a) and (b) are each referred to as a “</w:t>
      </w:r>
      <w:r>
        <w:rPr>
          <w:rFonts w:ascii="Times New Roman" w:cs="Times New Roman" w:eastAsia="Times New Roman" w:hAnsi="Times New Roman"/>
          <w:sz w:val="18"/>
          <w:szCs w:val="18"/>
          <w:b w:val="1"/>
          <w:bCs w:val="1"/>
          <w:i w:val="1"/>
          <w:iCs w:val="1"/>
          <w:color w:val="auto"/>
        </w:rPr>
        <w:t>Reverse Stock Split Amendment</w:t>
      </w:r>
      <w:r>
        <w:rPr>
          <w:rFonts w:ascii="Times New Roman" w:cs="Times New Roman" w:eastAsia="Times New Roman" w:hAnsi="Times New Roman"/>
          <w:sz w:val="18"/>
          <w:szCs w:val="18"/>
          <w:color w:val="auto"/>
        </w:rPr>
        <w:t>” and are collectively referred to as the “</w:t>
      </w:r>
      <w:r>
        <w:rPr>
          <w:rFonts w:ascii="Times New Roman" w:cs="Times New Roman" w:eastAsia="Times New Roman" w:hAnsi="Times New Roman"/>
          <w:sz w:val="18"/>
          <w:szCs w:val="18"/>
          <w:b w:val="1"/>
          <w:bCs w:val="1"/>
          <w:i w:val="1"/>
          <w:iCs w:val="1"/>
          <w:color w:val="auto"/>
        </w:rPr>
        <w:t>Reverse Stock Split Amendments</w:t>
      </w:r>
      <w:r>
        <w:rPr>
          <w:rFonts w:ascii="Times New Roman" w:cs="Times New Roman" w:eastAsia="Times New Roman" w:hAnsi="Times New Roman"/>
          <w:sz w:val="18"/>
          <w:szCs w:val="18"/>
          <w:color w:val="auto"/>
        </w:rPr>
        <w:t>”),</w:t>
      </w:r>
    </w:p>
    <w:p>
      <w:pPr>
        <w:spacing w:after="0" w:line="2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Directing that each of the Reverse Stock Split Amendments be submitted to our stockholders for their approval,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that our stockholders approve each of the Reverse Stock Split Amendments.</w:t>
      </w:r>
    </w:p>
    <w:p>
      <w:pPr>
        <w:spacing w:after="0" w:line="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actual number of authorized shares of Common Stock and the total number of authorized shares the Company is authorized to issue after giving effect to the reverse stock split, if and when effected, will depend on the reverse stock split ratio that the Board ultimately determines to effect and whether Proposal No. 3 (Authorized Share Increase Proposal) is approved by our stockholders and has become effective.</w:t>
      </w:r>
    </w:p>
    <w:p>
      <w:pPr>
        <w:spacing w:after="0" w:line="21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table below shows the reverse stock split ratio and the number of authorized shares of Common Stock (and the total number of authorized shares of capital stock the Company can issue) for each of the 15 alternate amendments, identified as Amendments A-1 through O-1 for the Reverse Stock Split Amendments, if Proposal No. 3 (Authorized Share Increase Proposal) is approved by our stockholders and becomes effective.</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980" w:type="dxa"/>
            <w:vAlign w:val="bottom"/>
            <w:shd w:val="clear" w:color="auto" w:fill="D9D9D9"/>
          </w:tcPr>
          <w:p>
            <w:pPr>
              <w:ind w:left="360"/>
              <w:spacing w:after="0"/>
              <w:rPr>
                <w:sz w:val="20"/>
                <w:szCs w:val="20"/>
                <w:color w:val="auto"/>
              </w:rPr>
            </w:pPr>
            <w:r>
              <w:rPr>
                <w:rFonts w:ascii="Times New Roman" w:cs="Times New Roman" w:eastAsia="Times New Roman" w:hAnsi="Times New Roman"/>
                <w:sz w:val="18"/>
                <w:szCs w:val="18"/>
                <w:b w:val="1"/>
                <w:bCs w:val="1"/>
                <w:color w:val="auto"/>
              </w:rPr>
              <w:t>  AMENDMENT</w:t>
            </w:r>
          </w:p>
        </w:tc>
        <w:tc>
          <w:tcPr>
            <w:tcW w:w="268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REVERSE STOCK SPLIT</w:t>
            </w:r>
          </w:p>
        </w:tc>
        <w:tc>
          <w:tcPr>
            <w:tcW w:w="174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640" w:type="dxa"/>
            <w:vAlign w:val="bottom"/>
            <w:shd w:val="clear" w:color="auto" w:fill="D9D9D9"/>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NUMBER OF AUTHORIZED SHARES OF COMMON</w:t>
            </w:r>
          </w:p>
        </w:tc>
      </w:tr>
      <w:tr>
        <w:trPr>
          <w:trHeight w:val="203"/>
        </w:trPr>
        <w:tc>
          <w:tcPr>
            <w:tcW w:w="1980" w:type="dxa"/>
            <w:vAlign w:val="bottom"/>
            <w:shd w:val="clear" w:color="auto" w:fill="D9D9D9"/>
          </w:tcPr>
          <w:p>
            <w:pPr>
              <w:spacing w:after="0"/>
              <w:rPr>
                <w:sz w:val="17"/>
                <w:szCs w:val="17"/>
                <w:color w:val="auto"/>
              </w:rPr>
            </w:pPr>
          </w:p>
        </w:tc>
        <w:tc>
          <w:tcPr>
            <w:tcW w:w="2680" w:type="dxa"/>
            <w:vAlign w:val="bottom"/>
            <w:shd w:val="clear" w:color="auto" w:fill="D9D9D9"/>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RATIO</w:t>
            </w:r>
          </w:p>
        </w:tc>
        <w:tc>
          <w:tcPr>
            <w:tcW w:w="1740" w:type="dxa"/>
            <w:vAlign w:val="bottom"/>
            <w:shd w:val="clear" w:color="auto" w:fill="D9D9D9"/>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TOTAL</w:t>
            </w:r>
          </w:p>
        </w:tc>
        <w:tc>
          <w:tcPr>
            <w:tcW w:w="4640" w:type="dxa"/>
            <w:vAlign w:val="bottom"/>
            <w:shd w:val="clear" w:color="auto" w:fill="D9D9D9"/>
          </w:tcPr>
          <w:p>
            <w:pPr>
              <w:jc w:val="center"/>
              <w:ind w:left="9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STOCK FOLLOWING THE REVERSE STOCK SPLIT</w:t>
            </w:r>
          </w:p>
        </w:tc>
      </w:tr>
      <w:tr>
        <w:trPr>
          <w:trHeight w:val="203"/>
        </w:trPr>
        <w:tc>
          <w:tcPr>
            <w:tcW w:w="1980" w:type="dxa"/>
            <w:vAlign w:val="bottom"/>
            <w:shd w:val="clear" w:color="auto" w:fill="D9D9D9"/>
          </w:tcPr>
          <w:p>
            <w:pPr>
              <w:spacing w:after="0"/>
              <w:rPr>
                <w:sz w:val="17"/>
                <w:szCs w:val="17"/>
                <w:color w:val="auto"/>
              </w:rPr>
            </w:pPr>
          </w:p>
        </w:tc>
        <w:tc>
          <w:tcPr>
            <w:tcW w:w="2680" w:type="dxa"/>
            <w:vAlign w:val="bottom"/>
            <w:shd w:val="clear" w:color="auto" w:fill="D9D9D9"/>
          </w:tcPr>
          <w:p>
            <w:pPr>
              <w:spacing w:after="0"/>
              <w:rPr>
                <w:sz w:val="17"/>
                <w:szCs w:val="17"/>
                <w:color w:val="auto"/>
              </w:rPr>
            </w:pPr>
          </w:p>
        </w:tc>
        <w:tc>
          <w:tcPr>
            <w:tcW w:w="1740" w:type="dxa"/>
            <w:vAlign w:val="bottom"/>
            <w:shd w:val="clear" w:color="auto" w:fill="D9D9D9"/>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AUTHORIZED</w:t>
            </w:r>
          </w:p>
        </w:tc>
        <w:tc>
          <w:tcPr>
            <w:tcW w:w="4640" w:type="dxa"/>
            <w:vAlign w:val="bottom"/>
            <w:shd w:val="clear" w:color="auto" w:fill="D9D9D9"/>
          </w:tcPr>
          <w:p>
            <w:pPr>
              <w:jc w:val="center"/>
              <w:ind w:left="1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(ASSUMING STOCKHOLDER APPROVAL OF</w:t>
            </w:r>
          </w:p>
        </w:tc>
      </w:tr>
      <w:tr>
        <w:trPr>
          <w:trHeight w:val="203"/>
        </w:trPr>
        <w:tc>
          <w:tcPr>
            <w:tcW w:w="1980" w:type="dxa"/>
            <w:vAlign w:val="bottom"/>
            <w:shd w:val="clear" w:color="auto" w:fill="D9D9D9"/>
          </w:tcPr>
          <w:p>
            <w:pPr>
              <w:spacing w:after="0"/>
              <w:rPr>
                <w:sz w:val="17"/>
                <w:szCs w:val="17"/>
                <w:color w:val="auto"/>
              </w:rPr>
            </w:pPr>
          </w:p>
        </w:tc>
        <w:tc>
          <w:tcPr>
            <w:tcW w:w="2680" w:type="dxa"/>
            <w:vAlign w:val="bottom"/>
            <w:shd w:val="clear" w:color="auto" w:fill="D9D9D9"/>
          </w:tcPr>
          <w:p>
            <w:pPr>
              <w:spacing w:after="0"/>
              <w:rPr>
                <w:sz w:val="17"/>
                <w:szCs w:val="17"/>
                <w:color w:val="auto"/>
              </w:rPr>
            </w:pPr>
          </w:p>
        </w:tc>
        <w:tc>
          <w:tcPr>
            <w:tcW w:w="1740" w:type="dxa"/>
            <w:vAlign w:val="bottom"/>
            <w:shd w:val="clear" w:color="auto" w:fill="D9D9D9"/>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4640" w:type="dxa"/>
            <w:vAlign w:val="bottom"/>
            <w:shd w:val="clear" w:color="auto" w:fill="D9D9D9"/>
          </w:tcPr>
          <w:p>
            <w:pPr>
              <w:jc w:val="center"/>
              <w:ind w:left="110"/>
              <w:spacing w:after="0" w:line="202" w:lineRule="exact"/>
              <w:rPr>
                <w:sz w:val="20"/>
                <w:szCs w:val="20"/>
                <w:color w:val="auto"/>
              </w:rPr>
            </w:pPr>
            <w:r>
              <w:rPr>
                <w:rFonts w:ascii="Times New Roman" w:cs="Times New Roman" w:eastAsia="Times New Roman" w:hAnsi="Times New Roman"/>
                <w:sz w:val="18"/>
                <w:szCs w:val="18"/>
                <w:b w:val="1"/>
                <w:bCs w:val="1"/>
                <w:color w:val="auto"/>
              </w:rPr>
              <w:t>PROPOSAL NO. 3 (AUTHORIZED SHARE</w:t>
            </w:r>
          </w:p>
        </w:tc>
      </w:tr>
      <w:tr>
        <w:trPr>
          <w:trHeight w:val="245"/>
        </w:trPr>
        <w:tc>
          <w:tcPr>
            <w:tcW w:w="1980" w:type="dxa"/>
            <w:vAlign w:val="bottom"/>
            <w:tcBorders>
              <w:bottom w:val="single" w:sz="8" w:color="D9D9D9"/>
            </w:tcBorders>
            <w:shd w:val="clear" w:color="auto" w:fill="D9D9D9"/>
          </w:tcPr>
          <w:p>
            <w:pPr>
              <w:spacing w:after="0"/>
              <w:rPr>
                <w:sz w:val="21"/>
                <w:szCs w:val="21"/>
                <w:color w:val="auto"/>
              </w:rPr>
            </w:pPr>
          </w:p>
        </w:tc>
        <w:tc>
          <w:tcPr>
            <w:tcW w:w="2680" w:type="dxa"/>
            <w:vAlign w:val="bottom"/>
            <w:tcBorders>
              <w:bottom w:val="single" w:sz="8" w:color="D9D9D9"/>
            </w:tcBorders>
            <w:shd w:val="clear" w:color="auto" w:fill="D9D9D9"/>
          </w:tcPr>
          <w:p>
            <w:pPr>
              <w:spacing w:after="0"/>
              <w:rPr>
                <w:sz w:val="21"/>
                <w:szCs w:val="21"/>
                <w:color w:val="auto"/>
              </w:rPr>
            </w:pPr>
          </w:p>
        </w:tc>
        <w:tc>
          <w:tcPr>
            <w:tcW w:w="1740" w:type="dxa"/>
            <w:vAlign w:val="bottom"/>
            <w:tcBorders>
              <w:bottom w:val="single" w:sz="8" w:color="D9D9D9"/>
            </w:tcBorders>
            <w:shd w:val="clear" w:color="auto" w:fill="D9D9D9"/>
          </w:tcPr>
          <w:p>
            <w:pPr>
              <w:spacing w:after="0"/>
              <w:rPr>
                <w:sz w:val="21"/>
                <w:szCs w:val="21"/>
                <w:color w:val="auto"/>
              </w:rPr>
            </w:pPr>
          </w:p>
        </w:tc>
        <w:tc>
          <w:tcPr>
            <w:tcW w:w="4640" w:type="dxa"/>
            <w:vAlign w:val="bottom"/>
            <w:tcBorders>
              <w:bottom w:val="single" w:sz="8" w:color="D9D9D9"/>
            </w:tcBorders>
            <w:shd w:val="clear" w:color="auto" w:fill="D9D9D9"/>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INCREASE PROPOSAL))</w:t>
            </w:r>
          </w:p>
        </w:tc>
      </w:tr>
      <w:tr>
        <w:trPr>
          <w:trHeight w:val="234"/>
        </w:trPr>
        <w:tc>
          <w:tcPr>
            <w:tcW w:w="1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A-1</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1-for-10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470,000,000</w:t>
            </w:r>
          </w:p>
        </w:tc>
        <w:tc>
          <w:tcPr>
            <w:tcW w:w="46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400,000,000</w:t>
            </w:r>
          </w:p>
        </w:tc>
      </w:tr>
      <w:tr>
        <w:trPr>
          <w:trHeight w:val="22"/>
        </w:trPr>
        <w:tc>
          <w:tcPr>
            <w:tcW w:w="19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37"/>
        </w:trPr>
        <w:tc>
          <w:tcPr>
            <w:tcW w:w="1980" w:type="dxa"/>
            <w:vAlign w:val="bottom"/>
            <w:tcBorders>
              <w:bottom w:val="single" w:sz="8" w:color="CCCCCC"/>
            </w:tcBorders>
            <w:shd w:val="clear" w:color="auto" w:fill="CCCCCC"/>
          </w:tcPr>
          <w:p>
            <w:pPr>
              <w:ind w:left="920"/>
              <w:spacing w:after="0"/>
              <w:rPr>
                <w:sz w:val="20"/>
                <w:szCs w:val="20"/>
                <w:color w:val="auto"/>
              </w:rPr>
            </w:pPr>
            <w:r>
              <w:rPr>
                <w:rFonts w:ascii="Times New Roman" w:cs="Times New Roman" w:eastAsia="Times New Roman" w:hAnsi="Times New Roman"/>
                <w:sz w:val="18"/>
                <w:szCs w:val="18"/>
                <w:color w:val="auto"/>
              </w:rPr>
              <w:t>B-1</w:t>
            </w:r>
          </w:p>
        </w:tc>
        <w:tc>
          <w:tcPr>
            <w:tcW w:w="2680" w:type="dxa"/>
            <w:vAlign w:val="bottom"/>
            <w:tcBorders>
              <w:bottom w:val="single" w:sz="8" w:color="CCCCCC"/>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9"/>
              </w:rPr>
              <w:t>1-for-20</w:t>
            </w:r>
          </w:p>
        </w:tc>
        <w:tc>
          <w:tcPr>
            <w:tcW w:w="1740" w:type="dxa"/>
            <w:vAlign w:val="bottom"/>
            <w:tcBorders>
              <w:bottom w:val="single" w:sz="8" w:color="CCCCCC"/>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9"/>
              </w:rPr>
              <w:t>270,000,000</w:t>
            </w:r>
          </w:p>
        </w:tc>
        <w:tc>
          <w:tcPr>
            <w:tcW w:w="4640" w:type="dxa"/>
            <w:vAlign w:val="bottom"/>
            <w:tcBorders>
              <w:bottom w:val="single" w:sz="8" w:color="CCCCCC"/>
            </w:tcBorders>
            <w:shd w:val="clear" w:color="auto" w:fill="CCCCCC"/>
          </w:tcPr>
          <w:p>
            <w:pPr>
              <w:jc w:val="center"/>
              <w:ind w:left="90"/>
              <w:spacing w:after="0"/>
              <w:rPr>
                <w:sz w:val="20"/>
                <w:szCs w:val="20"/>
                <w:color w:val="auto"/>
              </w:rPr>
            </w:pPr>
            <w:r>
              <w:rPr>
                <w:rFonts w:ascii="Times New Roman" w:cs="Times New Roman" w:eastAsia="Times New Roman" w:hAnsi="Times New Roman"/>
                <w:sz w:val="18"/>
                <w:szCs w:val="18"/>
                <w:color w:val="auto"/>
                <w:w w:val="99"/>
              </w:rPr>
              <w:t>200,000,000</w:t>
            </w:r>
          </w:p>
        </w:tc>
      </w:tr>
      <w:tr>
        <w:trPr>
          <w:trHeight w:val="234"/>
        </w:trPr>
        <w:tc>
          <w:tcPr>
            <w:tcW w:w="1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C-1</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1-for-30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203,333,334</w:t>
            </w:r>
          </w:p>
        </w:tc>
        <w:tc>
          <w:tcPr>
            <w:tcW w:w="46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133,333,334</w:t>
            </w:r>
          </w:p>
        </w:tc>
      </w:tr>
      <w:tr>
        <w:trPr>
          <w:trHeight w:val="22"/>
        </w:trPr>
        <w:tc>
          <w:tcPr>
            <w:tcW w:w="19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36"/>
        </w:trPr>
        <w:tc>
          <w:tcPr>
            <w:tcW w:w="1980" w:type="dxa"/>
            <w:vAlign w:val="bottom"/>
            <w:tcBorders>
              <w:bottom w:val="single" w:sz="8" w:color="CCCCCC"/>
            </w:tcBorders>
            <w:shd w:val="clear" w:color="auto" w:fill="CCCCCC"/>
          </w:tcPr>
          <w:p>
            <w:pPr>
              <w:ind w:left="920"/>
              <w:spacing w:after="0"/>
              <w:rPr>
                <w:sz w:val="20"/>
                <w:szCs w:val="20"/>
                <w:color w:val="auto"/>
              </w:rPr>
            </w:pPr>
            <w:r>
              <w:rPr>
                <w:rFonts w:ascii="Times New Roman" w:cs="Times New Roman" w:eastAsia="Times New Roman" w:hAnsi="Times New Roman"/>
                <w:sz w:val="18"/>
                <w:szCs w:val="18"/>
                <w:color w:val="auto"/>
              </w:rPr>
              <w:t>D-1</w:t>
            </w:r>
          </w:p>
        </w:tc>
        <w:tc>
          <w:tcPr>
            <w:tcW w:w="2680" w:type="dxa"/>
            <w:vAlign w:val="bottom"/>
            <w:tcBorders>
              <w:bottom w:val="single" w:sz="8" w:color="CCCCCC"/>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9"/>
              </w:rPr>
              <w:t>1-for-40</w:t>
            </w:r>
          </w:p>
        </w:tc>
        <w:tc>
          <w:tcPr>
            <w:tcW w:w="1740" w:type="dxa"/>
            <w:vAlign w:val="bottom"/>
            <w:tcBorders>
              <w:bottom w:val="single" w:sz="8" w:color="CCCCCC"/>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9"/>
              </w:rPr>
              <w:t>170,000,000</w:t>
            </w:r>
          </w:p>
        </w:tc>
        <w:tc>
          <w:tcPr>
            <w:tcW w:w="4640" w:type="dxa"/>
            <w:vAlign w:val="bottom"/>
            <w:tcBorders>
              <w:bottom w:val="single" w:sz="8" w:color="CCCCCC"/>
            </w:tcBorders>
            <w:shd w:val="clear" w:color="auto" w:fill="CCCCCC"/>
          </w:tcPr>
          <w:p>
            <w:pPr>
              <w:jc w:val="center"/>
              <w:ind w:left="90"/>
              <w:spacing w:after="0"/>
              <w:rPr>
                <w:sz w:val="20"/>
                <w:szCs w:val="20"/>
                <w:color w:val="auto"/>
              </w:rPr>
            </w:pPr>
            <w:r>
              <w:rPr>
                <w:rFonts w:ascii="Times New Roman" w:cs="Times New Roman" w:eastAsia="Times New Roman" w:hAnsi="Times New Roman"/>
                <w:sz w:val="18"/>
                <w:szCs w:val="18"/>
                <w:color w:val="auto"/>
                <w:w w:val="99"/>
              </w:rPr>
              <w:t>100,000,000</w:t>
            </w:r>
          </w:p>
        </w:tc>
      </w:tr>
      <w:tr>
        <w:trPr>
          <w:trHeight w:val="234"/>
        </w:trPr>
        <w:tc>
          <w:tcPr>
            <w:tcW w:w="1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E-1</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1-for-50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150,000,000</w:t>
            </w:r>
          </w:p>
        </w:tc>
        <w:tc>
          <w:tcPr>
            <w:tcW w:w="46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80,000,000</w:t>
            </w:r>
          </w:p>
        </w:tc>
      </w:tr>
      <w:tr>
        <w:trPr>
          <w:trHeight w:val="22"/>
        </w:trPr>
        <w:tc>
          <w:tcPr>
            <w:tcW w:w="19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37"/>
        </w:trPr>
        <w:tc>
          <w:tcPr>
            <w:tcW w:w="1980" w:type="dxa"/>
            <w:vAlign w:val="bottom"/>
            <w:tcBorders>
              <w:bottom w:val="single" w:sz="8" w:color="CCCCCC"/>
            </w:tcBorders>
            <w:shd w:val="clear" w:color="auto" w:fill="CCCCCC"/>
          </w:tcPr>
          <w:p>
            <w:pPr>
              <w:ind w:left="920"/>
              <w:spacing w:after="0"/>
              <w:rPr>
                <w:sz w:val="20"/>
                <w:szCs w:val="20"/>
                <w:color w:val="auto"/>
              </w:rPr>
            </w:pPr>
            <w:r>
              <w:rPr>
                <w:rFonts w:ascii="Times New Roman" w:cs="Times New Roman" w:eastAsia="Times New Roman" w:hAnsi="Times New Roman"/>
                <w:sz w:val="18"/>
                <w:szCs w:val="18"/>
                <w:color w:val="auto"/>
              </w:rPr>
              <w:t>F-1</w:t>
            </w:r>
          </w:p>
        </w:tc>
        <w:tc>
          <w:tcPr>
            <w:tcW w:w="2680" w:type="dxa"/>
            <w:vAlign w:val="bottom"/>
            <w:tcBorders>
              <w:bottom w:val="single" w:sz="8" w:color="CCCCCC"/>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9"/>
              </w:rPr>
              <w:t>1-for-60</w:t>
            </w:r>
          </w:p>
        </w:tc>
        <w:tc>
          <w:tcPr>
            <w:tcW w:w="1740" w:type="dxa"/>
            <w:vAlign w:val="bottom"/>
            <w:tcBorders>
              <w:bottom w:val="single" w:sz="8" w:color="CCCCCC"/>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9"/>
              </w:rPr>
              <w:t>136,666,667</w:t>
            </w:r>
          </w:p>
        </w:tc>
        <w:tc>
          <w:tcPr>
            <w:tcW w:w="4640" w:type="dxa"/>
            <w:vAlign w:val="bottom"/>
            <w:tcBorders>
              <w:bottom w:val="single" w:sz="8" w:color="CCCCCC"/>
            </w:tcBorders>
            <w:shd w:val="clear" w:color="auto" w:fill="CCCCCC"/>
          </w:tcPr>
          <w:p>
            <w:pPr>
              <w:jc w:val="center"/>
              <w:ind w:left="110"/>
              <w:spacing w:after="0"/>
              <w:rPr>
                <w:sz w:val="20"/>
                <w:szCs w:val="20"/>
                <w:color w:val="auto"/>
              </w:rPr>
            </w:pPr>
            <w:r>
              <w:rPr>
                <w:rFonts w:ascii="Times New Roman" w:cs="Times New Roman" w:eastAsia="Times New Roman" w:hAnsi="Times New Roman"/>
                <w:sz w:val="18"/>
                <w:szCs w:val="18"/>
                <w:color w:val="auto"/>
                <w:w w:val="98"/>
              </w:rPr>
              <w:t>66,666,667</w:t>
            </w:r>
          </w:p>
        </w:tc>
      </w:tr>
      <w:tr>
        <w:trPr>
          <w:trHeight w:val="234"/>
        </w:trPr>
        <w:tc>
          <w:tcPr>
            <w:tcW w:w="1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G-1</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1-for-70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127,142,858</w:t>
            </w:r>
          </w:p>
        </w:tc>
        <w:tc>
          <w:tcPr>
            <w:tcW w:w="46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57,142,858</w:t>
            </w:r>
          </w:p>
        </w:tc>
      </w:tr>
      <w:tr>
        <w:trPr>
          <w:trHeight w:val="22"/>
        </w:trPr>
        <w:tc>
          <w:tcPr>
            <w:tcW w:w="19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36"/>
        </w:trPr>
        <w:tc>
          <w:tcPr>
            <w:tcW w:w="1980" w:type="dxa"/>
            <w:vAlign w:val="bottom"/>
            <w:tcBorders>
              <w:bottom w:val="single" w:sz="8" w:color="CCCCCC"/>
            </w:tcBorders>
            <w:shd w:val="clear" w:color="auto" w:fill="CCCCCC"/>
          </w:tcPr>
          <w:p>
            <w:pPr>
              <w:ind w:left="920"/>
              <w:spacing w:after="0"/>
              <w:rPr>
                <w:sz w:val="20"/>
                <w:szCs w:val="20"/>
                <w:color w:val="auto"/>
              </w:rPr>
            </w:pPr>
            <w:r>
              <w:rPr>
                <w:rFonts w:ascii="Times New Roman" w:cs="Times New Roman" w:eastAsia="Times New Roman" w:hAnsi="Times New Roman"/>
                <w:sz w:val="18"/>
                <w:szCs w:val="18"/>
                <w:color w:val="auto"/>
              </w:rPr>
              <w:t>H-1</w:t>
            </w:r>
          </w:p>
        </w:tc>
        <w:tc>
          <w:tcPr>
            <w:tcW w:w="2680" w:type="dxa"/>
            <w:vAlign w:val="bottom"/>
            <w:tcBorders>
              <w:bottom w:val="single" w:sz="8" w:color="CCCCCC"/>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9"/>
              </w:rPr>
              <w:t>1-for-80</w:t>
            </w:r>
          </w:p>
        </w:tc>
        <w:tc>
          <w:tcPr>
            <w:tcW w:w="1740" w:type="dxa"/>
            <w:vAlign w:val="bottom"/>
            <w:tcBorders>
              <w:bottom w:val="single" w:sz="8" w:color="CCCCCC"/>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9"/>
              </w:rPr>
              <w:t>120,000,000</w:t>
            </w:r>
          </w:p>
        </w:tc>
        <w:tc>
          <w:tcPr>
            <w:tcW w:w="4640" w:type="dxa"/>
            <w:vAlign w:val="bottom"/>
            <w:tcBorders>
              <w:bottom w:val="single" w:sz="8" w:color="CCCCCC"/>
            </w:tcBorders>
            <w:shd w:val="clear" w:color="auto" w:fill="CCCCCC"/>
          </w:tcPr>
          <w:p>
            <w:pPr>
              <w:jc w:val="center"/>
              <w:ind w:left="110"/>
              <w:spacing w:after="0"/>
              <w:rPr>
                <w:sz w:val="20"/>
                <w:szCs w:val="20"/>
                <w:color w:val="auto"/>
              </w:rPr>
            </w:pPr>
            <w:r>
              <w:rPr>
                <w:rFonts w:ascii="Times New Roman" w:cs="Times New Roman" w:eastAsia="Times New Roman" w:hAnsi="Times New Roman"/>
                <w:sz w:val="18"/>
                <w:szCs w:val="18"/>
                <w:color w:val="auto"/>
                <w:w w:val="98"/>
              </w:rPr>
              <w:t>50,000,000</w:t>
            </w:r>
          </w:p>
        </w:tc>
      </w:tr>
      <w:tr>
        <w:trPr>
          <w:trHeight w:val="234"/>
        </w:trPr>
        <w:tc>
          <w:tcPr>
            <w:tcW w:w="1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I-1 </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1-for-90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114,444,445</w:t>
            </w:r>
          </w:p>
        </w:tc>
        <w:tc>
          <w:tcPr>
            <w:tcW w:w="46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44,444,445</w:t>
            </w:r>
          </w:p>
        </w:tc>
      </w:tr>
      <w:tr>
        <w:trPr>
          <w:trHeight w:val="22"/>
        </w:trPr>
        <w:tc>
          <w:tcPr>
            <w:tcW w:w="19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37"/>
        </w:trPr>
        <w:tc>
          <w:tcPr>
            <w:tcW w:w="1980" w:type="dxa"/>
            <w:vAlign w:val="bottom"/>
            <w:tcBorders>
              <w:bottom w:val="single" w:sz="8" w:color="CCCCCC"/>
            </w:tcBorders>
            <w:shd w:val="clear" w:color="auto" w:fill="CCCCCC"/>
          </w:tcPr>
          <w:p>
            <w:pPr>
              <w:ind w:left="920"/>
              <w:spacing w:after="0"/>
              <w:rPr>
                <w:sz w:val="20"/>
                <w:szCs w:val="20"/>
                <w:color w:val="auto"/>
              </w:rPr>
            </w:pPr>
            <w:r>
              <w:rPr>
                <w:rFonts w:ascii="Times New Roman" w:cs="Times New Roman" w:eastAsia="Times New Roman" w:hAnsi="Times New Roman"/>
                <w:sz w:val="18"/>
                <w:szCs w:val="18"/>
                <w:color w:val="auto"/>
              </w:rPr>
              <w:t>J-1 </w:t>
            </w:r>
          </w:p>
        </w:tc>
        <w:tc>
          <w:tcPr>
            <w:tcW w:w="2680" w:type="dxa"/>
            <w:vAlign w:val="bottom"/>
            <w:tcBorders>
              <w:bottom w:val="single" w:sz="8" w:color="CCCCCC"/>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4"/>
              </w:rPr>
              <w:t>  1-for-100</w:t>
            </w:r>
          </w:p>
        </w:tc>
        <w:tc>
          <w:tcPr>
            <w:tcW w:w="1740" w:type="dxa"/>
            <w:vAlign w:val="bottom"/>
            <w:tcBorders>
              <w:bottom w:val="single" w:sz="8" w:color="CCCCCC"/>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9"/>
              </w:rPr>
              <w:t>110,000,000</w:t>
            </w:r>
          </w:p>
        </w:tc>
        <w:tc>
          <w:tcPr>
            <w:tcW w:w="4640" w:type="dxa"/>
            <w:vAlign w:val="bottom"/>
            <w:tcBorders>
              <w:bottom w:val="single" w:sz="8" w:color="CCCCCC"/>
            </w:tcBorders>
            <w:shd w:val="clear" w:color="auto" w:fill="CCCCCC"/>
          </w:tcPr>
          <w:p>
            <w:pPr>
              <w:jc w:val="center"/>
              <w:ind w:left="110"/>
              <w:spacing w:after="0"/>
              <w:rPr>
                <w:sz w:val="20"/>
                <w:szCs w:val="20"/>
                <w:color w:val="auto"/>
              </w:rPr>
            </w:pPr>
            <w:r>
              <w:rPr>
                <w:rFonts w:ascii="Times New Roman" w:cs="Times New Roman" w:eastAsia="Times New Roman" w:hAnsi="Times New Roman"/>
                <w:sz w:val="18"/>
                <w:szCs w:val="18"/>
                <w:color w:val="auto"/>
                <w:w w:val="98"/>
              </w:rPr>
              <w:t>40,000,000</w:t>
            </w:r>
          </w:p>
        </w:tc>
      </w:tr>
      <w:tr>
        <w:trPr>
          <w:trHeight w:val="234"/>
        </w:trPr>
        <w:tc>
          <w:tcPr>
            <w:tcW w:w="1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K-1</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  1-for-110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106,363,637</w:t>
            </w:r>
          </w:p>
        </w:tc>
        <w:tc>
          <w:tcPr>
            <w:tcW w:w="46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36,363,637</w:t>
            </w:r>
          </w:p>
        </w:tc>
      </w:tr>
      <w:tr>
        <w:trPr>
          <w:trHeight w:val="22"/>
        </w:trPr>
        <w:tc>
          <w:tcPr>
            <w:tcW w:w="19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37"/>
        </w:trPr>
        <w:tc>
          <w:tcPr>
            <w:tcW w:w="1980" w:type="dxa"/>
            <w:vAlign w:val="bottom"/>
            <w:tcBorders>
              <w:bottom w:val="single" w:sz="8" w:color="CCCCCC"/>
            </w:tcBorders>
            <w:shd w:val="clear" w:color="auto" w:fill="CCCCCC"/>
          </w:tcPr>
          <w:p>
            <w:pPr>
              <w:ind w:left="920"/>
              <w:spacing w:after="0"/>
              <w:rPr>
                <w:sz w:val="20"/>
                <w:szCs w:val="20"/>
                <w:color w:val="auto"/>
              </w:rPr>
            </w:pPr>
            <w:r>
              <w:rPr>
                <w:rFonts w:ascii="Times New Roman" w:cs="Times New Roman" w:eastAsia="Times New Roman" w:hAnsi="Times New Roman"/>
                <w:sz w:val="18"/>
                <w:szCs w:val="18"/>
                <w:color w:val="auto"/>
              </w:rPr>
              <w:t>L-1</w:t>
            </w:r>
          </w:p>
        </w:tc>
        <w:tc>
          <w:tcPr>
            <w:tcW w:w="2680" w:type="dxa"/>
            <w:vAlign w:val="bottom"/>
            <w:tcBorders>
              <w:bottom w:val="single" w:sz="8" w:color="CCCCCC"/>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4"/>
              </w:rPr>
              <w:t>  1-for-120</w:t>
            </w:r>
          </w:p>
        </w:tc>
        <w:tc>
          <w:tcPr>
            <w:tcW w:w="1740" w:type="dxa"/>
            <w:vAlign w:val="bottom"/>
            <w:tcBorders>
              <w:bottom w:val="single" w:sz="8" w:color="CCCCCC"/>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9"/>
              </w:rPr>
              <w:t>103,333,334</w:t>
            </w:r>
          </w:p>
        </w:tc>
        <w:tc>
          <w:tcPr>
            <w:tcW w:w="4640" w:type="dxa"/>
            <w:vAlign w:val="bottom"/>
            <w:tcBorders>
              <w:bottom w:val="single" w:sz="8" w:color="CCCCCC"/>
            </w:tcBorders>
            <w:shd w:val="clear" w:color="auto" w:fill="CCCCCC"/>
          </w:tcPr>
          <w:p>
            <w:pPr>
              <w:jc w:val="center"/>
              <w:ind w:left="110"/>
              <w:spacing w:after="0"/>
              <w:rPr>
                <w:sz w:val="20"/>
                <w:szCs w:val="20"/>
                <w:color w:val="auto"/>
              </w:rPr>
            </w:pPr>
            <w:r>
              <w:rPr>
                <w:rFonts w:ascii="Times New Roman" w:cs="Times New Roman" w:eastAsia="Times New Roman" w:hAnsi="Times New Roman"/>
                <w:sz w:val="18"/>
                <w:szCs w:val="18"/>
                <w:color w:val="auto"/>
                <w:w w:val="98"/>
              </w:rPr>
              <w:t>33,333,334</w:t>
            </w:r>
          </w:p>
        </w:tc>
      </w:tr>
      <w:tr>
        <w:trPr>
          <w:trHeight w:val="234"/>
        </w:trPr>
        <w:tc>
          <w:tcPr>
            <w:tcW w:w="19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M-1</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  1-for-130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100,769,231</w:t>
            </w:r>
          </w:p>
        </w:tc>
        <w:tc>
          <w:tcPr>
            <w:tcW w:w="46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30,769,231</w:t>
            </w:r>
          </w:p>
        </w:tc>
      </w:tr>
      <w:tr>
        <w:trPr>
          <w:trHeight w:val="22"/>
        </w:trPr>
        <w:tc>
          <w:tcPr>
            <w:tcW w:w="19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37"/>
        </w:trPr>
        <w:tc>
          <w:tcPr>
            <w:tcW w:w="1980" w:type="dxa"/>
            <w:vAlign w:val="bottom"/>
            <w:tcBorders>
              <w:bottom w:val="single" w:sz="8" w:color="CCCCCC"/>
            </w:tcBorders>
            <w:shd w:val="clear" w:color="auto" w:fill="CCCCCC"/>
          </w:tcPr>
          <w:p>
            <w:pPr>
              <w:ind w:left="920"/>
              <w:spacing w:after="0"/>
              <w:rPr>
                <w:sz w:val="20"/>
                <w:szCs w:val="20"/>
                <w:color w:val="auto"/>
              </w:rPr>
            </w:pPr>
            <w:r>
              <w:rPr>
                <w:rFonts w:ascii="Times New Roman" w:cs="Times New Roman" w:eastAsia="Times New Roman" w:hAnsi="Times New Roman"/>
                <w:sz w:val="18"/>
                <w:szCs w:val="18"/>
                <w:color w:val="auto"/>
              </w:rPr>
              <w:t>N-1</w:t>
            </w:r>
          </w:p>
        </w:tc>
        <w:tc>
          <w:tcPr>
            <w:tcW w:w="2680" w:type="dxa"/>
            <w:vAlign w:val="bottom"/>
            <w:tcBorders>
              <w:bottom w:val="single" w:sz="8" w:color="CCCCCC"/>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4"/>
              </w:rPr>
              <w:t>  1-for-140</w:t>
            </w:r>
          </w:p>
        </w:tc>
        <w:tc>
          <w:tcPr>
            <w:tcW w:w="1740" w:type="dxa"/>
            <w:vAlign w:val="bottom"/>
            <w:tcBorders>
              <w:bottom w:val="single" w:sz="8" w:color="CCCCCC"/>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rPr>
              <w:t>98,571,429</w:t>
            </w:r>
          </w:p>
        </w:tc>
        <w:tc>
          <w:tcPr>
            <w:tcW w:w="4640" w:type="dxa"/>
            <w:vAlign w:val="bottom"/>
            <w:tcBorders>
              <w:bottom w:val="single" w:sz="8" w:color="CCCCCC"/>
            </w:tcBorders>
            <w:shd w:val="clear" w:color="auto" w:fill="CCCCCC"/>
          </w:tcPr>
          <w:p>
            <w:pPr>
              <w:jc w:val="center"/>
              <w:ind w:left="110"/>
              <w:spacing w:after="0"/>
              <w:rPr>
                <w:sz w:val="20"/>
                <w:szCs w:val="20"/>
                <w:color w:val="auto"/>
              </w:rPr>
            </w:pPr>
            <w:r>
              <w:rPr>
                <w:rFonts w:ascii="Times New Roman" w:cs="Times New Roman" w:eastAsia="Times New Roman" w:hAnsi="Times New Roman"/>
                <w:sz w:val="18"/>
                <w:szCs w:val="18"/>
                <w:color w:val="auto"/>
                <w:w w:val="98"/>
              </w:rPr>
              <w:t>28,571,429</w:t>
            </w:r>
          </w:p>
        </w:tc>
      </w:tr>
      <w:tr>
        <w:trPr>
          <w:trHeight w:val="234"/>
        </w:trPr>
        <w:tc>
          <w:tcPr>
            <w:tcW w:w="1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O-1</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  1-for-150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96,666,667</w:t>
            </w:r>
          </w:p>
        </w:tc>
        <w:tc>
          <w:tcPr>
            <w:tcW w:w="46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26,666,667</w:t>
            </w:r>
          </w:p>
        </w:tc>
      </w:tr>
    </w:tbl>
    <w:p>
      <w:pPr>
        <w:spacing w:after="0" w:line="34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table below shows the reverse stock split ratio and the number of authorized shares of Common Stock (and the total number of authorized shares of capital stock the Company can issue) for each of the 15 alternate amendments, identified as Amendments A-2 through O-2 for the Reverse Stock Split Amendments, if Proposal No. 3 (Authorized Share Increase Proposal) is not approved by our stockholders.</w:t>
      </w:r>
    </w:p>
    <w:tbl>
      <w:tblPr>
        <w:tblLayout w:type="fixed"/>
        <w:tblInd w:w="0" w:type="dxa"/>
        <w:tblCellMar>
          <w:top w:w="0" w:type="dxa"/>
          <w:left w:w="0" w:type="dxa"/>
          <w:bottom w:w="0" w:type="dxa"/>
          <w:right w:w="0" w:type="dxa"/>
        </w:tblCellMar>
      </w:tblPr>
      <w:tr>
        <w:trPr>
          <w:trHeight w:val="199"/>
        </w:trPr>
        <w:tc>
          <w:tcPr>
            <w:tcW w:w="2060" w:type="dxa"/>
            <w:vAlign w:val="bottom"/>
            <w:shd w:val="clear" w:color="auto" w:fill="D9D9D9"/>
          </w:tcPr>
          <w:p>
            <w:pPr>
              <w:ind w:left="360"/>
              <w:spacing w:after="0" w:line="199" w:lineRule="exact"/>
              <w:rPr>
                <w:sz w:val="20"/>
                <w:szCs w:val="20"/>
                <w:color w:val="auto"/>
              </w:rPr>
            </w:pPr>
            <w:r>
              <w:rPr>
                <w:rFonts w:ascii="Times New Roman" w:cs="Times New Roman" w:eastAsia="Times New Roman" w:hAnsi="Times New Roman"/>
                <w:sz w:val="18"/>
                <w:szCs w:val="18"/>
                <w:b w:val="1"/>
                <w:bCs w:val="1"/>
                <w:color w:val="auto"/>
              </w:rPr>
              <w:t>  AMENDMENT</w:t>
            </w:r>
          </w:p>
        </w:tc>
        <w:tc>
          <w:tcPr>
            <w:tcW w:w="2180" w:type="dxa"/>
            <w:vAlign w:val="bottom"/>
            <w:shd w:val="clear" w:color="auto" w:fill="D9D9D9"/>
          </w:tcPr>
          <w:p>
            <w:pPr>
              <w:jc w:val="center"/>
              <w:ind w:left="50"/>
              <w:spacing w:after="0" w:line="199" w:lineRule="exact"/>
              <w:rPr>
                <w:sz w:val="20"/>
                <w:szCs w:val="20"/>
                <w:color w:val="auto"/>
              </w:rPr>
            </w:pPr>
            <w:r>
              <w:rPr>
                <w:rFonts w:ascii="Times New Roman" w:cs="Times New Roman" w:eastAsia="Times New Roman" w:hAnsi="Times New Roman"/>
                <w:sz w:val="18"/>
                <w:szCs w:val="18"/>
                <w:b w:val="1"/>
                <w:bCs w:val="1"/>
                <w:color w:val="auto"/>
                <w:w w:val="99"/>
              </w:rPr>
              <w:t>REVERSE STOCK</w:t>
            </w:r>
          </w:p>
        </w:tc>
        <w:tc>
          <w:tcPr>
            <w:tcW w:w="2380" w:type="dxa"/>
            <w:vAlign w:val="bottom"/>
            <w:shd w:val="clear" w:color="auto" w:fill="D9D9D9"/>
          </w:tcPr>
          <w:p>
            <w:pPr>
              <w:jc w:val="center"/>
              <w:ind w:left="10"/>
              <w:spacing w:after="0" w:line="199" w:lineRule="exact"/>
              <w:rPr>
                <w:sz w:val="20"/>
                <w:szCs w:val="20"/>
                <w:color w:val="auto"/>
              </w:rPr>
            </w:pPr>
            <w:r>
              <w:rPr>
                <w:rFonts w:ascii="Times New Roman" w:cs="Times New Roman" w:eastAsia="Times New Roman" w:hAnsi="Times New Roman"/>
                <w:sz w:val="18"/>
                <w:szCs w:val="18"/>
                <w:b w:val="1"/>
                <w:bCs w:val="1"/>
                <w:color w:val="auto"/>
                <w:w w:val="99"/>
              </w:rPr>
              <w:t>NUMBER OF TOTAL</w:t>
            </w:r>
          </w:p>
        </w:tc>
        <w:tc>
          <w:tcPr>
            <w:tcW w:w="4620" w:type="dxa"/>
            <w:vAlign w:val="bottom"/>
            <w:shd w:val="clear" w:color="auto" w:fill="D9D9D9"/>
          </w:tcPr>
          <w:p>
            <w:pPr>
              <w:jc w:val="center"/>
              <w:ind w:left="10"/>
              <w:spacing w:after="0" w:line="199" w:lineRule="exact"/>
              <w:rPr>
                <w:sz w:val="20"/>
                <w:szCs w:val="20"/>
                <w:color w:val="auto"/>
              </w:rPr>
            </w:pPr>
            <w:r>
              <w:rPr>
                <w:rFonts w:ascii="Times New Roman" w:cs="Times New Roman" w:eastAsia="Times New Roman" w:hAnsi="Times New Roman"/>
                <w:sz w:val="18"/>
                <w:szCs w:val="18"/>
                <w:b w:val="1"/>
                <w:bCs w:val="1"/>
                <w:color w:val="auto"/>
              </w:rPr>
              <w:t>NUMBER OF AUTHORIZED SHARES OF COMMON</w:t>
            </w:r>
          </w:p>
        </w:tc>
      </w:tr>
      <w:tr>
        <w:trPr>
          <w:trHeight w:val="203"/>
        </w:trPr>
        <w:tc>
          <w:tcPr>
            <w:tcW w:w="2060" w:type="dxa"/>
            <w:vAlign w:val="bottom"/>
            <w:shd w:val="clear" w:color="auto" w:fill="D9D9D9"/>
          </w:tcPr>
          <w:p>
            <w:pPr>
              <w:spacing w:after="0"/>
              <w:rPr>
                <w:sz w:val="17"/>
                <w:szCs w:val="17"/>
                <w:color w:val="auto"/>
              </w:rPr>
            </w:pPr>
          </w:p>
        </w:tc>
        <w:tc>
          <w:tcPr>
            <w:tcW w:w="2180" w:type="dxa"/>
            <w:vAlign w:val="bottom"/>
            <w:shd w:val="clear" w:color="auto" w:fill="D9D9D9"/>
          </w:tcPr>
          <w:p>
            <w:pPr>
              <w:jc w:val="center"/>
              <w:ind w:left="30"/>
              <w:spacing w:after="0" w:line="202" w:lineRule="exact"/>
              <w:rPr>
                <w:sz w:val="20"/>
                <w:szCs w:val="20"/>
                <w:color w:val="auto"/>
              </w:rPr>
            </w:pPr>
            <w:r>
              <w:rPr>
                <w:rFonts w:ascii="Times New Roman" w:cs="Times New Roman" w:eastAsia="Times New Roman" w:hAnsi="Times New Roman"/>
                <w:sz w:val="18"/>
                <w:szCs w:val="18"/>
                <w:b w:val="1"/>
                <w:bCs w:val="1"/>
                <w:color w:val="auto"/>
                <w:w w:val="98"/>
              </w:rPr>
              <w:t>SPLIT RATIO</w:t>
            </w:r>
          </w:p>
        </w:tc>
        <w:tc>
          <w:tcPr>
            <w:tcW w:w="2380" w:type="dxa"/>
            <w:vAlign w:val="bottom"/>
            <w:shd w:val="clear" w:color="auto" w:fill="D9D9D9"/>
          </w:tcPr>
          <w:p>
            <w:pPr>
              <w:jc w:val="center"/>
              <w:ind w:left="10"/>
              <w:spacing w:after="0" w:line="202" w:lineRule="exact"/>
              <w:rPr>
                <w:sz w:val="20"/>
                <w:szCs w:val="20"/>
                <w:color w:val="auto"/>
              </w:rPr>
            </w:pPr>
            <w:r>
              <w:rPr>
                <w:rFonts w:ascii="Times New Roman" w:cs="Times New Roman" w:eastAsia="Times New Roman" w:hAnsi="Times New Roman"/>
                <w:sz w:val="18"/>
                <w:szCs w:val="18"/>
                <w:b w:val="1"/>
                <w:bCs w:val="1"/>
                <w:color w:val="auto"/>
              </w:rPr>
              <w:t>AUTHORIZED SHARES</w:t>
            </w:r>
          </w:p>
        </w:tc>
        <w:tc>
          <w:tcPr>
            <w:tcW w:w="4620" w:type="dxa"/>
            <w:vAlign w:val="bottom"/>
            <w:shd w:val="clear" w:color="auto" w:fill="D9D9D9"/>
          </w:tcPr>
          <w:p>
            <w:pPr>
              <w:jc w:val="center"/>
              <w:ind w:lef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STOCK FOLLOWING THE REVERSE STOCK SPLIT</w:t>
            </w:r>
          </w:p>
        </w:tc>
      </w:tr>
      <w:tr>
        <w:trPr>
          <w:trHeight w:val="189"/>
        </w:trPr>
        <w:tc>
          <w:tcPr>
            <w:tcW w:w="2060" w:type="dxa"/>
            <w:vAlign w:val="bottom"/>
            <w:shd w:val="clear" w:color="auto" w:fill="D9D9D9"/>
          </w:tcPr>
          <w:p>
            <w:pPr>
              <w:spacing w:after="0"/>
              <w:rPr>
                <w:sz w:val="16"/>
                <w:szCs w:val="16"/>
                <w:color w:val="auto"/>
              </w:rPr>
            </w:pPr>
          </w:p>
        </w:tc>
        <w:tc>
          <w:tcPr>
            <w:tcW w:w="2180" w:type="dxa"/>
            <w:vAlign w:val="bottom"/>
            <w:shd w:val="clear" w:color="auto" w:fill="D9D9D9"/>
          </w:tcPr>
          <w:p>
            <w:pPr>
              <w:spacing w:after="0"/>
              <w:rPr>
                <w:sz w:val="16"/>
                <w:szCs w:val="16"/>
                <w:color w:val="auto"/>
              </w:rPr>
            </w:pPr>
          </w:p>
        </w:tc>
        <w:tc>
          <w:tcPr>
            <w:tcW w:w="2380" w:type="dxa"/>
            <w:vAlign w:val="bottom"/>
            <w:shd w:val="clear" w:color="auto" w:fill="D9D9D9"/>
          </w:tcPr>
          <w:p>
            <w:pPr>
              <w:spacing w:after="0"/>
              <w:rPr>
                <w:sz w:val="16"/>
                <w:szCs w:val="16"/>
                <w:color w:val="auto"/>
              </w:rPr>
            </w:pPr>
          </w:p>
        </w:tc>
        <w:tc>
          <w:tcPr>
            <w:tcW w:w="4620" w:type="dxa"/>
            <w:vAlign w:val="bottom"/>
            <w:shd w:val="clear" w:color="auto" w:fill="D9D9D9"/>
          </w:tcPr>
          <w:p>
            <w:pPr>
              <w:jc w:val="center"/>
              <w:ind w:left="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(ASSUMING STOCKHOLDERS DID NOT APPROVE</w:t>
            </w:r>
          </w:p>
        </w:tc>
      </w:tr>
      <w:tr>
        <w:trPr>
          <w:trHeight w:val="203"/>
        </w:trPr>
        <w:tc>
          <w:tcPr>
            <w:tcW w:w="2060" w:type="dxa"/>
            <w:vAlign w:val="bottom"/>
            <w:shd w:val="clear" w:color="auto" w:fill="D9D9D9"/>
          </w:tcPr>
          <w:p>
            <w:pPr>
              <w:spacing w:after="0"/>
              <w:rPr>
                <w:sz w:val="17"/>
                <w:szCs w:val="17"/>
                <w:color w:val="auto"/>
              </w:rPr>
            </w:pPr>
          </w:p>
        </w:tc>
        <w:tc>
          <w:tcPr>
            <w:tcW w:w="2180" w:type="dxa"/>
            <w:vAlign w:val="bottom"/>
            <w:shd w:val="clear" w:color="auto" w:fill="D9D9D9"/>
          </w:tcPr>
          <w:p>
            <w:pPr>
              <w:spacing w:after="0"/>
              <w:rPr>
                <w:sz w:val="17"/>
                <w:szCs w:val="17"/>
                <w:color w:val="auto"/>
              </w:rPr>
            </w:pPr>
          </w:p>
        </w:tc>
        <w:tc>
          <w:tcPr>
            <w:tcW w:w="2380" w:type="dxa"/>
            <w:vAlign w:val="bottom"/>
            <w:shd w:val="clear" w:color="auto" w:fill="D9D9D9"/>
          </w:tcPr>
          <w:p>
            <w:pPr>
              <w:spacing w:after="0"/>
              <w:rPr>
                <w:sz w:val="17"/>
                <w:szCs w:val="17"/>
                <w:color w:val="auto"/>
              </w:rPr>
            </w:pPr>
          </w:p>
        </w:tc>
        <w:tc>
          <w:tcPr>
            <w:tcW w:w="4620" w:type="dxa"/>
            <w:vAlign w:val="bottom"/>
            <w:shd w:val="clear" w:color="auto" w:fill="D9D9D9"/>
          </w:tcPr>
          <w:p>
            <w:pPr>
              <w:jc w:val="center"/>
              <w:ind w:left="30"/>
              <w:spacing w:after="0" w:line="202" w:lineRule="exact"/>
              <w:rPr>
                <w:sz w:val="20"/>
                <w:szCs w:val="20"/>
                <w:color w:val="auto"/>
              </w:rPr>
            </w:pPr>
            <w:r>
              <w:rPr>
                <w:rFonts w:ascii="Times New Roman" w:cs="Times New Roman" w:eastAsia="Times New Roman" w:hAnsi="Times New Roman"/>
                <w:sz w:val="18"/>
                <w:szCs w:val="18"/>
                <w:b w:val="1"/>
                <w:bCs w:val="1"/>
                <w:color w:val="auto"/>
              </w:rPr>
              <w:t>PROPOSAL NO. 3 (AUTHORIZED SHARE INCREASE</w:t>
            </w:r>
          </w:p>
        </w:tc>
      </w:tr>
      <w:tr>
        <w:trPr>
          <w:trHeight w:val="259"/>
        </w:trPr>
        <w:tc>
          <w:tcPr>
            <w:tcW w:w="2060" w:type="dxa"/>
            <w:vAlign w:val="bottom"/>
            <w:tcBorders>
              <w:bottom w:val="single" w:sz="8" w:color="D9D9D9"/>
            </w:tcBorders>
            <w:shd w:val="clear" w:color="auto" w:fill="D9D9D9"/>
          </w:tcPr>
          <w:p>
            <w:pPr>
              <w:spacing w:after="0"/>
              <w:rPr>
                <w:sz w:val="22"/>
                <w:szCs w:val="22"/>
                <w:color w:val="auto"/>
              </w:rPr>
            </w:pPr>
          </w:p>
        </w:tc>
        <w:tc>
          <w:tcPr>
            <w:tcW w:w="2180" w:type="dxa"/>
            <w:vAlign w:val="bottom"/>
            <w:tcBorders>
              <w:bottom w:val="single" w:sz="8" w:color="D9D9D9"/>
            </w:tcBorders>
            <w:shd w:val="clear" w:color="auto" w:fill="D9D9D9"/>
          </w:tcPr>
          <w:p>
            <w:pPr>
              <w:spacing w:after="0"/>
              <w:rPr>
                <w:sz w:val="22"/>
                <w:szCs w:val="22"/>
                <w:color w:val="auto"/>
              </w:rPr>
            </w:pPr>
          </w:p>
        </w:tc>
        <w:tc>
          <w:tcPr>
            <w:tcW w:w="2380" w:type="dxa"/>
            <w:vAlign w:val="bottom"/>
            <w:tcBorders>
              <w:bottom w:val="single" w:sz="8" w:color="D9D9D9"/>
            </w:tcBorders>
            <w:shd w:val="clear" w:color="auto" w:fill="D9D9D9"/>
          </w:tcPr>
          <w:p>
            <w:pPr>
              <w:spacing w:after="0"/>
              <w:rPr>
                <w:sz w:val="22"/>
                <w:szCs w:val="22"/>
                <w:color w:val="auto"/>
              </w:rPr>
            </w:pPr>
          </w:p>
        </w:tc>
        <w:tc>
          <w:tcPr>
            <w:tcW w:w="4620" w:type="dxa"/>
            <w:vAlign w:val="bottom"/>
            <w:tcBorders>
              <w:bottom w:val="single" w:sz="8" w:color="D9D9D9"/>
            </w:tcBorders>
            <w:shd w:val="clear" w:color="auto" w:fill="D9D9D9"/>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PROPOSAL))</w:t>
            </w:r>
          </w:p>
        </w:tc>
      </w:tr>
      <w:tr>
        <w:trPr>
          <w:trHeight w:val="234"/>
        </w:trPr>
        <w:tc>
          <w:tcPr>
            <w:tcW w:w="2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A-2</w:t>
            </w:r>
          </w:p>
        </w:tc>
        <w:tc>
          <w:tcPr>
            <w:tcW w:w="21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1-for-10</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140,000,000</w:t>
            </w:r>
          </w:p>
        </w:tc>
        <w:tc>
          <w:tcPr>
            <w:tcW w:w="46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70,000,000</w:t>
            </w:r>
          </w:p>
        </w:tc>
      </w:tr>
      <w:tr>
        <w:trPr>
          <w:trHeight w:val="22"/>
        </w:trPr>
        <w:tc>
          <w:tcPr>
            <w:tcW w:w="20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6"/>
        </w:trPr>
        <w:tc>
          <w:tcPr>
            <w:tcW w:w="2060" w:type="dxa"/>
            <w:vAlign w:val="bottom"/>
            <w:tcBorders>
              <w:bottom w:val="single" w:sz="8" w:color="CCCCCC"/>
            </w:tcBorders>
            <w:shd w:val="clear" w:color="auto" w:fill="CCCCCC"/>
          </w:tcPr>
          <w:p>
            <w:pPr>
              <w:ind w:left="920"/>
              <w:spacing w:after="0"/>
              <w:rPr>
                <w:sz w:val="20"/>
                <w:szCs w:val="20"/>
                <w:color w:val="auto"/>
              </w:rPr>
            </w:pPr>
            <w:r>
              <w:rPr>
                <w:rFonts w:ascii="Times New Roman" w:cs="Times New Roman" w:eastAsia="Times New Roman" w:hAnsi="Times New Roman"/>
                <w:sz w:val="18"/>
                <w:szCs w:val="18"/>
                <w:color w:val="auto"/>
              </w:rPr>
              <w:t>B-2</w:t>
            </w:r>
          </w:p>
        </w:tc>
        <w:tc>
          <w:tcPr>
            <w:tcW w:w="2180" w:type="dxa"/>
            <w:vAlign w:val="bottom"/>
            <w:tcBorders>
              <w:bottom w:val="single" w:sz="8" w:color="CCCCCC"/>
            </w:tcBorders>
            <w:shd w:val="clear" w:color="auto" w:fill="CCCCCC"/>
          </w:tcPr>
          <w:p>
            <w:pPr>
              <w:jc w:val="center"/>
              <w:ind w:left="50"/>
              <w:spacing w:after="0"/>
              <w:rPr>
                <w:sz w:val="20"/>
                <w:szCs w:val="20"/>
                <w:color w:val="auto"/>
              </w:rPr>
            </w:pPr>
            <w:r>
              <w:rPr>
                <w:rFonts w:ascii="Times New Roman" w:cs="Times New Roman" w:eastAsia="Times New Roman" w:hAnsi="Times New Roman"/>
                <w:sz w:val="18"/>
                <w:szCs w:val="18"/>
                <w:color w:val="auto"/>
                <w:w w:val="99"/>
              </w:rPr>
              <w:t>1-for-20</w:t>
            </w:r>
          </w:p>
        </w:tc>
        <w:tc>
          <w:tcPr>
            <w:tcW w:w="2380" w:type="dxa"/>
            <w:vAlign w:val="bottom"/>
            <w:tcBorders>
              <w:bottom w:val="single" w:sz="8" w:color="CCCCCC"/>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color w:val="auto"/>
                <w:w w:val="99"/>
              </w:rPr>
              <w:t>105,000,000</w:t>
            </w:r>
          </w:p>
        </w:tc>
        <w:tc>
          <w:tcPr>
            <w:tcW w:w="4620" w:type="dxa"/>
            <w:vAlign w:val="bottom"/>
            <w:tcBorders>
              <w:bottom w:val="single" w:sz="8" w:color="CCCCCC"/>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color w:val="auto"/>
              </w:rPr>
              <w:t>35,000,000</w:t>
            </w:r>
          </w:p>
        </w:tc>
      </w:tr>
      <w:tr>
        <w:trPr>
          <w:trHeight w:val="234"/>
        </w:trPr>
        <w:tc>
          <w:tcPr>
            <w:tcW w:w="2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C-2</w:t>
            </w:r>
          </w:p>
        </w:tc>
        <w:tc>
          <w:tcPr>
            <w:tcW w:w="21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1-for-30</w:t>
            </w:r>
          </w:p>
        </w:tc>
        <w:tc>
          <w:tcPr>
            <w:tcW w:w="23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93,333,334</w:t>
            </w:r>
          </w:p>
        </w:tc>
        <w:tc>
          <w:tcPr>
            <w:tcW w:w="46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23,333,334</w:t>
            </w:r>
          </w:p>
        </w:tc>
      </w:tr>
      <w:tr>
        <w:trPr>
          <w:trHeight w:val="22"/>
        </w:trPr>
        <w:tc>
          <w:tcPr>
            <w:tcW w:w="20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6"/>
        </w:trPr>
        <w:tc>
          <w:tcPr>
            <w:tcW w:w="2060" w:type="dxa"/>
            <w:vAlign w:val="bottom"/>
            <w:tcBorders>
              <w:bottom w:val="single" w:sz="8" w:color="CCCCCC"/>
            </w:tcBorders>
            <w:shd w:val="clear" w:color="auto" w:fill="CCCCCC"/>
          </w:tcPr>
          <w:p>
            <w:pPr>
              <w:ind w:left="920"/>
              <w:spacing w:after="0"/>
              <w:rPr>
                <w:sz w:val="20"/>
                <w:szCs w:val="20"/>
                <w:color w:val="auto"/>
              </w:rPr>
            </w:pPr>
            <w:r>
              <w:rPr>
                <w:rFonts w:ascii="Times New Roman" w:cs="Times New Roman" w:eastAsia="Times New Roman" w:hAnsi="Times New Roman"/>
                <w:sz w:val="18"/>
                <w:szCs w:val="18"/>
                <w:color w:val="auto"/>
              </w:rPr>
              <w:t>D-2</w:t>
            </w:r>
          </w:p>
        </w:tc>
        <w:tc>
          <w:tcPr>
            <w:tcW w:w="2180" w:type="dxa"/>
            <w:vAlign w:val="bottom"/>
            <w:tcBorders>
              <w:bottom w:val="single" w:sz="8" w:color="CCCCCC"/>
            </w:tcBorders>
            <w:shd w:val="clear" w:color="auto" w:fill="CCCCCC"/>
          </w:tcPr>
          <w:p>
            <w:pPr>
              <w:jc w:val="center"/>
              <w:ind w:left="50"/>
              <w:spacing w:after="0"/>
              <w:rPr>
                <w:sz w:val="20"/>
                <w:szCs w:val="20"/>
                <w:color w:val="auto"/>
              </w:rPr>
            </w:pPr>
            <w:r>
              <w:rPr>
                <w:rFonts w:ascii="Times New Roman" w:cs="Times New Roman" w:eastAsia="Times New Roman" w:hAnsi="Times New Roman"/>
                <w:sz w:val="18"/>
                <w:szCs w:val="18"/>
                <w:color w:val="auto"/>
                <w:w w:val="99"/>
              </w:rPr>
              <w:t>1-for-40</w:t>
            </w:r>
          </w:p>
        </w:tc>
        <w:tc>
          <w:tcPr>
            <w:tcW w:w="2380" w:type="dxa"/>
            <w:vAlign w:val="bottom"/>
            <w:tcBorders>
              <w:bottom w:val="single" w:sz="8" w:color="CCCCCC"/>
            </w:tcBorders>
            <w:shd w:val="clear" w:color="auto" w:fill="CCCCCC"/>
          </w:tcPr>
          <w:p>
            <w:pPr>
              <w:jc w:val="center"/>
              <w:ind w:left="10"/>
              <w:spacing w:after="0"/>
              <w:rPr>
                <w:sz w:val="20"/>
                <w:szCs w:val="20"/>
                <w:color w:val="auto"/>
              </w:rPr>
            </w:pPr>
            <w:r>
              <w:rPr>
                <w:rFonts w:ascii="Times New Roman" w:cs="Times New Roman" w:eastAsia="Times New Roman" w:hAnsi="Times New Roman"/>
                <w:sz w:val="18"/>
                <w:szCs w:val="18"/>
                <w:color w:val="auto"/>
                <w:w w:val="98"/>
              </w:rPr>
              <w:t>87,500,000</w:t>
            </w:r>
          </w:p>
        </w:tc>
        <w:tc>
          <w:tcPr>
            <w:tcW w:w="4620" w:type="dxa"/>
            <w:vAlign w:val="bottom"/>
            <w:tcBorders>
              <w:bottom w:val="single" w:sz="8" w:color="CCCCCC"/>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color w:val="auto"/>
              </w:rPr>
              <w:t>17,500,000</w:t>
            </w:r>
          </w:p>
        </w:tc>
      </w:tr>
      <w:tr>
        <w:trPr>
          <w:trHeight w:val="234"/>
        </w:trPr>
        <w:tc>
          <w:tcPr>
            <w:tcW w:w="2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E-2</w:t>
            </w:r>
          </w:p>
        </w:tc>
        <w:tc>
          <w:tcPr>
            <w:tcW w:w="21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1-for-50</w:t>
            </w:r>
          </w:p>
        </w:tc>
        <w:tc>
          <w:tcPr>
            <w:tcW w:w="23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84,000,000</w:t>
            </w:r>
          </w:p>
        </w:tc>
        <w:tc>
          <w:tcPr>
            <w:tcW w:w="46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14,000,000</w:t>
            </w:r>
          </w:p>
        </w:tc>
      </w:tr>
      <w:tr>
        <w:trPr>
          <w:trHeight w:val="22"/>
        </w:trPr>
        <w:tc>
          <w:tcPr>
            <w:tcW w:w="20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6"/>
        </w:trPr>
        <w:tc>
          <w:tcPr>
            <w:tcW w:w="2060" w:type="dxa"/>
            <w:vAlign w:val="bottom"/>
            <w:tcBorders>
              <w:bottom w:val="single" w:sz="8" w:color="CCCCCC"/>
            </w:tcBorders>
            <w:shd w:val="clear" w:color="auto" w:fill="CCCCCC"/>
          </w:tcPr>
          <w:p>
            <w:pPr>
              <w:ind w:left="940"/>
              <w:spacing w:after="0"/>
              <w:rPr>
                <w:sz w:val="20"/>
                <w:szCs w:val="20"/>
                <w:color w:val="auto"/>
              </w:rPr>
            </w:pPr>
            <w:r>
              <w:rPr>
                <w:rFonts w:ascii="Times New Roman" w:cs="Times New Roman" w:eastAsia="Times New Roman" w:hAnsi="Times New Roman"/>
                <w:sz w:val="18"/>
                <w:szCs w:val="18"/>
                <w:color w:val="auto"/>
              </w:rPr>
              <w:t>F-2</w:t>
            </w:r>
          </w:p>
        </w:tc>
        <w:tc>
          <w:tcPr>
            <w:tcW w:w="2180" w:type="dxa"/>
            <w:vAlign w:val="bottom"/>
            <w:tcBorders>
              <w:bottom w:val="single" w:sz="8" w:color="CCCCCC"/>
            </w:tcBorders>
            <w:shd w:val="clear" w:color="auto" w:fill="CCCCCC"/>
          </w:tcPr>
          <w:p>
            <w:pPr>
              <w:jc w:val="center"/>
              <w:ind w:left="50"/>
              <w:spacing w:after="0"/>
              <w:rPr>
                <w:sz w:val="20"/>
                <w:szCs w:val="20"/>
                <w:color w:val="auto"/>
              </w:rPr>
            </w:pPr>
            <w:r>
              <w:rPr>
                <w:rFonts w:ascii="Times New Roman" w:cs="Times New Roman" w:eastAsia="Times New Roman" w:hAnsi="Times New Roman"/>
                <w:sz w:val="18"/>
                <w:szCs w:val="18"/>
                <w:color w:val="auto"/>
                <w:w w:val="99"/>
              </w:rPr>
              <w:t>1-for-60</w:t>
            </w:r>
          </w:p>
        </w:tc>
        <w:tc>
          <w:tcPr>
            <w:tcW w:w="2380" w:type="dxa"/>
            <w:vAlign w:val="bottom"/>
            <w:tcBorders>
              <w:bottom w:val="single" w:sz="8" w:color="CCCCCC"/>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color w:val="auto"/>
                <w:w w:val="95"/>
              </w:rPr>
              <w:t>  81,666,667</w:t>
            </w:r>
          </w:p>
        </w:tc>
        <w:tc>
          <w:tcPr>
            <w:tcW w:w="4620" w:type="dxa"/>
            <w:vAlign w:val="bottom"/>
            <w:tcBorders>
              <w:bottom w:val="single" w:sz="8" w:color="CCCCCC"/>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color w:val="auto"/>
                <w:w w:val="95"/>
              </w:rPr>
              <w:t>  11,666,667</w:t>
            </w:r>
          </w:p>
        </w:tc>
      </w:tr>
      <w:tr>
        <w:trPr>
          <w:trHeight w:val="234"/>
        </w:trPr>
        <w:tc>
          <w:tcPr>
            <w:tcW w:w="2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G-2</w:t>
            </w:r>
          </w:p>
        </w:tc>
        <w:tc>
          <w:tcPr>
            <w:tcW w:w="21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1-for-70</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  80,000,000</w:t>
            </w:r>
          </w:p>
        </w:tc>
        <w:tc>
          <w:tcPr>
            <w:tcW w:w="46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  10,000,000</w:t>
            </w:r>
          </w:p>
        </w:tc>
      </w:tr>
      <w:tr>
        <w:trPr>
          <w:trHeight w:val="22"/>
        </w:trPr>
        <w:tc>
          <w:tcPr>
            <w:tcW w:w="20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6"/>
        </w:trPr>
        <w:tc>
          <w:tcPr>
            <w:tcW w:w="2060" w:type="dxa"/>
            <w:vAlign w:val="bottom"/>
            <w:tcBorders>
              <w:bottom w:val="single" w:sz="8" w:color="CCCCCC"/>
            </w:tcBorders>
            <w:shd w:val="clear" w:color="auto" w:fill="CCCCCC"/>
          </w:tcPr>
          <w:p>
            <w:pPr>
              <w:ind w:left="920"/>
              <w:spacing w:after="0"/>
              <w:rPr>
                <w:sz w:val="20"/>
                <w:szCs w:val="20"/>
                <w:color w:val="auto"/>
              </w:rPr>
            </w:pPr>
            <w:r>
              <w:rPr>
                <w:rFonts w:ascii="Times New Roman" w:cs="Times New Roman" w:eastAsia="Times New Roman" w:hAnsi="Times New Roman"/>
                <w:sz w:val="18"/>
                <w:szCs w:val="18"/>
                <w:color w:val="auto"/>
              </w:rPr>
              <w:t>H-2</w:t>
            </w:r>
          </w:p>
        </w:tc>
        <w:tc>
          <w:tcPr>
            <w:tcW w:w="2180" w:type="dxa"/>
            <w:vAlign w:val="bottom"/>
            <w:tcBorders>
              <w:bottom w:val="single" w:sz="8" w:color="CCCCCC"/>
            </w:tcBorders>
            <w:shd w:val="clear" w:color="auto" w:fill="CCCCCC"/>
          </w:tcPr>
          <w:p>
            <w:pPr>
              <w:jc w:val="center"/>
              <w:ind w:left="50"/>
              <w:spacing w:after="0"/>
              <w:rPr>
                <w:sz w:val="20"/>
                <w:szCs w:val="20"/>
                <w:color w:val="auto"/>
              </w:rPr>
            </w:pPr>
            <w:r>
              <w:rPr>
                <w:rFonts w:ascii="Times New Roman" w:cs="Times New Roman" w:eastAsia="Times New Roman" w:hAnsi="Times New Roman"/>
                <w:sz w:val="18"/>
                <w:szCs w:val="18"/>
                <w:color w:val="auto"/>
                <w:w w:val="99"/>
              </w:rPr>
              <w:t>1-for-80</w:t>
            </w:r>
          </w:p>
        </w:tc>
        <w:tc>
          <w:tcPr>
            <w:tcW w:w="2380" w:type="dxa"/>
            <w:vAlign w:val="bottom"/>
            <w:tcBorders>
              <w:bottom w:val="single" w:sz="8" w:color="CCCCCC"/>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color w:val="auto"/>
                <w:w w:val="95"/>
              </w:rPr>
              <w:t>  78,750,000</w:t>
            </w:r>
          </w:p>
        </w:tc>
        <w:tc>
          <w:tcPr>
            <w:tcW w:w="4620" w:type="dxa"/>
            <w:vAlign w:val="bottom"/>
            <w:tcBorders>
              <w:bottom w:val="single" w:sz="8" w:color="CCCCCC"/>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color w:val="auto"/>
                <w:w w:val="95"/>
              </w:rPr>
              <w:t>  8,750,000</w:t>
            </w:r>
          </w:p>
        </w:tc>
      </w:tr>
      <w:tr>
        <w:trPr>
          <w:trHeight w:val="234"/>
        </w:trPr>
        <w:tc>
          <w:tcPr>
            <w:tcW w:w="2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I-2 </w:t>
            </w:r>
          </w:p>
        </w:tc>
        <w:tc>
          <w:tcPr>
            <w:tcW w:w="21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1-for-90</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  77,777,778</w:t>
            </w:r>
          </w:p>
        </w:tc>
        <w:tc>
          <w:tcPr>
            <w:tcW w:w="46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  7,777,778</w:t>
            </w:r>
          </w:p>
        </w:tc>
      </w:tr>
      <w:tr>
        <w:trPr>
          <w:trHeight w:val="22"/>
        </w:trPr>
        <w:tc>
          <w:tcPr>
            <w:tcW w:w="20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7"/>
        </w:trPr>
        <w:tc>
          <w:tcPr>
            <w:tcW w:w="2060" w:type="dxa"/>
            <w:vAlign w:val="bottom"/>
            <w:tcBorders>
              <w:bottom w:val="single" w:sz="8" w:color="CCCCCC"/>
            </w:tcBorders>
            <w:shd w:val="clear" w:color="auto" w:fill="CCCCCC"/>
          </w:tcPr>
          <w:p>
            <w:pPr>
              <w:ind w:left="940"/>
              <w:spacing w:after="0"/>
              <w:rPr>
                <w:sz w:val="20"/>
                <w:szCs w:val="20"/>
                <w:color w:val="auto"/>
              </w:rPr>
            </w:pPr>
            <w:r>
              <w:rPr>
                <w:rFonts w:ascii="Times New Roman" w:cs="Times New Roman" w:eastAsia="Times New Roman" w:hAnsi="Times New Roman"/>
                <w:sz w:val="18"/>
                <w:szCs w:val="18"/>
                <w:color w:val="auto"/>
              </w:rPr>
              <w:t>J-2 </w:t>
            </w:r>
          </w:p>
        </w:tc>
        <w:tc>
          <w:tcPr>
            <w:tcW w:w="2180" w:type="dxa"/>
            <w:vAlign w:val="bottom"/>
            <w:tcBorders>
              <w:bottom w:val="single" w:sz="8" w:color="CCCCCC"/>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color w:val="auto"/>
                <w:w w:val="94"/>
              </w:rPr>
              <w:t>  1-for-100</w:t>
            </w:r>
          </w:p>
        </w:tc>
        <w:tc>
          <w:tcPr>
            <w:tcW w:w="2380" w:type="dxa"/>
            <w:vAlign w:val="bottom"/>
            <w:tcBorders>
              <w:bottom w:val="single" w:sz="8" w:color="CCCCCC"/>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color w:val="auto"/>
                <w:w w:val="95"/>
              </w:rPr>
              <w:t>  77,000,000</w:t>
            </w:r>
          </w:p>
        </w:tc>
        <w:tc>
          <w:tcPr>
            <w:tcW w:w="4620" w:type="dxa"/>
            <w:vAlign w:val="bottom"/>
            <w:tcBorders>
              <w:bottom w:val="single" w:sz="8" w:color="CCCCCC"/>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color w:val="auto"/>
                <w:w w:val="95"/>
              </w:rPr>
              <w:t>  7,000,000</w:t>
            </w:r>
          </w:p>
        </w:tc>
      </w:tr>
      <w:tr>
        <w:trPr>
          <w:trHeight w:val="234"/>
        </w:trPr>
        <w:tc>
          <w:tcPr>
            <w:tcW w:w="2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K-2</w:t>
            </w:r>
          </w:p>
        </w:tc>
        <w:tc>
          <w:tcPr>
            <w:tcW w:w="21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4"/>
              </w:rPr>
              <w:t>  1-for-110</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  76,363,637</w:t>
            </w:r>
          </w:p>
        </w:tc>
        <w:tc>
          <w:tcPr>
            <w:tcW w:w="46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  6,363,637</w:t>
            </w:r>
          </w:p>
        </w:tc>
      </w:tr>
      <w:tr>
        <w:trPr>
          <w:trHeight w:val="22"/>
        </w:trPr>
        <w:tc>
          <w:tcPr>
            <w:tcW w:w="20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7"/>
        </w:trPr>
        <w:tc>
          <w:tcPr>
            <w:tcW w:w="2060" w:type="dxa"/>
            <w:vAlign w:val="bottom"/>
            <w:tcBorders>
              <w:bottom w:val="single" w:sz="8" w:color="CCCCCC"/>
            </w:tcBorders>
            <w:shd w:val="clear" w:color="auto" w:fill="CCCCCC"/>
          </w:tcPr>
          <w:p>
            <w:pPr>
              <w:ind w:left="920"/>
              <w:spacing w:after="0"/>
              <w:rPr>
                <w:sz w:val="20"/>
                <w:szCs w:val="20"/>
                <w:color w:val="auto"/>
              </w:rPr>
            </w:pPr>
            <w:r>
              <w:rPr>
                <w:rFonts w:ascii="Times New Roman" w:cs="Times New Roman" w:eastAsia="Times New Roman" w:hAnsi="Times New Roman"/>
                <w:sz w:val="18"/>
                <w:szCs w:val="18"/>
                <w:color w:val="auto"/>
              </w:rPr>
              <w:t>L-2</w:t>
            </w:r>
          </w:p>
        </w:tc>
        <w:tc>
          <w:tcPr>
            <w:tcW w:w="2180" w:type="dxa"/>
            <w:vAlign w:val="bottom"/>
            <w:tcBorders>
              <w:bottom w:val="single" w:sz="8" w:color="CCCCCC"/>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color w:val="auto"/>
                <w:w w:val="94"/>
              </w:rPr>
              <w:t>  1-for-120</w:t>
            </w:r>
          </w:p>
        </w:tc>
        <w:tc>
          <w:tcPr>
            <w:tcW w:w="2380" w:type="dxa"/>
            <w:vAlign w:val="bottom"/>
            <w:tcBorders>
              <w:bottom w:val="single" w:sz="8" w:color="CCCCCC"/>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color w:val="auto"/>
                <w:w w:val="95"/>
              </w:rPr>
              <w:t>  75,833,334</w:t>
            </w:r>
          </w:p>
        </w:tc>
        <w:tc>
          <w:tcPr>
            <w:tcW w:w="4620" w:type="dxa"/>
            <w:vAlign w:val="bottom"/>
            <w:tcBorders>
              <w:bottom w:val="single" w:sz="8" w:color="CCCCCC"/>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color w:val="auto"/>
                <w:w w:val="95"/>
              </w:rPr>
              <w:t>  5,833,334</w:t>
            </w:r>
          </w:p>
        </w:tc>
      </w:tr>
      <w:tr>
        <w:trPr>
          <w:trHeight w:val="234"/>
        </w:trPr>
        <w:tc>
          <w:tcPr>
            <w:tcW w:w="20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M-2</w:t>
            </w:r>
          </w:p>
        </w:tc>
        <w:tc>
          <w:tcPr>
            <w:tcW w:w="21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4"/>
              </w:rPr>
              <w:t>  1-for-130</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  75,384,616</w:t>
            </w:r>
          </w:p>
        </w:tc>
        <w:tc>
          <w:tcPr>
            <w:tcW w:w="46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  5,384,616</w:t>
            </w:r>
          </w:p>
        </w:tc>
      </w:tr>
      <w:tr>
        <w:trPr>
          <w:trHeight w:val="22"/>
        </w:trPr>
        <w:tc>
          <w:tcPr>
            <w:tcW w:w="20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7"/>
        </w:trPr>
        <w:tc>
          <w:tcPr>
            <w:tcW w:w="2060" w:type="dxa"/>
            <w:vAlign w:val="bottom"/>
            <w:tcBorders>
              <w:bottom w:val="single" w:sz="8" w:color="CCCCCC"/>
            </w:tcBorders>
            <w:shd w:val="clear" w:color="auto" w:fill="CCCCCC"/>
          </w:tcPr>
          <w:p>
            <w:pPr>
              <w:ind w:left="920"/>
              <w:spacing w:after="0"/>
              <w:rPr>
                <w:sz w:val="20"/>
                <w:szCs w:val="20"/>
                <w:color w:val="auto"/>
              </w:rPr>
            </w:pPr>
            <w:r>
              <w:rPr>
                <w:rFonts w:ascii="Times New Roman" w:cs="Times New Roman" w:eastAsia="Times New Roman" w:hAnsi="Times New Roman"/>
                <w:sz w:val="18"/>
                <w:szCs w:val="18"/>
                <w:color w:val="auto"/>
              </w:rPr>
              <w:t>N-2</w:t>
            </w:r>
          </w:p>
        </w:tc>
        <w:tc>
          <w:tcPr>
            <w:tcW w:w="2180" w:type="dxa"/>
            <w:vAlign w:val="bottom"/>
            <w:tcBorders>
              <w:bottom w:val="single" w:sz="8" w:color="CCCCCC"/>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color w:val="auto"/>
                <w:w w:val="94"/>
              </w:rPr>
              <w:t>  1-for-140</w:t>
            </w:r>
          </w:p>
        </w:tc>
        <w:tc>
          <w:tcPr>
            <w:tcW w:w="2380" w:type="dxa"/>
            <w:vAlign w:val="bottom"/>
            <w:tcBorders>
              <w:bottom w:val="single" w:sz="8" w:color="CCCCCC"/>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color w:val="auto"/>
                <w:w w:val="95"/>
              </w:rPr>
              <w:t>  75,000,000</w:t>
            </w:r>
          </w:p>
        </w:tc>
        <w:tc>
          <w:tcPr>
            <w:tcW w:w="4620" w:type="dxa"/>
            <w:vAlign w:val="bottom"/>
            <w:tcBorders>
              <w:bottom w:val="single" w:sz="8" w:color="CCCCCC"/>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color w:val="auto"/>
                <w:w w:val="95"/>
              </w:rPr>
              <w:t>  5,000,000</w:t>
            </w:r>
          </w:p>
        </w:tc>
      </w:tr>
      <w:tr>
        <w:trPr>
          <w:trHeight w:val="234"/>
        </w:trPr>
        <w:tc>
          <w:tcPr>
            <w:tcW w:w="2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O-2</w:t>
            </w:r>
          </w:p>
        </w:tc>
        <w:tc>
          <w:tcPr>
            <w:tcW w:w="21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4"/>
              </w:rPr>
              <w:t>  1-for-150</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  74,666,667</w:t>
            </w:r>
          </w:p>
        </w:tc>
        <w:tc>
          <w:tcPr>
            <w:tcW w:w="46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  4,666,667</w:t>
            </w:r>
          </w:p>
        </w:tc>
      </w:tr>
    </w:tbl>
    <w:p>
      <w:pPr>
        <w:spacing w:after="0" w:line="32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Upon receiving stockholder approval of the Reverse Stock Split Amendments, the Board will have the authority, but not the obligation, in its sole discretion, to elect whether to effect a reverse stock split and, if so, to determine the reverse stock split ratio from among the approved proposed Reverse Stock Split Amendments described in the tables above. If the Board determines to effect a reverse stock split, the Company will effect the reverse stock split by filing a certificate of amendment for</w:t>
      </w:r>
    </w:p>
    <w:p>
      <w:pPr>
        <w:sectPr>
          <w:pgSz w:w="11900" w:h="16838" w:orient="portrait"/>
          <w:cols w:equalWidth="0" w:num="1">
            <w:col w:w="11240"/>
          </w:cols>
          <w:pgMar w:left="320" w:top="963"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 xml:space="preserve">the selected Reverse Stock Split Amendment in the form attached to this proxy statement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as applicable.</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 xml:space="preserve">For convenience of our stockholders, each of the 15 amendments assuming that Proposal No. 3 (Authorized Share Increase Proposal) has been approved by our stockholders and becomes effective (as described in A-1 through O-1 above) has been set forth in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and each of the 15 amendments assuming that Proposal No. 3 (Authorized Share Increase Proposal) has not been approved by our stockholders (as described in A-2 through O-2 above) has been set forth in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in each case, indicating in brackets the reverse stock split ratio and the corresponding total number of authorized shares and number of authorized shares of Common Stock that the Company would be authorized to issue for each of the alternate Reverse Stock Split Amendments. If the Board elects to effect a reverse stock split, only one Reverse Stock Split Amendment providing for the reverse stock split ratio will be chosen from among the approved proposed Reverse Stock Split Amendments, and a certificate of amendment for the selected Reverse Stock Split Amendment will be filed with the Secretary of State of the State of Delaware and become effective. In such case, the Board will abandon all other Reverse Stock Split Amendments.</w:t>
      </w:r>
    </w:p>
    <w:p>
      <w:pPr>
        <w:spacing w:after="0" w:line="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We believe it is beneficial to provide the Board with the authority and flexibility to effect a reverse stock split, if and when needed, in the event the Board determines that a reverse stock split is in the best interests of the Company and our stockholders, including in order to maintain the listing of our Common Stock on the Nasdaq Global Select Market or another listing tier of the Nasdaq Stock Market LLC (collectively,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or to bring the share price of our Common Stock in line with our peers or for other corporate purposes. In connection with any determination to effect the reverse stock split, the Board will set the timing for such a split and select the Reverse Stock Split Amendment from the Reverse Stock Split Amendments set forth in the tables above.</w:t>
      </w:r>
    </w:p>
    <w:p>
      <w:pPr>
        <w:spacing w:after="0" w:line="21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Nasdaq Listing Qualifications Department notified us on April 8, 2026 that the bid price of our Common Stock had closed at less than $1.00 per share over the previous 30 consecutive business days, and, as a result, did not comply with Nasdaq Listing Rule 5450(a)(1) (the “</w:t>
      </w:r>
      <w:r>
        <w:rPr>
          <w:rFonts w:ascii="Times New Roman" w:cs="Times New Roman" w:eastAsia="Times New Roman" w:hAnsi="Times New Roman"/>
          <w:sz w:val="18"/>
          <w:szCs w:val="18"/>
          <w:b w:val="1"/>
          <w:bCs w:val="1"/>
          <w:i w:val="1"/>
          <w:iCs w:val="1"/>
          <w:color w:val="auto"/>
        </w:rPr>
        <w:t>Minimum Bid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Requirement</w:t>
      </w:r>
      <w:r>
        <w:rPr>
          <w:rFonts w:ascii="Times New Roman" w:cs="Times New Roman" w:eastAsia="Times New Roman" w:hAnsi="Times New Roman"/>
          <w:sz w:val="18"/>
          <w:szCs w:val="18"/>
          <w:color w:val="auto"/>
        </w:rPr>
        <w:t>”). Therefore, in accordance with Listing Rule 5810(c)(3)(A), we were provided an initial period of 180 calendar days, or until October 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to regain compliance. The letter states that the Nasdaq staff will provide written notification that we have achieved compliance with the Minimum Bid Price Requirement if at any time before October 5, 2026, the bid price of our Common Stock closes at $1.00 per share or more for a minimum of ten consecutive business days.</w:t>
      </w:r>
    </w:p>
    <w:p>
      <w:pPr>
        <w:spacing w:after="0" w:line="21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we fail to regain compliance with the Minimum Bid Price Requirement on or before October 5, 2026, we may be eligible for an additional 180 calendar day compliance period. To qualify, we would be required to transfer our listing to the Nasdaq Capital Market and meet the continued listing requirement for the market value of publicly held shares and all other applicable initial listing standards for the Nasdaq Capital Market, with the exception of the Minimum Bid Price Requirement, and would need to provide written notice to Nasdaq of our intention to cure the deficiency during the additional 180-day compliance period, such as by effecting a reverse stock split, if necessary. As part of its review process, the Nasdaq staff will make a determination of whether it believes we will be able to cure this deficiency. If it appears to the Nasdaq staff that we will not be able to cure the deficiency or if we do not meet the other listing standards, then the Nasdaq staff will provide written notice to us that our Common Stock will be subject to delisting. At that time, we may appeal the Nasdaq staff’s delisting determination to a Nasdaq Hearing Panel. There can be no assurance that, if we receive a delisting notice and appeal the delisting determination by the Nasdaq staff to the Nasdaq Hearing Panel, such appeal would be successful. Under the New Convertible Notes, for so long as any Existing Notes remain outstanding, a change to the Nasdaq Capital Market would trigger a fundamental change, which would require that we offer to repurchase the New Convertible Notes for cash.</w:t>
      </w:r>
    </w:p>
    <w:p>
      <w:pPr>
        <w:spacing w:after="0" w:line="2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determination as to whether the reverse stock split will be effected and, if so, pursuant to which Reverse Stock Split Amendment, will be based upon those market or business factors deemed relevant by the Board at that time, including, but not limited to:</w:t>
      </w:r>
    </w:p>
    <w:p>
      <w:pPr>
        <w:spacing w:after="0" w:line="189"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the listing of our Common Stock on Nasdaq;</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expected marketability and liquidity of our Common Stock;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and then-prevailing trading price and trading volume of our Common Stock;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stock market conditions;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impact of the reverse stock split on the trading market for our Common Stock;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impact of the reverse stock split on our ability to raise financing;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7" w:name="page38"/>
    <w:bookmarkEnd w:id="37"/>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developments affecting the Company;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likely effect on the market price of our Common Stock.</w:t>
      </w:r>
    </w:p>
    <w:p>
      <w:pPr>
        <w:spacing w:after="0" w:line="25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Board believes that having stockholders approve 15 alternate Reverse Stock Split Amendments and granting the Board the discretion to select the ratio set forth in one Reverse Stock Split Amendment set forth in the tables above depending on whether Proposal No. 3 (Authorized Share Increase Proposal) has been approved by our stockholders and becomes effective, rather than having stockholders approve one specified ratio, provides us with maximum flexibility to react to then-current market conditions and volatility in the market price of our Common Stock in order to set a ratio that is intended to maintain for the foreseeable future, given market fluctuations, a stock price in excess of $1.00 per share to avoid a Nasdaq delisting of our shares of Common Stock, which could have an adverse effect on our business, liquidity and on the trading of our Common Stock due to, among other things, potential loss of confidence by partners, collaborators, lenders, suppliers, manufacturers and employees, and increased difficulty in raising capital. We also believe that an increased market price of our Common Stock may improve the marketability and liquidity of our Common Stock and encourage interest and trading in shares of our Common Stock, as well as bring the price of our Common Stock to a level commensurate with peer companies. In addition, a low per share price may negatively impact our acceptability to certain institutional investors, professional investors and other market participants.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the Reverse Stock Split</w:t>
      </w:r>
    </w:p>
    <w:p>
      <w:pPr>
        <w:spacing w:after="0" w:line="25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There are risks associated with the reverse stock split, including that the reverse stock split may not result in a sustained increase in the per share price of our Common Stock. There is no assurance that:</w:t>
      </w:r>
    </w:p>
    <w:p>
      <w:pPr>
        <w:spacing w:after="0" w:line="189" w:lineRule="exact"/>
        <w:rPr>
          <w:sz w:val="20"/>
          <w:szCs w:val="20"/>
          <w:color w:val="auto"/>
        </w:rPr>
      </w:pPr>
    </w:p>
    <w:p>
      <w:pPr>
        <w:ind w:left="660" w:right="30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 per share of our Common Stock after the reverse stock split will rise in proportion to the reduction in the number of shares of our Common Stock outstanding before the reverse stock split;</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will facilitate our access to the equity capital markets;</w:t>
      </w:r>
    </w:p>
    <w:p>
      <w:pPr>
        <w:spacing w:after="0" w:line="252"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will result in a per share price that will increase the level of investment in our Common Stock by institutional investors or increase analyst and broker interest in our Company;</w:t>
      </w:r>
    </w:p>
    <w:p>
      <w:pPr>
        <w:spacing w:after="0" w:line="18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will result in a per share price that will increase our ability to attract, retain and motivate employees and other partners and collaborators; or</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per share will either exceed or remain in excess of the $1.00 minimum bid price as required by Nasdaq, or that we will otherwise meet the requirements of Nasdaq for continued inclusion for trading on the Nasdaq.</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Stockholders should note that the effect of the reverse stock split, if any, upon the market price of our Common Stock cannot be accurately predicted. In particular, we cannot assure you that the price for a share of our Common Stock after the reverse stock split will increase in proportion to the reduction in the number of shares of our Common Stock outstanding immediately prior to the reverse stock split. Furthermore, even if the market price of our Common Stock does rise following the reverse stock split, we cannot assure you that the market price of our Common Stock immediately after the reverse stock split will be maintained for any period of time. Even if an increased per-share price can be maintained, the reverse stock split may not achieve the desired results that have been outlined above. Moreover, because some investors may view the reverse stock split negatively, we cannot assure you that the reverse stock split will not adversely impact the market price of our Common Stock.</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believe that the reverse stock split may result in greater liquidity for our stockholders. However, it is also possible that such liquidity could be adversely affected by the reduced number of shares outstanding after the reverse stock split, particularly if the price of our Common Stock does not increase as a result of the reverse stock split.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Proposal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Proposal</w:t>
      </w:r>
    </w:p>
    <w:p>
      <w:pPr>
        <w:spacing w:after="0" w:line="2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If approved by our stockholders and implemented by the Board, as of the effective time of the Reverse Stock Split Amendment, each issued and outstanding share of our Common Stock would immediately and automatically be reclassified and reduced into a fewer number of shares of our Common Stock, depending upon the Reverse Stock Split Amendment selected by the Board,</w:t>
      </w:r>
    </w:p>
    <w:p>
      <w:pPr>
        <w:sectPr>
          <w:pgSz w:w="11900" w:h="16838" w:orient="portrait"/>
          <w:cols w:equalWidth="0" w:num="1">
            <w:col w:w="11220"/>
          </w:cols>
          <w:pgMar w:left="320" w:top="1174"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type w:val="continuous"/>
        </w:sectPr>
      </w:pPr>
    </w:p>
    <w:bookmarkStart w:id="38" w:name="page39"/>
    <w:bookmarkEnd w:id="38"/>
    <w:p>
      <w:pPr>
        <w:ind w:right="20"/>
        <w:spacing w:after="0" w:line="258" w:lineRule="auto"/>
        <w:rPr>
          <w:sz w:val="20"/>
          <w:szCs w:val="20"/>
          <w:color w:val="auto"/>
        </w:rPr>
      </w:pPr>
      <w:r>
        <w:rPr>
          <w:rFonts w:ascii="Times New Roman" w:cs="Times New Roman" w:eastAsia="Times New Roman" w:hAnsi="Times New Roman"/>
          <w:sz w:val="18"/>
          <w:szCs w:val="18"/>
          <w:color w:val="auto"/>
        </w:rPr>
        <w:t>which ratio will be among the Reverse Stock Split Amendments set forth in the tables above except as described under the “—Fractional Shares ” section below with respect to fractional shares. In addition, as of the effective time of the Reverse Stock Split Amendment, the total number of authorized shares of Common Stock will be proportionately reduced (and the total number of authorized shares of capital stock the Company may issue will be correspondingly reduced) depending on the Reverse Stock Split Amendment selected by the Board and whether Proposal No. 3 (Authorized Share Increase Proposal) is approved by our stockholders and becomes effective.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with respect to fractional shares as described under the “—Fractional Shares” section below, the reverse stock split will not:</w:t>
      </w:r>
    </w:p>
    <w:p>
      <w:pPr>
        <w:spacing w:after="0" w:line="25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 any stockholder’s percentage ownership interest in us;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 any stockholder’s proportionate voting power;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affect the voting rights or other privileges of any stockholder; or</w:t>
      </w:r>
    </w:p>
    <w:p>
      <w:pPr>
        <w:spacing w:after="0" w:line="252" w:lineRule="exact"/>
        <w:rPr>
          <w:rFonts w:ascii="Times New Roman" w:cs="Times New Roman" w:eastAsia="Times New Roman" w:hAnsi="Times New Roman"/>
          <w:sz w:val="18"/>
          <w:szCs w:val="18"/>
          <w:color w:val="auto"/>
        </w:rPr>
      </w:pPr>
    </w:p>
    <w:p>
      <w:pPr>
        <w:ind w:right="3000" w:firstLine="332"/>
        <w:spacing w:after="0" w:line="532" w:lineRule="auto"/>
        <w:tabs>
          <w:tab w:leader="none" w:pos="64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relative rights of Common Stockholders, convertible notes holders, or holders of equity awards. Depending upon the ratio selected by the Board, the principal effects of the reverse stock split are:</w:t>
      </w:r>
    </w:p>
    <w:p>
      <w:pPr>
        <w:ind w:left="660" w:right="30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issued and outstanding will be reduced proportionately based on the Reverse Stock Split Amendment selected by the Board, except with respect to fractional shares as described under the “—Fractional Shares” section below;</w:t>
      </w:r>
    </w:p>
    <w:p>
      <w:pPr>
        <w:spacing w:after="0" w:line="188"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authorized number of shares of Common Stock (taking into account Proposal No. 3 (Authorized Share Increase Proposal)), if approved by our stockholders) will be reduced proportionately based on the reverse stock split ratio in the Reverse Stock Split Amendment selected by the Board and the total number of authorized shares of capital stock of the Company will be correspondingly reduced;</w:t>
      </w:r>
    </w:p>
    <w:p>
      <w:pPr>
        <w:spacing w:after="0" w:line="202"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exercise price will be increased proportionately by the reverse stock split ratio in the Reverse Stock Split Amendment selected by the Board at the time of the reverse stock split, rounded up to the nearest cent, and the number of shares issuable upon exercise shall be decreased by the same factor, rounded down to the nearest share, for all outstanding equity awards, and other convertible or exercisable equity securities entitling the holders to purchase shares of our Common Stock;</w:t>
      </w:r>
    </w:p>
    <w:p>
      <w:pPr>
        <w:spacing w:after="0" w:line="206"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rates for holders of our outstanding equity-linked securities (including the New Convertible Notes and Purchase Warrants) (as described in Proposal No. 1 (Nasdaq 5635(d) Proposal)), will be adjusted proportionately, subject to their terms;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authorized and reserved for issuance under the Company Equity Plans and the Employee Stock Purchase Plan (including the Restated Plan (as described in Proposal No. 2 (Restated Plan Proposal)), will be reduced proportionately.</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following table contains approximate information relating to our Common Stock, based on share information as of March 31, 2026, and the impact of the reverse stock split thereon under the minimum and maximum proposed ratio assuming Proposal No. 3 (Authorized Share Increase Proposal) is approved by our stockholders and becomes effective: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800" w:type="dxa"/>
            <w:vAlign w:val="bottom"/>
            <w:shd w:val="clear" w:color="auto" w:fill="D9D9D9"/>
          </w:tcPr>
          <w:p>
            <w:pPr>
              <w:spacing w:after="0"/>
              <w:rPr>
                <w:sz w:val="23"/>
                <w:szCs w:val="23"/>
                <w:color w:val="auto"/>
              </w:rPr>
            </w:pPr>
          </w:p>
        </w:tc>
        <w:tc>
          <w:tcPr>
            <w:tcW w:w="1820" w:type="dxa"/>
            <w:vAlign w:val="bottom"/>
            <w:shd w:val="clear" w:color="auto" w:fill="DBDBDB"/>
          </w:tcPr>
          <w:p>
            <w:pPr>
              <w:spacing w:after="0"/>
              <w:rPr>
                <w:sz w:val="23"/>
                <w:szCs w:val="23"/>
                <w:color w:val="auto"/>
              </w:rPr>
            </w:pPr>
          </w:p>
        </w:tc>
        <w:tc>
          <w:tcPr>
            <w:tcW w:w="160" w:type="dxa"/>
            <w:vAlign w:val="bottom"/>
            <w:shd w:val="clear" w:color="auto" w:fill="D9D9D9"/>
          </w:tcPr>
          <w:p>
            <w:pPr>
              <w:spacing w:after="0"/>
              <w:rPr>
                <w:sz w:val="23"/>
                <w:szCs w:val="23"/>
                <w:color w:val="auto"/>
              </w:rPr>
            </w:pPr>
          </w:p>
        </w:tc>
        <w:tc>
          <w:tcPr>
            <w:tcW w:w="5120" w:type="dxa"/>
            <w:vAlign w:val="bottom"/>
            <w:gridSpan w:val="2"/>
            <w:shd w:val="clear" w:color="auto" w:fill="DBDBDB"/>
          </w:tcPr>
          <w:p>
            <w:pPr>
              <w:ind w:left="920"/>
              <w:spacing w:after="0"/>
              <w:rPr>
                <w:sz w:val="20"/>
                <w:szCs w:val="20"/>
                <w:color w:val="auto"/>
              </w:rPr>
            </w:pPr>
            <w:r>
              <w:rPr>
                <w:rFonts w:ascii="Times New Roman" w:cs="Times New Roman" w:eastAsia="Times New Roman" w:hAnsi="Times New Roman"/>
                <w:sz w:val="18"/>
                <w:szCs w:val="18"/>
                <w:b w:val="1"/>
                <w:bCs w:val="1"/>
                <w:color w:val="auto"/>
              </w:rPr>
              <w:t>AFTER THE REVERSE STOCK SPLIT</w:t>
            </w:r>
            <w:r>
              <w:rPr>
                <w:rFonts w:ascii="Times New Roman" w:cs="Times New Roman" w:eastAsia="Times New Roman" w:hAnsi="Times New Roman"/>
                <w:sz w:val="23"/>
                <w:szCs w:val="23"/>
                <w:b w:val="1"/>
                <w:bCs w:val="1"/>
                <w:color w:val="auto"/>
                <w:vertAlign w:val="subscript"/>
              </w:rPr>
              <w:t>(1)</w:t>
            </w:r>
          </w:p>
        </w:tc>
      </w:tr>
      <w:tr>
        <w:trPr>
          <w:trHeight w:val="207"/>
        </w:trPr>
        <w:tc>
          <w:tcPr>
            <w:tcW w:w="3800" w:type="dxa"/>
            <w:vAlign w:val="bottom"/>
            <w:shd w:val="clear" w:color="auto" w:fill="D9D9D9"/>
          </w:tcPr>
          <w:p>
            <w:pPr>
              <w:spacing w:after="0"/>
              <w:rPr>
                <w:sz w:val="18"/>
                <w:szCs w:val="18"/>
                <w:color w:val="auto"/>
              </w:rPr>
            </w:pPr>
          </w:p>
        </w:tc>
        <w:tc>
          <w:tcPr>
            <w:tcW w:w="1820" w:type="dxa"/>
            <w:vAlign w:val="bottom"/>
            <w:shd w:val="clear" w:color="auto" w:fill="DBDBDB"/>
          </w:tcPr>
          <w:p>
            <w:pPr>
              <w:spacing w:after="0"/>
              <w:rPr>
                <w:sz w:val="18"/>
                <w:szCs w:val="18"/>
                <w:color w:val="auto"/>
              </w:rPr>
            </w:pPr>
          </w:p>
        </w:tc>
        <w:tc>
          <w:tcPr>
            <w:tcW w:w="160" w:type="dxa"/>
            <w:vAlign w:val="bottom"/>
            <w:shd w:val="clear" w:color="auto" w:fill="D9D9D9"/>
          </w:tcPr>
          <w:p>
            <w:pPr>
              <w:spacing w:after="0"/>
              <w:rPr>
                <w:sz w:val="18"/>
                <w:szCs w:val="18"/>
                <w:color w:val="auto"/>
              </w:rPr>
            </w:pPr>
          </w:p>
        </w:tc>
        <w:tc>
          <w:tcPr>
            <w:tcW w:w="238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IF MINIMUM 1:10 RATIO</w:t>
            </w:r>
          </w:p>
        </w:tc>
        <w:tc>
          <w:tcPr>
            <w:tcW w:w="2740" w:type="dxa"/>
            <w:vAlign w:val="bottom"/>
            <w:shd w:val="clear" w:color="auto" w:fill="D9D9D9"/>
          </w:tcPr>
          <w:p>
            <w:pPr>
              <w:ind w:left="140"/>
              <w:spacing w:after="0"/>
              <w:rPr>
                <w:sz w:val="20"/>
                <w:szCs w:val="20"/>
                <w:color w:val="auto"/>
              </w:rPr>
            </w:pPr>
            <w:r>
              <w:rPr>
                <w:rFonts w:ascii="Times New Roman" w:cs="Times New Roman" w:eastAsia="Times New Roman" w:hAnsi="Times New Roman"/>
                <w:sz w:val="18"/>
                <w:szCs w:val="18"/>
                <w:b w:val="1"/>
                <w:bCs w:val="1"/>
                <w:color w:val="auto"/>
              </w:rPr>
              <w:t>IF MAXIMUM 1:150 RATIO IS</w:t>
            </w:r>
          </w:p>
        </w:tc>
      </w:tr>
      <w:tr>
        <w:trPr>
          <w:trHeight w:val="245"/>
        </w:trPr>
        <w:tc>
          <w:tcPr>
            <w:tcW w:w="3800" w:type="dxa"/>
            <w:vAlign w:val="bottom"/>
            <w:tcBorders>
              <w:bottom w:val="single" w:sz="8" w:color="D9D9D9"/>
            </w:tcBorders>
            <w:shd w:val="clear" w:color="auto" w:fill="D9D9D9"/>
          </w:tcPr>
          <w:p>
            <w:pPr>
              <w:spacing w:after="0"/>
              <w:rPr>
                <w:sz w:val="21"/>
                <w:szCs w:val="21"/>
                <w:color w:val="auto"/>
              </w:rPr>
            </w:pPr>
          </w:p>
        </w:tc>
        <w:tc>
          <w:tcPr>
            <w:tcW w:w="182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9D9D9"/>
            </w:tcBorders>
            <w:shd w:val="clear" w:color="auto" w:fill="D9D9D9"/>
          </w:tcPr>
          <w:p>
            <w:pPr>
              <w:spacing w:after="0"/>
              <w:rPr>
                <w:sz w:val="21"/>
                <w:szCs w:val="21"/>
                <w:color w:val="auto"/>
              </w:rPr>
            </w:pPr>
          </w:p>
        </w:tc>
        <w:tc>
          <w:tcPr>
            <w:tcW w:w="2380" w:type="dxa"/>
            <w:vAlign w:val="bottom"/>
            <w:tcBorders>
              <w:bottom w:val="single" w:sz="8" w:color="D9D9D9"/>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IS SELECTED</w:t>
            </w:r>
          </w:p>
        </w:tc>
        <w:tc>
          <w:tcPr>
            <w:tcW w:w="2740" w:type="dxa"/>
            <w:vAlign w:val="bottom"/>
            <w:tcBorders>
              <w:bottom w:val="single" w:sz="8" w:color="D9D9D9"/>
            </w:tcBorders>
            <w:shd w:val="clear" w:color="auto" w:fill="D9D9D9"/>
          </w:tcPr>
          <w:p>
            <w:pPr>
              <w:ind w:left="860"/>
              <w:spacing w:after="0"/>
              <w:rPr>
                <w:sz w:val="20"/>
                <w:szCs w:val="20"/>
                <w:color w:val="auto"/>
              </w:rPr>
            </w:pPr>
            <w:r>
              <w:rPr>
                <w:rFonts w:ascii="Times New Roman" w:cs="Times New Roman" w:eastAsia="Times New Roman" w:hAnsi="Times New Roman"/>
                <w:sz w:val="18"/>
                <w:szCs w:val="18"/>
                <w:b w:val="1"/>
                <w:bCs w:val="1"/>
                <w:color w:val="auto"/>
              </w:rPr>
              <w:t>SELECTED</w:t>
            </w:r>
          </w:p>
        </w:tc>
      </w:tr>
      <w:tr>
        <w:trPr>
          <w:trHeight w:val="23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Authorized Common Stock(2)</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4,000,000,000</w:t>
            </w:r>
          </w:p>
        </w:tc>
        <w:tc>
          <w:tcPr>
            <w:tcW w:w="2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400,000,000</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26,666,667</w:t>
            </w:r>
          </w:p>
        </w:tc>
      </w:tr>
      <w:tr>
        <w:trPr>
          <w:trHeight w:val="22"/>
        </w:trPr>
        <w:tc>
          <w:tcPr>
            <w:tcW w:w="3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37"/>
        </w:trPr>
        <w:tc>
          <w:tcPr>
            <w:tcW w:w="3800" w:type="dxa"/>
            <w:vAlign w:val="bottom"/>
            <w:tcBorders>
              <w:bottom w:val="single" w:sz="8" w:color="CCCCCC"/>
            </w:tcBorders>
            <w:shd w:val="clear" w:color="auto" w:fill="CCCCCC"/>
          </w:tcPr>
          <w:p>
            <w:pPr>
              <w:ind w:left="20"/>
              <w:spacing w:after="0"/>
              <w:rPr>
                <w:sz w:val="20"/>
                <w:szCs w:val="20"/>
                <w:color w:val="auto"/>
              </w:rPr>
            </w:pPr>
            <w:r>
              <w:rPr>
                <w:rFonts w:ascii="Times New Roman" w:cs="Times New Roman" w:eastAsia="Times New Roman" w:hAnsi="Times New Roman"/>
                <w:sz w:val="18"/>
                <w:szCs w:val="18"/>
                <w:color w:val="auto"/>
              </w:rPr>
              <w:t>Common Stock Issued and Outstanding</w:t>
            </w:r>
          </w:p>
        </w:tc>
        <w:tc>
          <w:tcPr>
            <w:tcW w:w="1820" w:type="dxa"/>
            <w:vAlign w:val="bottom"/>
            <w:tcBorders>
              <w:bottom w:val="single" w:sz="8" w:color="CCCCCC"/>
            </w:tcBorders>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234,696,282</w:t>
            </w:r>
          </w:p>
        </w:tc>
        <w:tc>
          <w:tcPr>
            <w:tcW w:w="2540" w:type="dxa"/>
            <w:vAlign w:val="bottom"/>
            <w:tcBorders>
              <w:bottom w:val="single" w:sz="8" w:color="CCCCCC"/>
            </w:tcBorders>
            <w:gridSpan w:val="2"/>
            <w:shd w:val="clear" w:color="auto" w:fill="CCCCCC"/>
          </w:tcPr>
          <w:p>
            <w:pPr>
              <w:jc w:val="center"/>
              <w:ind w:left="10"/>
              <w:spacing w:after="0"/>
              <w:rPr>
                <w:sz w:val="20"/>
                <w:szCs w:val="20"/>
                <w:color w:val="auto"/>
              </w:rPr>
            </w:pPr>
            <w:r>
              <w:rPr>
                <w:rFonts w:ascii="Times New Roman" w:cs="Times New Roman" w:eastAsia="Times New Roman" w:hAnsi="Times New Roman"/>
                <w:sz w:val="18"/>
                <w:szCs w:val="18"/>
                <w:color w:val="auto"/>
                <w:w w:val="98"/>
              </w:rPr>
              <w:t>23,469,629</w:t>
            </w:r>
          </w:p>
        </w:tc>
        <w:tc>
          <w:tcPr>
            <w:tcW w:w="2740" w:type="dxa"/>
            <w:vAlign w:val="bottom"/>
            <w:tcBorders>
              <w:bottom w:val="single" w:sz="8" w:color="CCCCCC"/>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9"/>
              </w:rPr>
              <w:t>1,564,642</w:t>
            </w:r>
          </w:p>
        </w:tc>
      </w:tr>
      <w:tr>
        <w:trPr>
          <w:trHeight w:val="23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Reserved for Issuance(3)</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123,587,111</w:t>
            </w:r>
          </w:p>
        </w:tc>
        <w:tc>
          <w:tcPr>
            <w:tcW w:w="25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12,358,712</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823,915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-774065</wp:posOffset>
            </wp:positionV>
            <wp:extent cx="32486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21" w:lineRule="exact"/>
        <w:rPr>
          <w:sz w:val="20"/>
          <w:szCs w:val="20"/>
          <w:color w:val="auto"/>
        </w:rPr>
      </w:pPr>
    </w:p>
    <w:p>
      <w:pPr>
        <w:ind w:left="660" w:right="60" w:hanging="328"/>
        <w:spacing w:after="0" w:line="261" w:lineRule="auto"/>
        <w:tabs>
          <w:tab w:leader="none" w:pos="6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take into account that fractional shares resulting from the reverse stock split will be issued, as described under the “—Fractional Shares” section below.</w:t>
      </w:r>
    </w:p>
    <w:p>
      <w:pPr>
        <w:ind w:left="640" w:hanging="308"/>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Proposal No. 3 (Authorized Share Increase Proposal) is approved by our stockholders and becomes effective.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9" w:name="page40"/>
    <w:bookmarkEnd w:id="39"/>
    <w:p>
      <w:pPr>
        <w:ind w:left="640" w:hanging="308"/>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Common Stock reserved for future issuance (a) pursuant to the Company Equity Plans and Employee Stock Purchase Plan and</w:t>
      </w:r>
    </w:p>
    <w:p>
      <w:pPr>
        <w:spacing w:after="0" w:line="27" w:lineRule="exact"/>
        <w:rPr>
          <w:rFonts w:ascii="Times New Roman" w:cs="Times New Roman" w:eastAsia="Times New Roman" w:hAnsi="Times New Roman"/>
          <w:sz w:val="18"/>
          <w:szCs w:val="18"/>
          <w:color w:val="auto"/>
        </w:rPr>
      </w:pPr>
    </w:p>
    <w:p>
      <w:pPr>
        <w:ind w:left="66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upon exercise of outstanding warrants. Does not include additional shares of Common Stock issuable upon full conversion/exercise of the New Convertible Notes, Prefunded Warrants and Purchase Warrants. Also does not include the shares issuable or that may become issuable under the Restated Plan (as described in Proposal No. 2 (Restated Plan Proposal) above).</w:t>
      </w:r>
    </w:p>
    <w:p>
      <w:pPr>
        <w:spacing w:after="0" w:line="21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following table contains approximate information relating to our Common Stock, based on share information as of March 31, 2026 and the impact of the reverse stock split thereon under the minimum and maximum proposed ratio assuming Proposal No. 3 (Authorized Share Increase Proposal) is not approved by our stockholders: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00" w:type="dxa"/>
            <w:vAlign w:val="bottom"/>
            <w:shd w:val="clear" w:color="auto" w:fill="D9D9D9"/>
          </w:tcPr>
          <w:p>
            <w:pPr>
              <w:spacing w:after="0"/>
              <w:rPr>
                <w:sz w:val="22"/>
                <w:szCs w:val="22"/>
                <w:color w:val="auto"/>
              </w:rPr>
            </w:pPr>
          </w:p>
        </w:tc>
        <w:tc>
          <w:tcPr>
            <w:tcW w:w="1540" w:type="dxa"/>
            <w:vAlign w:val="bottom"/>
            <w:shd w:val="clear" w:color="auto" w:fill="DBDBDB"/>
          </w:tcPr>
          <w:p>
            <w:pPr>
              <w:spacing w:after="0"/>
              <w:rPr>
                <w:sz w:val="22"/>
                <w:szCs w:val="22"/>
                <w:color w:val="auto"/>
              </w:rPr>
            </w:pPr>
          </w:p>
        </w:tc>
        <w:tc>
          <w:tcPr>
            <w:tcW w:w="5640" w:type="dxa"/>
            <w:vAlign w:val="bottom"/>
            <w:gridSpan w:val="2"/>
            <w:shd w:val="clear" w:color="auto" w:fill="DBDBDB"/>
          </w:tcPr>
          <w:p>
            <w:pPr>
              <w:ind w:left="1160"/>
              <w:spacing w:after="0"/>
              <w:rPr>
                <w:sz w:val="20"/>
                <w:szCs w:val="20"/>
                <w:color w:val="auto"/>
              </w:rPr>
            </w:pPr>
            <w:r>
              <w:rPr>
                <w:rFonts w:ascii="Times New Roman" w:cs="Times New Roman" w:eastAsia="Times New Roman" w:hAnsi="Times New Roman"/>
                <w:sz w:val="18"/>
                <w:szCs w:val="18"/>
                <w:b w:val="1"/>
                <w:bCs w:val="1"/>
                <w:color w:val="auto"/>
              </w:rPr>
              <w:t>AFTER THE REVERSE STOCK SPLIT</w:t>
            </w:r>
            <w:r>
              <w:rPr>
                <w:rFonts w:ascii="Times New Roman" w:cs="Times New Roman" w:eastAsia="Times New Roman" w:hAnsi="Times New Roman"/>
                <w:sz w:val="23"/>
                <w:szCs w:val="23"/>
                <w:b w:val="1"/>
                <w:bCs w:val="1"/>
                <w:color w:val="auto"/>
                <w:vertAlign w:val="subscript"/>
              </w:rPr>
              <w:t>(1)</w:t>
            </w:r>
          </w:p>
        </w:tc>
      </w:tr>
      <w:tr>
        <w:trPr>
          <w:trHeight w:val="207"/>
        </w:trPr>
        <w:tc>
          <w:tcPr>
            <w:tcW w:w="3700" w:type="dxa"/>
            <w:vAlign w:val="bottom"/>
            <w:shd w:val="clear" w:color="auto" w:fill="D9D9D9"/>
          </w:tcPr>
          <w:p>
            <w:pPr>
              <w:spacing w:after="0"/>
              <w:rPr>
                <w:sz w:val="18"/>
                <w:szCs w:val="18"/>
                <w:color w:val="auto"/>
              </w:rPr>
            </w:pPr>
          </w:p>
        </w:tc>
        <w:tc>
          <w:tcPr>
            <w:tcW w:w="1540" w:type="dxa"/>
            <w:vAlign w:val="bottom"/>
            <w:shd w:val="clear" w:color="auto" w:fill="DBDBDB"/>
          </w:tcPr>
          <w:p>
            <w:pPr>
              <w:spacing w:after="0"/>
              <w:rPr>
                <w:sz w:val="18"/>
                <w:szCs w:val="18"/>
                <w:color w:val="auto"/>
              </w:rPr>
            </w:pPr>
          </w:p>
        </w:tc>
        <w:tc>
          <w:tcPr>
            <w:tcW w:w="2700" w:type="dxa"/>
            <w:vAlign w:val="bottom"/>
            <w:shd w:val="clear" w:color="auto" w:fill="D9D9D9"/>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IF MINIMUM 1:10 RATIO IS</w:t>
            </w:r>
          </w:p>
        </w:tc>
        <w:tc>
          <w:tcPr>
            <w:tcW w:w="2940" w:type="dxa"/>
            <w:vAlign w:val="bottom"/>
            <w:shd w:val="clear" w:color="auto" w:fill="D9D9D9"/>
          </w:tcPr>
          <w:p>
            <w:pPr>
              <w:ind w:left="260"/>
              <w:spacing w:after="0"/>
              <w:rPr>
                <w:sz w:val="20"/>
                <w:szCs w:val="20"/>
                <w:color w:val="auto"/>
              </w:rPr>
            </w:pPr>
            <w:r>
              <w:rPr>
                <w:rFonts w:ascii="Times New Roman" w:cs="Times New Roman" w:eastAsia="Times New Roman" w:hAnsi="Times New Roman"/>
                <w:sz w:val="18"/>
                <w:szCs w:val="18"/>
                <w:b w:val="1"/>
                <w:bCs w:val="1"/>
                <w:color w:val="auto"/>
              </w:rPr>
              <w:t>IF MAXIMUM 1:150 RATIO IS</w:t>
            </w:r>
          </w:p>
        </w:tc>
      </w:tr>
      <w:tr>
        <w:trPr>
          <w:trHeight w:val="245"/>
        </w:trPr>
        <w:tc>
          <w:tcPr>
            <w:tcW w:w="3700" w:type="dxa"/>
            <w:vAlign w:val="bottom"/>
            <w:tcBorders>
              <w:bottom w:val="single" w:sz="8" w:color="D9D9D9"/>
            </w:tcBorders>
            <w:shd w:val="clear" w:color="auto" w:fill="D9D9D9"/>
          </w:tcPr>
          <w:p>
            <w:pPr>
              <w:spacing w:after="0"/>
              <w:rPr>
                <w:sz w:val="21"/>
                <w:szCs w:val="21"/>
                <w:color w:val="auto"/>
              </w:rPr>
            </w:pPr>
          </w:p>
        </w:tc>
        <w:tc>
          <w:tcPr>
            <w:tcW w:w="1540" w:type="dxa"/>
            <w:vAlign w:val="bottom"/>
            <w:tcBorders>
              <w:bottom w:val="single" w:sz="8" w:color="DBDBDB"/>
            </w:tcBorders>
            <w:shd w:val="clear" w:color="auto" w:fill="DBDBDB"/>
          </w:tcPr>
          <w:p>
            <w:pPr>
              <w:spacing w:after="0"/>
              <w:rPr>
                <w:sz w:val="21"/>
                <w:szCs w:val="21"/>
                <w:color w:val="auto"/>
              </w:rPr>
            </w:pPr>
          </w:p>
        </w:tc>
        <w:tc>
          <w:tcPr>
            <w:tcW w:w="2700" w:type="dxa"/>
            <w:vAlign w:val="bottom"/>
            <w:tcBorders>
              <w:bottom w:val="single" w:sz="8" w:color="D9D9D9"/>
            </w:tcBorders>
            <w:shd w:val="clear" w:color="auto" w:fill="D9D9D9"/>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SELECTED</w:t>
            </w:r>
          </w:p>
        </w:tc>
        <w:tc>
          <w:tcPr>
            <w:tcW w:w="2940" w:type="dxa"/>
            <w:vAlign w:val="bottom"/>
            <w:tcBorders>
              <w:bottom w:val="single" w:sz="8" w:color="D9D9D9"/>
            </w:tcBorders>
            <w:shd w:val="clear" w:color="auto" w:fill="D9D9D9"/>
          </w:tcPr>
          <w:p>
            <w:pPr>
              <w:ind w:left="980"/>
              <w:spacing w:after="0"/>
              <w:rPr>
                <w:sz w:val="20"/>
                <w:szCs w:val="20"/>
                <w:color w:val="auto"/>
              </w:rPr>
            </w:pPr>
            <w:r>
              <w:rPr>
                <w:rFonts w:ascii="Times New Roman" w:cs="Times New Roman" w:eastAsia="Times New Roman" w:hAnsi="Times New Roman"/>
                <w:sz w:val="18"/>
                <w:szCs w:val="18"/>
                <w:b w:val="1"/>
                <w:bCs w:val="1"/>
                <w:color w:val="auto"/>
              </w:rPr>
              <w:t>SELECTED</w:t>
            </w: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Authorized Common Stock(2)</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700,000,000</w:t>
            </w:r>
          </w:p>
        </w:tc>
        <w:tc>
          <w:tcPr>
            <w:tcW w:w="2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70,000,000</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4,666,667</w:t>
            </w:r>
          </w:p>
        </w:tc>
      </w:tr>
      <w:tr>
        <w:trPr>
          <w:trHeight w:val="22"/>
        </w:trPr>
        <w:tc>
          <w:tcPr>
            <w:tcW w:w="3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36"/>
        </w:trPr>
        <w:tc>
          <w:tcPr>
            <w:tcW w:w="3700" w:type="dxa"/>
            <w:vAlign w:val="bottom"/>
            <w:tcBorders>
              <w:bottom w:val="single" w:sz="8" w:color="CCCCCC"/>
            </w:tcBorders>
            <w:shd w:val="clear" w:color="auto" w:fill="CCCCCC"/>
          </w:tcPr>
          <w:p>
            <w:pPr>
              <w:ind w:left="20"/>
              <w:spacing w:after="0"/>
              <w:rPr>
                <w:sz w:val="20"/>
                <w:szCs w:val="20"/>
                <w:color w:val="auto"/>
              </w:rPr>
            </w:pPr>
            <w:r>
              <w:rPr>
                <w:rFonts w:ascii="Times New Roman" w:cs="Times New Roman" w:eastAsia="Times New Roman" w:hAnsi="Times New Roman"/>
                <w:sz w:val="18"/>
                <w:szCs w:val="18"/>
                <w:color w:val="auto"/>
              </w:rPr>
              <w:t>Common Stock Issued and Outstanding</w:t>
            </w:r>
          </w:p>
        </w:tc>
        <w:tc>
          <w:tcPr>
            <w:tcW w:w="1540" w:type="dxa"/>
            <w:vAlign w:val="bottom"/>
            <w:tcBorders>
              <w:bottom w:val="single" w:sz="8" w:color="CCCCCC"/>
            </w:tcBorders>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234,696,282</w:t>
            </w:r>
          </w:p>
        </w:tc>
        <w:tc>
          <w:tcPr>
            <w:tcW w:w="2700" w:type="dxa"/>
            <w:vAlign w:val="bottom"/>
            <w:tcBorders>
              <w:bottom w:val="single" w:sz="8" w:color="CCCCCC"/>
            </w:tcBorders>
            <w:shd w:val="clear" w:color="auto" w:fill="CCCCCC"/>
          </w:tcPr>
          <w:p>
            <w:pPr>
              <w:jc w:val="center"/>
              <w:ind w:right="50"/>
              <w:spacing w:after="0"/>
              <w:rPr>
                <w:sz w:val="20"/>
                <w:szCs w:val="20"/>
                <w:color w:val="auto"/>
              </w:rPr>
            </w:pPr>
            <w:r>
              <w:rPr>
                <w:rFonts w:ascii="Times New Roman" w:cs="Times New Roman" w:eastAsia="Times New Roman" w:hAnsi="Times New Roman"/>
                <w:sz w:val="18"/>
                <w:szCs w:val="18"/>
                <w:color w:val="auto"/>
                <w:w w:val="98"/>
              </w:rPr>
              <w:t>23,469,629</w:t>
            </w:r>
          </w:p>
        </w:tc>
        <w:tc>
          <w:tcPr>
            <w:tcW w:w="2940" w:type="dxa"/>
            <w:vAlign w:val="bottom"/>
            <w:tcBorders>
              <w:bottom w:val="single" w:sz="8" w:color="CCCCCC"/>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9"/>
              </w:rPr>
              <w:t>1,564,642</w:t>
            </w: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Reserved for Issuance(3)</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123,587,111</w:t>
            </w:r>
          </w:p>
        </w:tc>
        <w:tc>
          <w:tcPr>
            <w:tcW w:w="2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12,358,712</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823,915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-774065</wp:posOffset>
            </wp:positionV>
            <wp:extent cx="35750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75050" cy="8255"/>
                    </a:xfrm>
                    <a:prstGeom prst="rect">
                      <a:avLst/>
                    </a:prstGeom>
                    <a:noFill/>
                  </pic:spPr>
                </pic:pic>
              </a:graphicData>
            </a:graphic>
          </wp:anchor>
        </w:drawing>
      </w:r>
    </w:p>
    <w:p>
      <w:pPr>
        <w:spacing w:after="0" w:line="321" w:lineRule="exact"/>
        <w:rPr>
          <w:sz w:val="20"/>
          <w:szCs w:val="20"/>
          <w:color w:val="auto"/>
        </w:rPr>
      </w:pPr>
    </w:p>
    <w:p>
      <w:pPr>
        <w:ind w:left="660" w:right="80" w:hanging="328"/>
        <w:spacing w:after="0" w:line="261" w:lineRule="auto"/>
        <w:tabs>
          <w:tab w:leader="none" w:pos="6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take into account that fractional shares resulting from the reverse stock split will be issued, as described under the “—Fractional Shares” section below.</w:t>
      </w:r>
    </w:p>
    <w:p>
      <w:pPr>
        <w:ind w:left="640" w:hanging="30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Proposal No. 3 (Authorized Share Increase Proposal) is not approved by our stockholders.</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Common Stock reserved for future issuance (a) pursuant to the Company Equity Plans and Employee Stock Purchase Plan and</w:t>
      </w:r>
    </w:p>
    <w:p>
      <w:pPr>
        <w:spacing w:after="0" w:line="9" w:lineRule="exact"/>
        <w:rPr>
          <w:rFonts w:ascii="Times New Roman" w:cs="Times New Roman" w:eastAsia="Times New Roman" w:hAnsi="Times New Roman"/>
          <w:sz w:val="18"/>
          <w:szCs w:val="18"/>
          <w:color w:val="auto"/>
        </w:rPr>
      </w:pPr>
    </w:p>
    <w:p>
      <w:pPr>
        <w:ind w:left="66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upon exercise of outstanding warrants. Does not include additional shares of Common Stock issuable upon full conversion/exercise of the New Convertible Notes, Prefunded Warrants and Purchase Warrants. Also does not include the shares issuable or that may become issuable under the Restated Plan (as described in Proposal No. 2 (Restated Plan Proposal) above).</w:t>
      </w:r>
    </w:p>
    <w:p>
      <w:pPr>
        <w:spacing w:after="0" w:line="213"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After the effective date of the reverse stock split, our Common Stock will have a new CUSIP number. Our Common Stock is currently registered under Section 12(b) of the Exchange Act, and we are subject to the periodic reporting and other requirements of the Exchange Act. The implementation of the reverse stock split will not affect the registration of our Common Stock under the Exchange Act.</w:t>
      </w:r>
    </w:p>
    <w:p>
      <w:pPr>
        <w:spacing w:after="0" w:line="20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Required Adjustment to Currently Outstanding Securities Exercisable or Convertible into Shares of our Common Stock</w:t>
      </w:r>
      <w:r>
        <w:rPr>
          <w:rFonts w:ascii="Times New Roman" w:cs="Times New Roman" w:eastAsia="Times New Roman" w:hAnsi="Times New Roman"/>
          <w:sz w:val="18"/>
          <w:szCs w:val="18"/>
          <w:color w:val="auto"/>
        </w:rPr>
        <w:t>. The reverse stock split would 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reduction in the number of shares of Common Stock issuable upon the exercise of any outstanding equity awards and warrants and upon conversion of convertible notes, including the New Convertible Notes, in proportion to the reverse stock split ratio. The exercise price of any outstanding equity awards and warrants and conversion price of any outstanding convertible notes would increase, likewise in proportion to the reverse stock split ratio.</w:t>
      </w:r>
    </w:p>
    <w:p>
      <w:pPr>
        <w:spacing w:after="0" w:line="1" w:lineRule="exact"/>
        <w:rPr>
          <w:sz w:val="20"/>
          <w:szCs w:val="20"/>
          <w:color w:val="auto"/>
        </w:rPr>
      </w:pPr>
    </w:p>
    <w:p>
      <w:pPr>
        <w:jc w:val="both"/>
        <w:ind w:right="280"/>
        <w:spacing w:after="0" w:line="253" w:lineRule="auto"/>
        <w:rPr>
          <w:sz w:val="20"/>
          <w:szCs w:val="20"/>
          <w:color w:val="auto"/>
        </w:rPr>
      </w:pPr>
      <w:r>
        <w:rPr>
          <w:rFonts w:ascii="Times New Roman" w:cs="Times New Roman" w:eastAsia="Times New Roman" w:hAnsi="Times New Roman"/>
          <w:sz w:val="18"/>
          <w:szCs w:val="18"/>
          <w:i w:val="1"/>
          <w:iCs w:val="1"/>
          <w:color w:val="auto"/>
        </w:rPr>
        <w:t>Required Adjustment to the Number of Shares of Common Stock Available for Future Issuance Under our Equity Plans</w:t>
      </w:r>
      <w:r>
        <w:rPr>
          <w:rFonts w:ascii="Times New Roman" w:cs="Times New Roman" w:eastAsia="Times New Roman" w:hAnsi="Times New Roman"/>
          <w:sz w:val="18"/>
          <w:szCs w:val="18"/>
          <w:color w:val="auto"/>
        </w:rPr>
        <w:t>. In connection with any reverse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split, the Board would also make a corresponding reduction in the number of shares available for future issuance under the Company Equity Plans and the Employee Stock Purchase Plan so as to avoid the effect of increasing the number of authorized but unissued shares available for future issuance under such plans.</w:t>
      </w:r>
    </w:p>
    <w:p>
      <w:pPr>
        <w:spacing w:after="0" w:line="214"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Odd Lots</w:t>
      </w:r>
      <w:r>
        <w:rPr>
          <w:rFonts w:ascii="Times New Roman" w:cs="Times New Roman" w:eastAsia="Times New Roman" w:hAnsi="Times New Roman"/>
          <w:sz w:val="18"/>
          <w:szCs w:val="18"/>
          <w:color w:val="auto"/>
        </w:rPr>
        <w:t>. In addition, the reverse stock split may result in some stockholders owning “odd lots” of less than one hundred (100)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be more difficult to sell and may cause those holders to incur greater brokerage commissions and other costs upon sale.</w:t>
      </w:r>
    </w:p>
    <w:p>
      <w:pPr>
        <w:spacing w:after="0" w:line="18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Certificate of Amendment</w:t>
      </w:r>
      <w:r>
        <w:rPr>
          <w:rFonts w:ascii="Times New Roman" w:cs="Times New Roman" w:eastAsia="Times New Roman" w:hAnsi="Times New Roman"/>
          <w:sz w:val="18"/>
          <w:szCs w:val="18"/>
          <w:color w:val="auto"/>
        </w:rPr>
        <w:t>. If the Board determines to implement the reverse stock split, we will file a certificate of amendment for the selected Reverse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Stock Split Amendment in the form attached to this proxy statement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as applicable, with the Delaware Secretary of State and will abandon the other Reverse Stock Split Amendments. Upon the filing and effectiveness of the selected Reverse Stock Split Amendment, without any further action on our part or our stockholders, the issued shares of Common Stock held by stockholders as of the effective date of the reverse stock split would be converted into a lesser number of shares of Common Stock based on the ratio included in the selected Reverse Stock Split Amendment and the number of authorized shares of Common Stock will be reduced accordingly.</w:t>
      </w:r>
    </w:p>
    <w:p>
      <w:pPr>
        <w:spacing w:after="0" w:line="209"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Effect on Preferred Stock. </w:t>
      </w:r>
      <w:r>
        <w:rPr>
          <w:rFonts w:ascii="Times New Roman" w:cs="Times New Roman" w:eastAsia="Times New Roman" w:hAnsi="Times New Roman"/>
          <w:sz w:val="18"/>
          <w:szCs w:val="18"/>
          <w:color w:val="auto"/>
        </w:rPr>
        <w:t>The proposed Reverse Stock Split Amendment would not impact the total authorized number of shares of preferred stock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 value thereof.</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0" w:name="page41"/>
    <w:bookmarkEnd w:id="40"/>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Effect on Par Value</w:t>
      </w:r>
      <w:r>
        <w:rPr>
          <w:rFonts w:ascii="Times New Roman" w:cs="Times New Roman" w:eastAsia="Times New Roman" w:hAnsi="Times New Roman"/>
          <w:sz w:val="18"/>
          <w:szCs w:val="18"/>
          <w:color w:val="auto"/>
        </w:rPr>
        <w:t>. The proposed Reverse Stock Split Amendment will not affect the par value of our Common Stock, which will remain at $0.0001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Approve Proposal</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event that the Reverse Stock Split Amendments are not approved by our stockholders, we intend to monitor the trading price of our Common Stock on Nasdaq and will consider available options to resolve our non-compliance with the Nasdaq listing rules. On May 15, 2026, the last trading day prior to the filing of this proxy statement, the closing price of our Common Stock on Nasdaq was $0.34 per share. We believe that our ability to remain listed on Nasdaq would be significantly and negatively affected if this Proposal No. 4 (Reverse Stock Split Proposal) is not approved. In addition, if our Common Stock is delisted it will significantly and negatively affect our ability to obtain alternative debt or equity financing in order to support Company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2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If the shares of Common Stock held by any holder of Common Stock immediately prior to the effectiveness of the Reverse Stock Split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are collectively reclassified pursuant to the reverse stock split into a fractional share of Common Stock, the Company will issue to such holder such fraction of a share of Common Stock as is necessary to round the number of shares of Common Stock held by such holder immediately following the reverse stock split up to the nearest whole number of shares. Such additional shares of Common Stock would be issued in consideration for the corporate benefits to the Company arising from not having to issue fractional shares or pay in cash the fair value of such fractional shares in lieu of the issuance thereof, which would result in any fractional shares of Common Stock that would otherwise be held by a holder following the reverse stock split being rounded up to the nearest whole number of shares of Common Stock.</w:t>
      </w:r>
    </w:p>
    <w:p>
      <w:pPr>
        <w:spacing w:after="0" w:line="2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Equity Awards</w:t>
      </w:r>
      <w:r>
        <w:rPr>
          <w:rFonts w:ascii="Times New Roman" w:cs="Times New Roman" w:eastAsia="Times New Roman" w:hAnsi="Times New Roman"/>
          <w:sz w:val="18"/>
          <w:szCs w:val="18"/>
          <w:color w:val="auto"/>
        </w:rPr>
        <w:t>: If the reverse stock split is effected, the number of shares available for issuance under our equity plans on such date, as well as the number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shares subject to any outstanding equity award and the exercise price, grant price or purchase price relating to any such equity award under our equity plans, are expected to be equitably adjusted by the Board to reflect the reverse stock split. Any fractional shares resulting from such adjustment are expected to be eliminated by rounding upward or downward to the nearest whole share.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Held in Book-Entry and Through a Broker, Bank or Other Holder of Record</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you hold registered shares of our Common Stock in book-entry form, you do not need to take any action to receive your post-reverse stock split shares of our Common Stock in registered book-entry form in the event the Board determines to effect a reverse stock split. If you are entitled to post-reverse stock split shares of our Common Stock, a transaction statement will automatically be sent to your address of record as soon as practicable after the effectiveness of the reverse stock split indicating the number of shares of our Common Stock you hold.</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the effectiveness of the reverse stock split, we intend to treat stockholders holding shares of our Common Stock in “street name” (that is, through a broker, bank or other holder of record) in the same manner as registered stockholders whose shares of our Common Stock are registered in their names. Brokers, banks or other holders of record will be instructed to effect the reverse stock split for their beneficial holders holding shares of our Common Stock in “street name”; however, these brokers, banks or other holders of record may apply their own specific procedures for processing the reverse stock split. If you hold your shares of our Common Stock with a broker, bank or other holder of record, and you have any questions in this regard, we encourage you to contact your holder of record.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Matters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reverse stock split will not affect the Common Stock capital account on our balance sheet and the par value of our Common Stock will remain unchanged. The stated capital component, which consists of the par value per share of our Common Stock multiplied by the aggregate number of shares of our Common Stock issued, will be reduced in proportion to the size of the reverse stock split, subject to a minor adjustment in respect of the treatment of fractional shares as described above, and the additional paid-in capital account will be increased by the amount by which the stated capital is reduced. Our stockholders’ equity, in the aggregate, will remain unchanged. Immediately after the reverse stock split, the per share net income or loss and net book value of our Common Stock will be increased, as compared to the per share amounts absent the reverse stock split, because there will be fewer shares of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9"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No Going Private Transaction</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Notwithstanding the decrease in the number of outstanding shares following the proposed reverse stock split, the Board does not intend for this transaction to be the first step in a “going private transaction” within the meaning of Rule 13e-3 of the Exchange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Anti-Takeover Effect</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reverse stock split is not being proposed in response to any effort of which we are aware to accumulate shares of our Common Stock or obtain control of us, nor is it part of a plan by management to recommend a series of similar amendments to the Board and our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25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stockholders are not entitled to appraisal rights with respect to the reverse stock split, and we will not independently provide stockholders with any such right.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Federal Income Tax Consequences of the Reverse Stock Split</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to U.S. Holders (as defined below) of the reverse stock split, but does not purport to be a complete analysis of all potential tax effects. The effects of other U.S. federal tax laws, such as estate and gift tax laws, and any applicable state, local or foreign tax laws are not discussed. This discussion is based on the Internal Revenue Code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Treasury Regulations promulgated thereunder, judicial decisions, and published rulings and administrative pronouncements of the Internal Revenue Service (the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in each case in effect as of the date hereof. These authorities may change or be subject to differing interpretations. Any such change or differing interpretation may be applied retroactively in a manner that could adversely affect a U.S. Holder. We have not sought and do not currently intend to seek any rulings from the IRS regarding the matters discussed below. There can be no assurance the IRS or a court will not take a contrary position to that discussed below regarding the tax consequences of the reverse stock split.</w:t>
      </w:r>
    </w:p>
    <w:p>
      <w:pPr>
        <w:spacing w:after="0" w:line="2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discussion is limited to U.S. Holders that hold our Common Stock as a “capital asset” within the meaning of Section 1221 of the Code (generally, property held for investment). This discussion does not address all U.S. federal income tax consequences relevant to a U.S. Holder’s particular circumstances, including the impact of any alternative minimum tax, the Medicare contribution tax on net investment income or any item of gross income with respect to our Common Stock being taken into account in an “applicable financial statement” (as defined in the Code). In addition, it does not address consequences relevant to Non-U.S. Holders subject to special rules, including, without limitation:</w:t>
      </w:r>
    </w:p>
    <w:p>
      <w:pPr>
        <w:spacing w:after="0" w:line="3"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233"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hedge, straddle or other risk reduction strategy or as part of a conversion transaction or other integrated investment;</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and registered investment companies;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entities or arrangements treated as partnerships for U.S. federal income tax purposes (and investors therein);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42" w:name="page43"/>
    <w:bookmarkEnd w:id="42"/>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pursuant to the exercise of any employee stock option or otherwise as compensation;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252"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of the reverse stock split to them.</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DISCUSSION IS FOR INFORMATIONAL PURPOSES ONLY AND IS NOT TAX ADVICE. INVESTORS SHOULD CONSULT THEIR TAX ADVISORS WITH RESPECT TO THE APPLICATION OF THE U.S. FEDERAL INCOME TAX LAWS TO THEIR PARTICULAR SITUATIONS AS WELL AS ANY TAX CONSEQUENCES OF THE REVERSE STOCK SPLIT ARISING UNDER THE U.S. FEDERAL ESTATE OR GIFT TAX LAWS OR UNDER THE LAWS OF ANY STATE, LOCAL OR NON-U.S. TAXING JURISDICTION OR UNDER ANY APPLICABLE INCOME TAX TREATY.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discussion, a “</w:t>
      </w:r>
      <w:r>
        <w:rPr>
          <w:rFonts w:ascii="Times New Roman" w:cs="Times New Roman" w:eastAsia="Times New Roman" w:hAnsi="Times New Roman"/>
          <w:sz w:val="18"/>
          <w:szCs w:val="18"/>
          <w:b w:val="1"/>
          <w:bCs w:val="1"/>
          <w:i w:val="1"/>
          <w:iCs w:val="1"/>
          <w:color w:val="auto"/>
        </w:rPr>
        <w:t>U.S. Holder</w:t>
      </w:r>
      <w:r>
        <w:rPr>
          <w:rFonts w:ascii="Times New Roman" w:cs="Times New Roman" w:eastAsia="Times New Roman" w:hAnsi="Times New Roman"/>
          <w:sz w:val="18"/>
          <w:szCs w:val="18"/>
          <w:color w:val="auto"/>
        </w:rPr>
        <w:t>” is a beneficial owner of our Common Stock that for U.S. federal income tax purposes is, or is treated as:</w:t>
      </w:r>
    </w:p>
    <w:p>
      <w:pPr>
        <w:spacing w:after="0" w:line="256"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52" w:lineRule="exact"/>
        <w:rPr>
          <w:rFonts w:ascii="Times New Roman" w:cs="Times New Roman" w:eastAsia="Times New Roman" w:hAnsi="Times New Roman"/>
          <w:sz w:val="18"/>
          <w:szCs w:val="18"/>
          <w:color w:val="auto"/>
        </w:rPr>
      </w:pPr>
    </w:p>
    <w:p>
      <w:pPr>
        <w:ind w:left="660" w:right="120" w:hanging="328"/>
        <w:spacing w:after="0" w:line="312" w:lineRule="auto"/>
        <w:tabs>
          <w:tab w:leader="none" w:pos="65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that (i) is subject to the primary supervision of a U.S. court and the control of one or more United States persons (within the meaning of Section 7701(a)(30) of the Code) or (ii) has a valid election in effect to be treated as a United States person for U.S. federal income tax purposes.</w:t>
      </w:r>
    </w:p>
    <w:p>
      <w:pPr>
        <w:spacing w:after="0" w:line="1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proposed reverse stock split is intended to be treated as a “recapitalization” for U.S. federal income tax purposes pursuant to Section 368(a)(1)(E) of the Code. As a result, a U.S. Holder generally should not recognize gain or loss upon the proposed reverse stock split for U.S. federal income tax purposes. A U.S. Holder’s aggregate adjusted tax basis in the shares of our Common Stock received pursuant to the proposed reverse stock split should equal the aggregate adjusted tax basis of the shares of our Common Stock exchanged therefor. The U.S. Holder’s holding period in the shares of our Common Stock received pursuant to the proposed reverse stock split should generally include the holding period in the shares of our Common Stock exchanged therefor. However, the U.S. federal income tax consequences of the receipt of such an additional fraction of a share of the Common Stock is not clear. A U.S. Holder who receives a whole share of Common Stock in lieu of a fractional share could be treated as recognizing income or gain in an amount not to exceed the excess of the fair market value of such whole share over the fair market value of the fractional share to which such U.S. Holder was otherwise entitled. Any such recognition of gain may affect the holding period and adjusted tax basis of such U.S. Holder’s whole share received in lieu of a fractional share. U.S. Holders should consult their tax advisors regarding the U.S. federal income tax consequences of receiving a whole share of Common Stock in lieu of a fractional share.</w:t>
      </w:r>
    </w:p>
    <w:p>
      <w:pPr>
        <w:spacing w:after="0" w:line="21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addition, U.S. Treasury Regulations provide detailed rules for allocating the tax basis and holding period of shares of Common Stock surrendered in a recapitalization to shares received in the recapitalization. U.S. Holders of shares of our Common Stock acquired on different dates and at different prices should consult their tax advisors regarding the allocation of the tax basis and holding period of such shares.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Directors and Executive Officers</w:t>
      </w:r>
    </w:p>
    <w:p>
      <w:pPr>
        <w:spacing w:after="0" w:line="25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directors and executive officers have no substantial interests, directly or indirectly, in the matters set forth in this Proposal No. 4 (Reverse Stock Split Proposal) regarding the proposed reverse stock split except to the extent of their ownership of shares of our Common Stock or securities exercisable or convertible into shares of Common Stock.</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Reservation of Right to Abandon Reverse Stock Split</w:t>
      </w:r>
    </w:p>
    <w:p>
      <w:pPr>
        <w:spacing w:after="0" w:line="25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reserve the right to abandon any or all of the Reverse Stock Split Amendments without further action by our stockholders at any time before the effectiveness of the filing of a certificate of amendment setting forth the Reverse Stock Split Amendment with the Delaware Secretary of State, even if the Reverse Stock Split Amendment has been approved by our stockholders at the Special Meeting. If the Board decides to effect the reverse stock split, the Board will abandon all of the Reverse Stock Split Amendments other than the Reverse Stock Split Amendment that is filed with the Delaware Secretary of State. By voting in favor of this Proposal No. 4 (Reverse Stock Split Proposal), you are expressly also authorizing the Board to delay, or not to proceed with and abandon, the Reverse Stock Split Amendment if it should so decide, in its sole discretion, and that such action is in the best interests of the Company and our stockholders.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Recommendation of the Board of Directors</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Proposal No. 4 (Reverse Stock Split Proposal) requires the affirmative vote of the holders of a majority of the votes cast at the Special Meeting pursuant to Section 242(d)(2) of the General Corporation Law of the State of Delaware. Abstentions will not be counted toward the tabulation of votes cast on this proposal and will have no effect on the proposal. Broker non-votes, if any, will also have no effect on the outcome of this proposal.</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the Early Settlement Date, Existing Noteholders holding 90.526% of the aggregate outstanding principal amount of the Existing Convertible Notes entered into voting agreements, or are deemed to have agreed to substantially the same terms as those in the voting agreements, with the Company in connection with the tender of their Existing Convertible Notes pursuant to which they agreed to be present in person (which includes by remote communication) or by proxy at the Special Meeting and to vote all shares of Common Stock they received in the Exchange Offer and beneficially owned as of the Record Date in favor of the proposals set forth in this proxy statement.</w:t>
      </w:r>
    </w:p>
    <w:p>
      <w:pPr>
        <w:spacing w:after="0" w:line="206"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THE STOCKHOLDERS VOTE “FOR” THE REVERSE STOCK SPLIT PROPOSAL.</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ADJOURNMENT OF SPECIAL MEETING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Proposal</w:t>
      </w:r>
    </w:p>
    <w:p>
      <w:pPr>
        <w:spacing w:after="0" w:line="24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are asking our stockholders to approve one or more adjournments of the Special Meeting or any adjournment(s) thereof in the event that there is not a sufficient number of votes at the Special Meeting to approve Proposals Nos. 1, 2, 3 or 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to Approval of Proposal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of this Proposal No. 5 (Adjournment Proposal) is independent and not conditioned upon the approval of any other proposal.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Purpose of Proposal</w:t>
      </w:r>
    </w:p>
    <w:p>
      <w:pPr>
        <w:spacing w:after="0" w:line="24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In order to permit proxies that have been timely received to be voted for such adjournments, we are submitting this proposal as a separate matter for your consideration. If it is necessary to adjourn the Special Meeting and if the adjournment is for a period of 30 days or less, notice need not be given of the adjourned meeting if the time, place (if any) and the means of remote communications (if any) by which stockholders and proxy holders may be deemed to be present in person and vote at such adjourned meeting, are announced at the Special Meeting at which the adjournment is taken, or is provided in any other manner permitted by the Delaware General Corporation Law. At the adjourned meeting, the Company may transact any business which might have been transacted at the Special Meeting. If the adjournment is for more than 30 days, a notice of the adjourned meeting will be given to each stockholder of record entitled to vote at the meeting.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56"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Board has approved the submission to the stockholders of this Proposal No. 5 (Adjournment Proposal) to approve one or more adjournments of the Special Meeting or any adjournment(s) thereof in the event that there is not a sufficient number of votes at the Special Meeting to approve Proposals Nos. 1, 2, 3 or 4, determined that this proposal is in the best interests of the Company and our stockholders and recommends that our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this Proposal No. 5 (Adjournment Proposal).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4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Proposal No. 5 (Adjournment Proposal) requires the affirmative vote of the holders of a majority in voting power of the votes cast affirmatively or negatively on the proposal, meaning the number of shares voted “For” the proposal must exceed the number of shares voted “Against” the proposal. Abstentions will not be counted toward the tabulation of votes cast on this proposal and will have no effect on the proposal. Broker non-votes will have no effect on this proposal as brokers or other nominees are not entitled to vote on such proposal in the absence of voting instructions from the beneficial owner.</w:t>
      </w:r>
    </w:p>
    <w:p>
      <w:pPr>
        <w:spacing w:after="0" w:line="20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As of the Early Settlement Date, Existing Noteholders holding 90.526% of the aggregate outstanding principal amount of the Existing Convertible Notes entered into voting agreements, or are deemed to have agreed to substantially the same terms as those in the voting agreements, with the Company in connection with the tender of their Existing Convertible Notes pursuant to which they agreed to be present in person (which includes by remote communication) or by proxy at the Special Meeting and to vote all shares of Common Stock they received in the Exchange Offer and beneficially owned as of the Record Date in favor of the proposals set forth in this proxy statement.</w:t>
      </w:r>
    </w:p>
    <w:p>
      <w:pPr>
        <w:spacing w:after="0" w:line="218"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THE STOCKHOLDERS VOTE “FOR” THE ADJOURNMENT SPLIT PROPOSAL.</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AND DIRECTOR COMPENSATION AND OTHER INFORMATION</w:t>
      </w:r>
    </w:p>
    <w:p>
      <w:pPr>
        <w:spacing w:after="0" w:line="25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This executive compensation section provides information about the material components of our executive compensation program for our “named executive officers,” or NEOs, for 2025, consisting of the following persons:</w:t>
      </w:r>
    </w:p>
    <w:p>
      <w:pPr>
        <w:spacing w:after="0" w:line="210"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22"/>
          <w:szCs w:val="22"/>
          <w:color w:val="auto"/>
        </w:rPr>
      </w:pPr>
      <w:r>
        <w:rPr>
          <w:rFonts w:ascii="Times New Roman" w:cs="Times New Roman" w:eastAsia="Times New Roman" w:hAnsi="Times New Roman"/>
          <w:sz w:val="18"/>
          <w:szCs w:val="18"/>
          <w:color w:val="auto"/>
        </w:rPr>
        <w:t>Faheem Hasnain, Chairman, President and Chief Executive Officer</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7"/>
        </w:numPr>
        <w:rPr>
          <w:rFonts w:ascii="Arial" w:cs="Arial" w:eastAsia="Arial" w:hAnsi="Arial"/>
          <w:sz w:val="22"/>
          <w:szCs w:val="22"/>
          <w:color w:val="auto"/>
        </w:rPr>
      </w:pPr>
      <w:r>
        <w:rPr>
          <w:rFonts w:ascii="Times New Roman" w:cs="Times New Roman" w:eastAsia="Times New Roman" w:hAnsi="Times New Roman"/>
          <w:sz w:val="18"/>
          <w:szCs w:val="18"/>
          <w:color w:val="auto"/>
        </w:rPr>
        <w:t>Bryan Giraudo, Chief Operating Officer and Chief Financial Officer</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7"/>
        </w:numPr>
        <w:rPr>
          <w:rFonts w:ascii="Arial" w:cs="Arial" w:eastAsia="Arial" w:hAnsi="Arial"/>
          <w:sz w:val="22"/>
          <w:szCs w:val="22"/>
          <w:color w:val="auto"/>
        </w:rPr>
      </w:pPr>
      <w:r>
        <w:rPr>
          <w:rFonts w:ascii="Times New Roman" w:cs="Times New Roman" w:eastAsia="Times New Roman" w:hAnsi="Times New Roman"/>
          <w:sz w:val="18"/>
          <w:szCs w:val="18"/>
          <w:color w:val="auto"/>
        </w:rPr>
        <w:t>Robert Smith, Chief Commercial Officer</w:t>
      </w:r>
    </w:p>
    <w:p>
      <w:pPr>
        <w:spacing w:after="0" w:line="23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executive compensation section provides an overview of our executive compensation philosophy, the overall objectives of our executive compensation program, and each compensation component that we provide. In addition, we explain how and why the compensation committee and the Board arrived at specific compensation policies and decisions involving our executive officers during the fiscal year ended December 31, 2025.</w:t>
      </w:r>
    </w:p>
    <w:p>
      <w:pPr>
        <w:spacing w:after="0" w:line="20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a “smaller reporting company” under SEC rules, we are not required to include a Compensation Discussion and Analysis section and have elected to comply with the scaled disclosure requirements applicable to smaller reporting companies.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Business Highlights</w:t>
      </w:r>
    </w:p>
    <w:p>
      <w:pPr>
        <w:spacing w:after="0" w:line="278"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8"/>
          <w:szCs w:val="18"/>
          <w:color w:val="auto"/>
        </w:rPr>
        <w:t>Completed the Phase 3 registrational PROSERA Study of seralutinib in patients with pulmonary arterial hypertension (“</w:t>
      </w:r>
      <w:r>
        <w:rPr>
          <w:rFonts w:ascii="Times New Roman" w:cs="Times New Roman" w:eastAsia="Times New Roman" w:hAnsi="Times New Roman"/>
          <w:sz w:val="18"/>
          <w:szCs w:val="18"/>
          <w:b w:val="1"/>
          <w:bCs w:val="1"/>
          <w:i w:val="1"/>
          <w:iCs w:val="1"/>
          <w:color w:val="auto"/>
        </w:rPr>
        <w:t>PAH</w:t>
      </w:r>
      <w:r>
        <w:rPr>
          <w:rFonts w:ascii="Times New Roman" w:cs="Times New Roman" w:eastAsia="Times New Roman" w:hAnsi="Times New Roman"/>
          <w:sz w:val="18"/>
          <w:szCs w:val="18"/>
          <w:color w:val="auto"/>
        </w:rPr>
        <w:t>”).</w:t>
      </w:r>
    </w:p>
    <w:p>
      <w:pPr>
        <w:spacing w:after="0" w:line="224" w:lineRule="exact"/>
        <w:rPr>
          <w:rFonts w:ascii="Arial" w:cs="Arial" w:eastAsia="Arial" w:hAnsi="Arial"/>
          <w:sz w:val="22"/>
          <w:szCs w:val="22"/>
          <w:color w:val="auto"/>
        </w:rPr>
      </w:pPr>
    </w:p>
    <w:p>
      <w:pPr>
        <w:ind w:left="660" w:right="28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sites in the Phase 3 registrational SERENATA Study of seralutinib in patients with pulmonary hypertension associated with interstitial lung disease (“</w:t>
      </w:r>
      <w:r>
        <w:rPr>
          <w:rFonts w:ascii="Times New Roman" w:cs="Times New Roman" w:eastAsia="Times New Roman" w:hAnsi="Times New Roman"/>
          <w:sz w:val="18"/>
          <w:szCs w:val="18"/>
          <w:b w:val="1"/>
          <w:bCs w:val="1"/>
          <w:i w:val="1"/>
          <w:iCs w:val="1"/>
          <w:color w:val="auto"/>
        </w:rPr>
        <w:t>PH-ILD</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2025 Executive Compensation Decisions</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general, the majority of our named executive officers’ total compensation is tied directly to corporate and individual performance, increases in our stock price, or both. Specific elements of our executive compensation program that demonstrate our pay-for-performance philosophy include:</w:t>
      </w:r>
    </w:p>
    <w:p>
      <w:pPr>
        <w:spacing w:after="0" w:line="189"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measures in our short-term cash incentive program are linked to key corporate objectives.</w:t>
      </w:r>
    </w:p>
    <w:p>
      <w:pPr>
        <w:spacing w:after="0" w:line="252"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achievement represents 100% of our Chief Executive Officer’s annual bonus opportunity and 70% of our other named executive officer’s annual bonus opportunities.</w:t>
      </w:r>
    </w:p>
    <w:p>
      <w:pPr>
        <w:spacing w:after="0" w:line="184" w:lineRule="exact"/>
        <w:rPr>
          <w:rFonts w:ascii="Times New Roman" w:cs="Times New Roman" w:eastAsia="Times New Roman" w:hAnsi="Times New Roman"/>
          <w:sz w:val="18"/>
          <w:szCs w:val="18"/>
          <w:color w:val="auto"/>
        </w:rPr>
      </w:pPr>
    </w:p>
    <w:p>
      <w:pPr>
        <w:ind w:left="660" w:right="120" w:hanging="328"/>
        <w:spacing w:after="0" w:line="268"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equity incentives are provided to our named executive officers in the form of stock options and restricted stock units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which vest over multi-year periods, or in the form of performance stock units (“</w:t>
      </w:r>
      <w:r>
        <w:rPr>
          <w:rFonts w:ascii="Times New Roman" w:cs="Times New Roman" w:eastAsia="Times New Roman" w:hAnsi="Times New Roman"/>
          <w:sz w:val="18"/>
          <w:szCs w:val="18"/>
          <w:b w:val="1"/>
          <w:bCs w:val="1"/>
          <w:i w:val="1"/>
          <w:iCs w:val="1"/>
          <w:color w:val="auto"/>
        </w:rPr>
        <w:t>PSUs</w:t>
      </w:r>
      <w:r>
        <w:rPr>
          <w:rFonts w:ascii="Times New Roman" w:cs="Times New Roman" w:eastAsia="Times New Roman" w:hAnsi="Times New Roman"/>
          <w:sz w:val="18"/>
          <w:szCs w:val="18"/>
          <w:color w:val="auto"/>
        </w:rPr>
        <w:t>”), which vest upon the achievement of certain performance milestones.</w:t>
      </w:r>
    </w:p>
    <w:p>
      <w:pPr>
        <w:spacing w:after="0" w:line="20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primary elements of our total direct compensation program for the named executive officers and a summary of the actions taken by the compensation committee during 2025 are set forth below.</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6" w:name="page47"/>
    <w:bookmarkEnd w:id="46"/>
    <w:tbl>
      <w:tblPr>
        <w:tblLayout w:type="fixed"/>
        <w:tblInd w:w="660" w:type="dxa"/>
        <w:tblCellMar>
          <w:top w:w="0" w:type="dxa"/>
          <w:left w:w="0" w:type="dxa"/>
          <w:bottom w:w="0" w:type="dxa"/>
          <w:right w:w="0" w:type="dxa"/>
        </w:tblCellMar>
      </w:tblPr>
      <w:tr>
        <w:trPr>
          <w:trHeight w:val="261"/>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Market-Based Base Salary Increases for NEOs</w:t>
            </w:r>
          </w:p>
        </w:tc>
        <w:tc>
          <w:tcPr>
            <w:tcW w:w="63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Our named executive officers received base salary increases for 2025</w:t>
            </w:r>
          </w:p>
        </w:tc>
      </w:tr>
      <w:tr>
        <w:trPr>
          <w:trHeight w:val="188"/>
        </w:trPr>
        <w:tc>
          <w:tcPr>
            <w:tcW w:w="4200" w:type="dxa"/>
            <w:vAlign w:val="bottom"/>
          </w:tcPr>
          <w:p>
            <w:pPr>
              <w:spacing w:after="0"/>
              <w:rPr>
                <w:sz w:val="16"/>
                <w:szCs w:val="16"/>
                <w:color w:val="auto"/>
              </w:rPr>
            </w:pPr>
          </w:p>
        </w:tc>
        <w:tc>
          <w:tcPr>
            <w:tcW w:w="6380" w:type="dxa"/>
            <w:vAlign w:val="bottom"/>
          </w:tcPr>
          <w:p>
            <w:pPr>
              <w:ind w:left="680"/>
              <w:spacing w:after="0" w:line="188" w:lineRule="exact"/>
              <w:rPr>
                <w:sz w:val="20"/>
                <w:szCs w:val="20"/>
                <w:color w:val="auto"/>
              </w:rPr>
            </w:pPr>
            <w:r>
              <w:rPr>
                <w:rFonts w:ascii="Times New Roman" w:cs="Times New Roman" w:eastAsia="Times New Roman" w:hAnsi="Times New Roman"/>
                <w:sz w:val="18"/>
                <w:szCs w:val="18"/>
                <w:color w:val="auto"/>
              </w:rPr>
              <w:t>consistent with our pay positioning philosophy of targeting target total cash</w:t>
            </w:r>
          </w:p>
        </w:tc>
      </w:tr>
      <w:tr>
        <w:trPr>
          <w:trHeight w:val="244"/>
        </w:trPr>
        <w:tc>
          <w:tcPr>
            <w:tcW w:w="4200" w:type="dxa"/>
            <w:vAlign w:val="bottom"/>
          </w:tcPr>
          <w:p>
            <w:pPr>
              <w:spacing w:after="0"/>
              <w:rPr>
                <w:sz w:val="21"/>
                <w:szCs w:val="21"/>
                <w:color w:val="auto"/>
              </w:rPr>
            </w:pPr>
          </w:p>
        </w:tc>
        <w:tc>
          <w:tcPr>
            <w:tcW w:w="6380" w:type="dxa"/>
            <w:vAlign w:val="bottom"/>
          </w:tcPr>
          <w:p>
            <w:pPr>
              <w:ind w:left="680"/>
              <w:spacing w:after="0" w:line="245" w:lineRule="exact"/>
              <w:rPr>
                <w:sz w:val="20"/>
                <w:szCs w:val="20"/>
                <w:color w:val="auto"/>
              </w:rPr>
            </w:pPr>
            <w:r>
              <w:rPr>
                <w:rFonts w:ascii="Times New Roman" w:cs="Times New Roman" w:eastAsia="Times New Roman" w:hAnsi="Times New Roman"/>
                <w:sz w:val="18"/>
                <w:szCs w:val="18"/>
                <w:color w:val="auto"/>
              </w:rPr>
              <w:t>compensation at the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8"/>
                <w:szCs w:val="18"/>
                <w:color w:val="auto"/>
              </w:rPr>
              <w:t xml:space="preserve"> percentile of similarly situated executives at</w:t>
            </w:r>
          </w:p>
        </w:tc>
      </w:tr>
      <w:tr>
        <w:trPr>
          <w:trHeight w:val="234"/>
        </w:trPr>
        <w:tc>
          <w:tcPr>
            <w:tcW w:w="4200" w:type="dxa"/>
            <w:vAlign w:val="bottom"/>
          </w:tcPr>
          <w:p>
            <w:pPr>
              <w:spacing w:after="0"/>
              <w:rPr>
                <w:sz w:val="20"/>
                <w:szCs w:val="20"/>
                <w:color w:val="auto"/>
              </w:rPr>
            </w:pPr>
          </w:p>
        </w:tc>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comparable companies based on our peer group.</w:t>
            </w:r>
          </w:p>
        </w:tc>
      </w:tr>
      <w:tr>
        <w:trPr>
          <w:trHeight w:val="27"/>
        </w:trPr>
        <w:tc>
          <w:tcPr>
            <w:tcW w:w="4200" w:type="dxa"/>
            <w:vAlign w:val="bottom"/>
            <w:tcBorders>
              <w:bottom w:val="single" w:sz="8" w:color="512373"/>
            </w:tcBorders>
          </w:tcPr>
          <w:p>
            <w:pPr>
              <w:spacing w:after="0"/>
              <w:rPr>
                <w:sz w:val="2"/>
                <w:szCs w:val="2"/>
                <w:color w:val="auto"/>
              </w:rPr>
            </w:pPr>
          </w:p>
        </w:tc>
        <w:tc>
          <w:tcPr>
            <w:tcW w:w="6380" w:type="dxa"/>
            <w:vAlign w:val="bottom"/>
            <w:tcBorders>
              <w:bottom w:val="single" w:sz="8" w:color="auto"/>
            </w:tcBorders>
          </w:tcPr>
          <w:p>
            <w:pPr>
              <w:spacing w:after="0"/>
              <w:rPr>
                <w:sz w:val="2"/>
                <w:szCs w:val="2"/>
                <w:color w:val="auto"/>
              </w:rPr>
            </w:pPr>
          </w:p>
        </w:tc>
      </w:tr>
    </w:tbl>
    <w:p>
      <w:pPr>
        <w:spacing w:after="0"/>
        <w:rPr>
          <w:sz w:val="20"/>
          <w:szCs w:val="20"/>
          <w:color w:val="auto"/>
        </w:rPr>
        <w:sectPr>
          <w:pgSz w:w="11900" w:h="16838" w:orient="portrait"/>
          <w:cols w:equalWidth="0" w:num="1">
            <w:col w:w="11240"/>
          </w:cols>
          <w:pgMar w:left="320" w:top="1427" w:right="339" w:bottom="1440" w:gutter="0" w:footer="0" w:header="0"/>
        </w:sectPr>
      </w:pPr>
      <w:r>
        <w:rPr>
          <w:sz w:val="20"/>
          <w:szCs w:val="20"/>
          <w:color w:val="auto"/>
        </w:rPr>
        <w:drawing>
          <wp:anchor simplePos="0" relativeHeight="251657728" behindDoc="1" locked="0" layoutInCell="0" allowOverlap="1">
            <wp:simplePos x="0" y="0"/>
            <wp:positionH relativeFrom="page">
              <wp:posOffset>619760</wp:posOffset>
            </wp:positionH>
            <wp:positionV relativeFrom="page">
              <wp:posOffset>757555</wp:posOffset>
            </wp:positionV>
            <wp:extent cx="67208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221" w:lineRule="exact"/>
        <w:rPr>
          <w:sz w:val="20"/>
          <w:szCs w:val="20"/>
          <w:color w:val="auto"/>
        </w:rPr>
      </w:pPr>
    </w:p>
    <w:p>
      <w:pPr>
        <w:ind w:left="680" w:right="450"/>
        <w:spacing w:after="0" w:line="286" w:lineRule="auto"/>
        <w:rPr>
          <w:sz w:val="20"/>
          <w:szCs w:val="20"/>
          <w:color w:val="auto"/>
        </w:rPr>
      </w:pPr>
      <w:r>
        <w:rPr>
          <w:rFonts w:ascii="Times New Roman" w:cs="Times New Roman" w:eastAsia="Times New Roman" w:hAnsi="Times New Roman"/>
          <w:sz w:val="18"/>
          <w:szCs w:val="18"/>
          <w:b w:val="1"/>
          <w:bCs w:val="1"/>
          <w:color w:val="auto"/>
        </w:rPr>
        <w:t>Annual Cash Incentives Paid 65% Based on Corporate Performance</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330" w:right="80" w:hanging="330"/>
        <w:spacing w:after="0" w:line="239" w:lineRule="auto"/>
        <w:tabs>
          <w:tab w:leader="none" w:pos="32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Based on our achievement of our corporate performance goals during 2025, our named executive officers’ annual incentives tied to corporate performance were paid out at 65%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172720</wp:posOffset>
            </wp:positionV>
            <wp:extent cx="67208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208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90" w:space="720"/>
            <w:col w:w="6030"/>
          </w:cols>
          <w:pgMar w:left="320" w:top="1427" w:right="339" w:bottom="1440" w:gutter="0" w:footer="0" w:header="0"/>
          <w:type w:val="continuous"/>
        </w:sect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60" w:type="dxa"/>
            <w:vAlign w:val="bottom"/>
          </w:tcPr>
          <w:p>
            <w:pPr>
              <w:spacing w:after="0"/>
              <w:rPr>
                <w:sz w:val="22"/>
                <w:szCs w:val="22"/>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Incentive Compensation in Form of</w:t>
            </w:r>
          </w:p>
        </w:tc>
        <w:tc>
          <w:tcPr>
            <w:tcW w:w="64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Our named executive officers received stock options which vest over four</w:t>
            </w:r>
          </w:p>
        </w:tc>
      </w:tr>
      <w:tr>
        <w:trPr>
          <w:trHeight w:val="270"/>
        </w:trPr>
        <w:tc>
          <w:tcPr>
            <w:tcW w:w="660" w:type="dxa"/>
            <w:vAlign w:val="bottom"/>
          </w:tcPr>
          <w:p>
            <w:pPr>
              <w:spacing w:after="0"/>
              <w:rPr>
                <w:sz w:val="23"/>
                <w:szCs w:val="23"/>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 Options Over Multi-Year Periods</w:t>
            </w:r>
          </w:p>
        </w:tc>
        <w:tc>
          <w:tcPr>
            <w:tcW w:w="64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years.</w:t>
            </w:r>
          </w:p>
        </w:tc>
      </w:tr>
      <w:tr>
        <w:trPr>
          <w:trHeight w:val="454"/>
        </w:trPr>
        <w:tc>
          <w:tcPr>
            <w:tcW w:w="6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48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Stock options are an important vehicle for tying executive pay to</w:t>
            </w:r>
          </w:p>
        </w:tc>
      </w:tr>
      <w:tr>
        <w:trPr>
          <w:trHeight w:val="216"/>
        </w:trPr>
        <w:tc>
          <w:tcPr>
            <w:tcW w:w="6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4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performance, because they deliver future value only if the value of</w:t>
            </w:r>
          </w:p>
        </w:tc>
      </w:tr>
      <w:tr>
        <w:trPr>
          <w:trHeight w:val="216"/>
        </w:trPr>
        <w:tc>
          <w:tcPr>
            <w:tcW w:w="6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4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our Common Stock increases above the exercise price. As a result,</w:t>
            </w:r>
          </w:p>
        </w:tc>
      </w:tr>
      <w:tr>
        <w:trPr>
          <w:trHeight w:val="216"/>
        </w:trPr>
        <w:tc>
          <w:tcPr>
            <w:tcW w:w="6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4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they provide strong incentives for our executive officers to increase</w:t>
            </w:r>
          </w:p>
        </w:tc>
      </w:tr>
      <w:tr>
        <w:trPr>
          <w:trHeight w:val="216"/>
        </w:trPr>
        <w:tc>
          <w:tcPr>
            <w:tcW w:w="6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4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the value of our Common Stock over the long term, and they tightly</w:t>
            </w:r>
          </w:p>
        </w:tc>
      </w:tr>
      <w:tr>
        <w:trPr>
          <w:trHeight w:val="234"/>
        </w:trPr>
        <w:tc>
          <w:tcPr>
            <w:tcW w:w="6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64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align the interests of our executives with those of our stockholders.</w:t>
            </w:r>
          </w:p>
        </w:tc>
      </w:tr>
      <w:tr>
        <w:trPr>
          <w:trHeight w:val="414"/>
        </w:trPr>
        <w:tc>
          <w:tcPr>
            <w:tcW w:w="6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4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   In 2025, our named executive officers also received PSUs, which vest</w:t>
            </w:r>
          </w:p>
        </w:tc>
      </w:tr>
      <w:tr>
        <w:trPr>
          <w:trHeight w:val="234"/>
        </w:trPr>
        <w:tc>
          <w:tcPr>
            <w:tcW w:w="6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64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upon the achievement of certain performance milestones.</w:t>
            </w:r>
          </w:p>
        </w:tc>
      </w:tr>
      <w:tr>
        <w:trPr>
          <w:trHeight w:val="27"/>
        </w:trPr>
        <w:tc>
          <w:tcPr>
            <w:tcW w:w="66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6480" w:type="dxa"/>
            <w:vAlign w:val="bottom"/>
            <w:tcBorders>
              <w:bottom w:val="single" w:sz="8" w:color="auto"/>
            </w:tcBorders>
          </w:tcPr>
          <w:p>
            <w:pPr>
              <w:spacing w:after="0"/>
              <w:rPr>
                <w:sz w:val="2"/>
                <w:szCs w:val="2"/>
                <w:color w:val="auto"/>
              </w:rPr>
            </w:pPr>
          </w:p>
        </w:tc>
      </w:tr>
      <w:tr>
        <w:trPr>
          <w:trHeight w:val="898"/>
        </w:trPr>
        <w:tc>
          <w:tcPr>
            <w:tcW w:w="6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4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39</w:t>
            </w:r>
          </w:p>
        </w:tc>
      </w:tr>
      <w:tr>
        <w:trPr>
          <w:trHeight w:val="115"/>
        </w:trPr>
        <w:tc>
          <w:tcPr>
            <w:tcW w:w="66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6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Our Executive Compensation Practices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endeavor to maintain sound executive compensation policies and practices consistent with our executive compensation philosophy. The following table highlights some of our executive compensation policies and practices, which are structured to drive performance and align our executives’ interests with our stockholders’ long-term interests:</w:t>
      </w:r>
    </w:p>
    <w:p>
      <w:pPr>
        <w:spacing w:after="0" w:line="21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OUR EXECUTIVE COMPENSATION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p>
      <w:pPr>
        <w:spacing w:after="0" w:line="50" w:lineRule="exact"/>
        <w:rPr>
          <w:sz w:val="20"/>
          <w:szCs w:val="20"/>
          <w:color w:val="auto"/>
        </w:rPr>
      </w:pPr>
    </w:p>
    <w:p>
      <w:pPr>
        <w:ind w:left="340" w:hanging="314"/>
        <w:spacing w:after="0" w:line="284" w:lineRule="auto"/>
        <w:tabs>
          <w:tab w:leader="none" w:pos="340" w:val="left"/>
        </w:tabs>
        <w:numPr>
          <w:ilvl w:val="0"/>
          <w:numId w:val="41"/>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7"/>
          <w:szCs w:val="17"/>
          <w:b w:val="1"/>
          <w:bCs w:val="1"/>
          <w:color w:val="auto"/>
        </w:rPr>
        <w:t xml:space="preserve">Pay for Performance. </w:t>
      </w:r>
      <w:r>
        <w:rPr>
          <w:rFonts w:ascii="Times New Roman" w:cs="Times New Roman" w:eastAsia="Times New Roman" w:hAnsi="Times New Roman"/>
          <w:sz w:val="17"/>
          <w:szCs w:val="17"/>
          <w:color w:val="auto"/>
        </w:rPr>
        <w:t>We design our executive compensation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program to align pay with company performance.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320" w:hanging="320"/>
        <w:spacing w:after="0" w:line="237" w:lineRule="auto"/>
        <w:tabs>
          <w:tab w:leader="none" w:pos="320" w:val="left"/>
        </w:tabs>
        <w:numPr>
          <w:ilvl w:val="0"/>
          <w:numId w:val="4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 xml:space="preserve">No Special Health or Welfare Benefits for Executives. </w:t>
      </w:r>
      <w:r>
        <w:rPr>
          <w:rFonts w:ascii="Times New Roman" w:cs="Times New Roman" w:eastAsia="Times New Roman" w:hAnsi="Times New Roman"/>
          <w:sz w:val="18"/>
          <w:szCs w:val="18"/>
          <w:color w:val="auto"/>
        </w:rPr>
        <w:t>Our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participate in broad-based, company-sponsored health and welfare benefits programs on the same basis as our other full-time, salaried employees.</w:t>
      </w:r>
    </w:p>
    <w:p>
      <w:pPr>
        <w:spacing w:after="0" w:line="6" w:lineRule="exact"/>
        <w:rPr>
          <w:sz w:val="20"/>
          <w:szCs w:val="20"/>
          <w:color w:val="auto"/>
        </w:rPr>
      </w:pPr>
    </w:p>
    <w:p>
      <w:pPr>
        <w:sectPr>
          <w:pgSz w:w="11900" w:h="16838" w:orient="portrait"/>
          <w:cols w:equalWidth="0" w:num="2">
            <w:col w:w="4840" w:space="680"/>
            <w:col w:w="5680"/>
          </w:cols>
          <w:pgMar w:left="320" w:top="1251" w:right="379" w:bottom="1440" w:gutter="0" w:footer="0" w:header="0"/>
          <w:type w:val="continuous"/>
        </w:sectPr>
      </w:pPr>
    </w:p>
    <w:p>
      <w:pPr>
        <w:ind w:left="340" w:right="160" w:hanging="314"/>
        <w:spacing w:after="0" w:line="237" w:lineRule="auto"/>
        <w:tabs>
          <w:tab w:leader="none" w:pos="340" w:val="left"/>
        </w:tabs>
        <w:numPr>
          <w:ilvl w:val="0"/>
          <w:numId w:val="43"/>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 xml:space="preserve">Significant Portion of Compensation is at Risk. </w:t>
      </w:r>
      <w:r>
        <w:rPr>
          <w:rFonts w:ascii="Times New Roman" w:cs="Times New Roman" w:eastAsia="Times New Roman" w:hAnsi="Times New Roman"/>
          <w:sz w:val="18"/>
          <w:szCs w:val="18"/>
          <w:color w:val="auto"/>
        </w:rPr>
        <w:t>Under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compensation program, a significant portion of compensation is “at risk” based on our performance to align the interests of our executive officers and stockholders</w:t>
      </w:r>
    </w:p>
    <w:p>
      <w:pPr>
        <w:spacing w:after="0" w:line="5" w:lineRule="exact"/>
        <w:rPr>
          <w:rFonts w:ascii="Wingdings" w:cs="Wingdings" w:eastAsia="Wingdings" w:hAnsi="Wingdings"/>
          <w:sz w:val="18"/>
          <w:szCs w:val="18"/>
          <w:b w:val="1"/>
          <w:bCs w:val="1"/>
          <w:color w:val="auto"/>
          <w:highlight w:val="black"/>
        </w:rPr>
      </w:pPr>
    </w:p>
    <w:p>
      <w:pPr>
        <w:ind w:left="340" w:hanging="314"/>
        <w:spacing w:after="0" w:line="233" w:lineRule="auto"/>
        <w:tabs>
          <w:tab w:leader="none" w:pos="340" w:val="left"/>
        </w:tabs>
        <w:numPr>
          <w:ilvl w:val="0"/>
          <w:numId w:val="43"/>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 xml:space="preserve">Independent Compensation Committee and Compensation Advisor. </w:t>
      </w:r>
      <w:r>
        <w:rPr>
          <w:rFonts w:ascii="Times New Roman" w:cs="Times New Roman" w:eastAsia="Times New Roman" w:hAnsi="Times New Roman"/>
          <w:sz w:val="18"/>
          <w:szCs w:val="18"/>
          <w:color w:val="auto"/>
        </w:rPr>
        <w:t>The compensation committee is comprised solely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directors. The compensation committee engages its own compensation consultant to assist with making compensation decisions.</w:t>
      </w:r>
    </w:p>
    <w:p>
      <w:pPr>
        <w:spacing w:after="0" w:line="20" w:lineRule="exact"/>
        <w:rPr>
          <w:sz w:val="20"/>
          <w:szCs w:val="20"/>
          <w:color w:val="auto"/>
        </w:rPr>
      </w:pPr>
      <w:r>
        <w:rPr>
          <w:sz w:val="20"/>
          <w:szCs w:val="20"/>
          <w:color w:val="auto"/>
        </w:rPr>
        <w:br w:type="column"/>
      </w:r>
    </w:p>
    <w:p>
      <w:pPr>
        <w:ind w:left="320" w:right="80" w:hanging="320"/>
        <w:spacing w:after="0" w:line="245" w:lineRule="auto"/>
        <w:tabs>
          <w:tab w:leader="none" w:pos="320" w:val="left"/>
        </w:tabs>
        <w:numPr>
          <w:ilvl w:val="0"/>
          <w:numId w:val="44"/>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 xml:space="preserve">No Post-Employment Tax Gross-Ups. </w:t>
      </w:r>
      <w:r>
        <w:rPr>
          <w:rFonts w:ascii="Times New Roman" w:cs="Times New Roman" w:eastAsia="Times New Roman" w:hAnsi="Times New Roman"/>
          <w:sz w:val="18"/>
          <w:szCs w:val="18"/>
          <w:color w:val="auto"/>
        </w:rPr>
        <w:t>We do not provide any post-employment tax reimbursement payments (including “gross-ups”) on any severance or change-in-control payments or benefits</w:t>
      </w:r>
    </w:p>
    <w:p>
      <w:pPr>
        <w:spacing w:after="0" w:line="189" w:lineRule="exact"/>
        <w:rPr>
          <w:rFonts w:ascii="Wingdings" w:cs="Wingdings" w:eastAsia="Wingdings" w:hAnsi="Wingdings"/>
          <w:sz w:val="18"/>
          <w:szCs w:val="18"/>
          <w:b w:val="1"/>
          <w:bCs w:val="1"/>
          <w:color w:val="auto"/>
          <w:highlight w:val="black"/>
        </w:rPr>
      </w:pPr>
    </w:p>
    <w:p>
      <w:pPr>
        <w:ind w:left="320" w:right="80" w:hanging="320"/>
        <w:spacing w:after="0" w:line="237" w:lineRule="auto"/>
        <w:tabs>
          <w:tab w:leader="none" w:pos="320" w:val="left"/>
        </w:tabs>
        <w:numPr>
          <w:ilvl w:val="0"/>
          <w:numId w:val="44"/>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 xml:space="preserve">Prohibition on Hedging and Pledging. </w:t>
      </w:r>
      <w:r>
        <w:rPr>
          <w:rFonts w:ascii="Times New Roman" w:cs="Times New Roman" w:eastAsia="Times New Roman" w:hAnsi="Times New Roman"/>
          <w:sz w:val="18"/>
          <w:szCs w:val="18"/>
          <w:color w:val="auto"/>
        </w:rPr>
        <w:t>Our insider trading policy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prohibits our employees (including executive officers) and directors from engaging in hedging or short-term speculative transactions involving our securities.</w:t>
      </w:r>
    </w:p>
    <w:p>
      <w:pPr>
        <w:spacing w:after="0" w:line="195" w:lineRule="exact"/>
        <w:rPr>
          <w:sz w:val="20"/>
          <w:szCs w:val="20"/>
          <w:color w:val="auto"/>
        </w:rPr>
      </w:pPr>
    </w:p>
    <w:p>
      <w:pPr>
        <w:sectPr>
          <w:pgSz w:w="11900" w:h="16838" w:orient="portrait"/>
          <w:cols w:equalWidth="0" w:num="2">
            <w:col w:w="5080" w:space="440"/>
            <w:col w:w="5680"/>
          </w:cols>
          <w:pgMar w:left="320" w:top="1251" w:right="379" w:bottom="1440" w:gutter="0" w:footer="0" w:header="0"/>
          <w:type w:val="continuous"/>
        </w:sectPr>
      </w:pPr>
    </w:p>
    <w:p>
      <w:pPr>
        <w:ind w:left="340" w:hanging="314"/>
        <w:spacing w:after="0" w:line="237" w:lineRule="auto"/>
        <w:tabs>
          <w:tab w:leader="none" w:pos="340" w:val="left"/>
        </w:tabs>
        <w:numPr>
          <w:ilvl w:val="0"/>
          <w:numId w:val="45"/>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 xml:space="preserve">Competitive Peer Group. </w:t>
      </w:r>
      <w:r>
        <w:rPr>
          <w:rFonts w:ascii="Times New Roman" w:cs="Times New Roman" w:eastAsia="Times New Roman" w:hAnsi="Times New Roman"/>
          <w:sz w:val="18"/>
          <w:szCs w:val="18"/>
          <w:color w:val="auto"/>
        </w:rPr>
        <w:t>Our compensation committee selects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peers from biotechnology and pharmaceutical companies that are similar to us with respect to market capitalization, headcount and commercialization stage.</w:t>
      </w:r>
    </w:p>
    <w:p>
      <w:pPr>
        <w:spacing w:after="0" w:line="5" w:lineRule="exact"/>
        <w:rPr>
          <w:rFonts w:ascii="Wingdings" w:cs="Wingdings" w:eastAsia="Wingdings" w:hAnsi="Wingdings"/>
          <w:sz w:val="18"/>
          <w:szCs w:val="18"/>
          <w:b w:val="1"/>
          <w:bCs w:val="1"/>
          <w:color w:val="auto"/>
          <w:highlight w:val="black"/>
        </w:rPr>
      </w:pPr>
    </w:p>
    <w:p>
      <w:pPr>
        <w:ind w:left="340" w:right="140" w:hanging="314"/>
        <w:spacing w:after="0" w:line="237" w:lineRule="auto"/>
        <w:tabs>
          <w:tab w:leader="none" w:pos="340" w:val="left"/>
        </w:tabs>
        <w:numPr>
          <w:ilvl w:val="0"/>
          <w:numId w:val="45"/>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 xml:space="preserve">Multi-Year Vesting Requirements for Equity Awards.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awards granted to our executive officers vest over multi-year periods, consistent with current market practice and our retention objectives</w:t>
      </w:r>
    </w:p>
    <w:p>
      <w:pPr>
        <w:spacing w:after="0" w:line="5" w:lineRule="exact"/>
        <w:rPr>
          <w:rFonts w:ascii="Wingdings" w:cs="Wingdings" w:eastAsia="Wingdings" w:hAnsi="Wingdings"/>
          <w:sz w:val="18"/>
          <w:szCs w:val="18"/>
          <w:b w:val="1"/>
          <w:bCs w:val="1"/>
          <w:color w:val="auto"/>
          <w:highlight w:val="black"/>
        </w:rPr>
      </w:pPr>
    </w:p>
    <w:p>
      <w:pPr>
        <w:jc w:val="both"/>
        <w:ind w:left="340" w:right="20" w:hanging="314"/>
        <w:spacing w:after="0" w:line="237" w:lineRule="auto"/>
        <w:tabs>
          <w:tab w:leader="none" w:pos="340" w:val="left"/>
        </w:tabs>
        <w:numPr>
          <w:ilvl w:val="0"/>
          <w:numId w:val="45"/>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 xml:space="preserve">Clawback Policy. </w:t>
      </w:r>
      <w:r>
        <w:rPr>
          <w:rFonts w:ascii="Times New Roman" w:cs="Times New Roman" w:eastAsia="Times New Roman" w:hAnsi="Times New Roman"/>
          <w:sz w:val="18"/>
          <w:szCs w:val="18"/>
          <w:color w:val="auto"/>
        </w:rPr>
        <w:t>We maintain a clawback policy as required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 and Nasdaq rules to recover erroneously awarded incentive compensation from our current and former executive officers in the event of an accounting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9525</wp:posOffset>
            </wp:positionV>
            <wp:extent cx="32918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20" w:right="80" w:hanging="320"/>
        <w:spacing w:after="0" w:line="245" w:lineRule="auto"/>
        <w:tabs>
          <w:tab w:leader="none" w:pos="320" w:val="left"/>
        </w:tabs>
        <w:numPr>
          <w:ilvl w:val="0"/>
          <w:numId w:val="46"/>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 xml:space="preserve">“Double Trigger” Change in Control Benefits. </w:t>
      </w:r>
      <w:r>
        <w:rPr>
          <w:rFonts w:ascii="Times New Roman" w:cs="Times New Roman" w:eastAsia="Times New Roman" w:hAnsi="Times New Roman"/>
          <w:sz w:val="18"/>
          <w:szCs w:val="18"/>
          <w:color w:val="auto"/>
        </w:rPr>
        <w:t>The employment letters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our executive officers do not include any “single trigger” change in control severance benefits</w:t>
      </w:r>
    </w:p>
    <w:p>
      <w:pPr>
        <w:spacing w:after="0" w:line="189" w:lineRule="exact"/>
        <w:rPr>
          <w:rFonts w:ascii="Wingdings" w:cs="Wingdings" w:eastAsia="Wingdings" w:hAnsi="Wingdings"/>
          <w:sz w:val="18"/>
          <w:szCs w:val="18"/>
          <w:b w:val="1"/>
          <w:bCs w:val="1"/>
          <w:color w:val="auto"/>
          <w:highlight w:val="black"/>
        </w:rPr>
      </w:pPr>
    </w:p>
    <w:p>
      <w:pPr>
        <w:ind w:left="320" w:right="20" w:hanging="320"/>
        <w:spacing w:after="0" w:line="237" w:lineRule="auto"/>
        <w:tabs>
          <w:tab w:leader="none" w:pos="320" w:val="left"/>
        </w:tabs>
        <w:numPr>
          <w:ilvl w:val="0"/>
          <w:numId w:val="46"/>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 xml:space="preserve">Annual Market Review of Executive Compensation. </w:t>
      </w:r>
      <w:r>
        <w:rPr>
          <w:rFonts w:ascii="Times New Roman" w:cs="Times New Roman" w:eastAsia="Times New Roman" w:hAnsi="Times New Roman"/>
          <w:sz w:val="18"/>
          <w:szCs w:val="18"/>
          <w:color w:val="auto"/>
        </w:rPr>
        <w:t>The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and its compensation consultant annually assess competitiveness and market alignment of our compensation plans and practices.</w:t>
      </w:r>
    </w:p>
    <w:p>
      <w:pPr>
        <w:spacing w:after="0" w:line="5" w:lineRule="exact"/>
        <w:rPr>
          <w:rFonts w:ascii="Wingdings" w:cs="Wingdings" w:eastAsia="Wingdings" w:hAnsi="Wingdings"/>
          <w:sz w:val="18"/>
          <w:szCs w:val="18"/>
          <w:b w:val="1"/>
          <w:bCs w:val="1"/>
          <w:color w:val="auto"/>
          <w:highlight w:val="black"/>
        </w:rPr>
      </w:pPr>
    </w:p>
    <w:p>
      <w:pPr>
        <w:ind w:left="320" w:right="100" w:hanging="320"/>
        <w:spacing w:after="0" w:line="237" w:lineRule="auto"/>
        <w:tabs>
          <w:tab w:leader="none" w:pos="320" w:val="left"/>
        </w:tabs>
        <w:numPr>
          <w:ilvl w:val="0"/>
          <w:numId w:val="46"/>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 xml:space="preserve">Minimize Inappropriate Risk Taking. </w:t>
      </w:r>
      <w:r>
        <w:rPr>
          <w:rFonts w:ascii="Times New Roman" w:cs="Times New Roman" w:eastAsia="Times New Roman" w:hAnsi="Times New Roman"/>
          <w:sz w:val="18"/>
          <w:szCs w:val="18"/>
          <w:color w:val="auto"/>
        </w:rPr>
        <w:t>Our compensation program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weighted toward long-term incentive compensation to discourage short-term risk taking, and it includes multiple performance measures and caps on short-term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9525</wp:posOffset>
            </wp:positionV>
            <wp:extent cx="34461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40" w:space="480"/>
            <w:col w:w="5680"/>
          </w:cols>
          <w:pgMar w:left="320" w:top="1251" w:right="379"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recognize that the ability to excel depends on the integrity, knowledge, imagination, skill, diversity and teamwork of our employees. To this end, the key objectives of our executive compensation program are:</w:t>
      </w:r>
    </w:p>
    <w:p>
      <w:pPr>
        <w:spacing w:after="0" w:line="162" w:lineRule="exact"/>
        <w:rPr>
          <w:sz w:val="20"/>
          <w:szCs w:val="20"/>
          <w:color w:val="auto"/>
        </w:rPr>
      </w:pPr>
    </w:p>
    <w:p>
      <w:pPr>
        <w:ind w:left="660" w:right="98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attract, engage and retain an executive team who will provide leadership for our future success by providing competitive total pay opportunities.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a direct link between our business results, individual executive performance and total executive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align the interests of our named executive officers with those of our stockholders.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Compensation Determination Process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w:t>
      </w:r>
    </w:p>
    <w:p>
      <w:pPr>
        <w:spacing w:after="0" w:line="229"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The compensation committee of the Board develops, reviews and approves each of the elements of our executive compensation program. The compensation committee also regularly assesses the effectiveness and competitiveness of our compensation programs.</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first quarter of each year, the compensation committee reviews the performance of each of our named executive officers during the previous year. At this time, the compensation committee also reviews our performance relative to the corporate performance objectives set by the Board for the year under review and makes the final bonus payment determinations based on our overall corporate performance and the compensation committee’s evaluation of each named executive officer’s performance for the year under review. In connection with this review, the compensation committee also reviews and adjusts, as appropriate, annual base salaries for our named executive officers and grants, as appropriate, additional equity awards to our named executive officers and certain other eligible employees.</w:t>
      </w:r>
    </w:p>
    <w:p>
      <w:pPr>
        <w:spacing w:after="0" w:line="18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the fourth quarter of each year, our compensation committee also reviews the corporate performance objectives for purposes of our performance bonus programs for the following year and makes recommendations regarding these objectives to the full Board for its approval.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Our Executive Officers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Chief Executive Officer, with the assistance and support of our General Counsel and our human resources department, aids the compensation committee by providing annual recommendations regarding the compensation of our other named executive officers. The compensation committee also, on occasion, meets with our Chief Executive Officer to obtain recommendations with respect to our compensation programs and practices generally. The compensation committee considers, but is not bound to accept, the Chief Executive Officer’s recommendations with respect to named executive officer compensation.</w:t>
      </w:r>
    </w:p>
    <w:p>
      <w:pPr>
        <w:spacing w:after="0" w:line="18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Chief Executive Officer generally attends all of the compensation committee meetings, but the compensation committee also holds executive sessions that are not attended by any members of management or non-independent directors, as needed from time to time. Any deliberations or decisions regarding our Chief Executive Officer’s compensation are made without him present.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 and Comparable Company Information</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compensation committee is authorized to retain the services of third-party compensation consultants and other outside advisors, from time to time, to assist in its evaluation of executive compensation, including the authority to approve the consultant’s reasonable fees and other retention terms.</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2025, the compensation committee retained Alpine Rewards as its independent third-party compensation consulting firm for guidance in making compensation decisions. Specifically, for 2025, the compensation committee requested Alpine Rewards to advise it on a variety of compensation-related issues, including:</w:t>
      </w:r>
    </w:p>
    <w:p>
      <w:pPr>
        <w:spacing w:after="0" w:line="176" w:lineRule="exact"/>
        <w:rPr>
          <w:sz w:val="20"/>
          <w:szCs w:val="20"/>
          <w:color w:val="auto"/>
        </w:rPr>
      </w:pPr>
    </w:p>
    <w:p>
      <w:pPr>
        <w:ind w:left="660" w:right="42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 analysis of current practices of comparable public companies to assist the compensation committee in developing director and executive compensation levels;</w:t>
      </w:r>
    </w:p>
    <w:p>
      <w:pPr>
        <w:spacing w:after="0" w:line="16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peer group to determine whether additional or different peer companies or groups would be necessary to provide appropriate information on market practices and compensation levels;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general information concerning director and executive compensation trends and developments.</w:t>
      </w:r>
    </w:p>
    <w:p>
      <w:pPr>
        <w:spacing w:after="0" w:line="22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Alpine Rewards did not provide any other services to us in 2025 beyond their engagement as an advisor to the compensation committee on director and executive compensation matters. The compensation committee assessed the independence of Alpine Rewards pursuant to SEC and Nasdaq rules and concluded that Alpine Rewards is independent and no conflict of interest existed that would have prevented Alpine Rewards from serving as an independent consultant to the compensation committee currently or during 2025.</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Positioning</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compensation committee reviews our peer group annually to reflect changes in market capitalization and other factors, including acquisitions, and revises the companies included in the peer group accordingly. For 2025, Alpine Rewards assisted the compensation committee in identifying an appropriate peer group of companies for use as a reference when determining certain 2025 and 2026 director and executive compensation. The peer group identified below was selected in September 2025 for purposes of setting certain 2025 compensation and the selection criteria identified below were measured at such date.</w:t>
      </w:r>
    </w:p>
    <w:p>
      <w:pPr>
        <w:spacing w:after="0" w:line="1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identified peer group consisted of 19 life sciences companies in similar phases of development as us with the following characteristics was selected based on the following parameters and not on the basis of executive compensation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23488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348865"/>
                    </a:xfrm>
                    <a:prstGeom prst="rect">
                      <a:avLst/>
                    </a:prstGeom>
                    <a:noFill/>
                  </pic:spPr>
                </pic:pic>
              </a:graphicData>
            </a:graphic>
          </wp:anchor>
        </w:drawing>
      </w:r>
    </w:p>
    <w:p>
      <w:pPr>
        <w:sectPr>
          <w:pgSz w:w="11900" w:h="16838" w:orient="portrait"/>
          <w:cols w:equalWidth="0" w:num="1">
            <w:col w:w="11260"/>
          </w:cols>
          <w:pgMar w:left="320" w:top="1251" w:right="319" w:bottom="1440" w:gutter="0" w:footer="0" w:header="0"/>
        </w:sectPr>
      </w:pPr>
    </w:p>
    <w:p>
      <w:pPr>
        <w:spacing w:after="0" w:line="227" w:lineRule="exact"/>
        <w:rPr>
          <w:sz w:val="20"/>
          <w:szCs w:val="20"/>
          <w:color w:val="auto"/>
        </w:rPr>
      </w:pPr>
    </w:p>
    <w:p>
      <w:pPr>
        <w:ind w:left="20" w:right="403"/>
        <w:spacing w:after="0" w:line="298" w:lineRule="auto"/>
        <w:rPr>
          <w:sz w:val="20"/>
          <w:szCs w:val="20"/>
          <w:color w:val="auto"/>
        </w:rPr>
      </w:pPr>
      <w:r>
        <w:rPr>
          <w:rFonts w:ascii="Times New Roman" w:cs="Times New Roman" w:eastAsia="Times New Roman" w:hAnsi="Times New Roman"/>
          <w:sz w:val="17"/>
          <w:szCs w:val="17"/>
          <w:i w:val="1"/>
          <w:iCs w:val="1"/>
          <w:color w:val="auto"/>
        </w:rPr>
        <w:t>MARKET CAPITALIZATION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ind w:left="317" w:right="500" w:hanging="317"/>
        <w:spacing w:after="0" w:line="282" w:lineRule="auto"/>
        <w:tabs>
          <w:tab w:leader="none" w:pos="31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between $100M to $800M as of August 2025, representing a range of approximately 0.3x to 3x our market capitalization at the time the peer group was established (approximately $230M).</w:t>
      </w:r>
    </w:p>
    <w:p>
      <w:pPr>
        <w:spacing w:after="0" w:line="158" w:lineRule="exact"/>
        <w:rPr>
          <w:rFonts w:ascii="Times New Roman" w:cs="Times New Roman" w:eastAsia="Times New Roman" w:hAnsi="Times New Roman"/>
          <w:sz w:val="18"/>
          <w:szCs w:val="18"/>
          <w:color w:val="auto"/>
        </w:rPr>
      </w:pPr>
    </w:p>
    <w:p>
      <w:pPr>
        <w:ind w:left="317" w:right="40" w:hanging="317"/>
        <w:spacing w:after="0" w:line="230" w:lineRule="auto"/>
        <w:tabs>
          <w:tab w:leader="none" w:pos="31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capitalization was positioned near the 38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of the peers at the time the peer group was selected in the third quarter of 2025.</w:t>
      </w:r>
    </w:p>
    <w:p>
      <w:pPr>
        <w:spacing w:after="0" w:line="49" w:lineRule="exact"/>
        <w:rPr>
          <w:sz w:val="20"/>
          <w:szCs w:val="20"/>
          <w:color w:val="auto"/>
        </w:rPr>
      </w:pPr>
    </w:p>
    <w:p>
      <w:pPr>
        <w:sectPr>
          <w:pgSz w:w="11900" w:h="16838" w:orient="portrait"/>
          <w:cols w:equalWidth="0" w:num="2">
            <w:col w:w="1803" w:space="720"/>
            <w:col w:w="8737"/>
          </w:cols>
          <w:pgMar w:left="320" w:top="1251"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i w:val="1"/>
          <w:iCs w:val="1"/>
          <w:color w:val="auto"/>
        </w:rPr>
        <w:t>SECTOR AND STAGE</w:t>
      </w:r>
    </w:p>
    <w:p>
      <w:pPr>
        <w:spacing w:after="0" w:line="29" w:lineRule="exact"/>
        <w:rPr>
          <w:sz w:val="20"/>
          <w:szCs w:val="20"/>
          <w:color w:val="auto"/>
        </w:rPr>
      </w:pPr>
    </w:p>
    <w:p>
      <w:pPr>
        <w:ind w:left="2840" w:hanging="317"/>
        <w:spacing w:after="0"/>
        <w:tabs>
          <w:tab w:leader="none" w:pos="28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U.S. biopharma organizations focused on similar therapeutic focus areas.</w:t>
      </w:r>
    </w:p>
    <w:p>
      <w:pPr>
        <w:spacing w:after="0" w:line="206" w:lineRule="exact"/>
        <w:rPr>
          <w:rFonts w:ascii="Times New Roman" w:cs="Times New Roman" w:eastAsia="Times New Roman" w:hAnsi="Times New Roman"/>
          <w:sz w:val="18"/>
          <w:szCs w:val="18"/>
          <w:color w:val="auto"/>
        </w:rPr>
      </w:pPr>
    </w:p>
    <w:p>
      <w:pPr>
        <w:ind w:left="2840" w:right="60" w:firstLine="7"/>
        <w:spacing w:after="0" w:line="261" w:lineRule="auto"/>
        <w:tabs>
          <w:tab w:leader="none" w:pos="3163" w:val="left"/>
        </w:tabs>
        <w:numPr>
          <w:ilvl w:val="1"/>
          <w:numId w:val="50"/>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Emphasis on Phase 2 to 3 companies to reflect our Phase 3 stage of development at the time the peer group was selected</w:t>
      </w:r>
    </w:p>
    <w:p>
      <w:pPr>
        <w:ind w:left="3180" w:hanging="333"/>
        <w:spacing w:after="0"/>
        <w:tabs>
          <w:tab w:leader="none" w:pos="3180" w:val="left"/>
        </w:tabs>
        <w:numPr>
          <w:ilvl w:val="1"/>
          <w:numId w:val="50"/>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Focus on companies that went public in the last five years</w:t>
      </w:r>
    </w:p>
    <w:p>
      <w:pPr>
        <w:spacing w:after="0" w:line="5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HEADCOUNT</w:t>
            </w:r>
          </w:p>
        </w:tc>
        <w:tc>
          <w:tcPr>
            <w:tcW w:w="96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Companies with generally between 50 and 400 employees based on Gossamer’s headcount of 133 employees in</w:t>
            </w:r>
          </w:p>
        </w:tc>
      </w:tr>
      <w:tr>
        <w:trPr>
          <w:trHeight w:val="234"/>
        </w:trPr>
        <w:tc>
          <w:tcPr>
            <w:tcW w:w="1580" w:type="dxa"/>
            <w:vAlign w:val="bottom"/>
          </w:tcPr>
          <w:p>
            <w:pPr>
              <w:spacing w:after="0"/>
              <w:rPr>
                <w:sz w:val="20"/>
                <w:szCs w:val="20"/>
                <w:color w:val="auto"/>
              </w:rPr>
            </w:pPr>
          </w:p>
        </w:tc>
        <w:tc>
          <w:tcPr>
            <w:tcW w:w="47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September 2025.</w:t>
            </w:r>
          </w:p>
        </w:tc>
        <w:tc>
          <w:tcPr>
            <w:tcW w:w="4980" w:type="dxa"/>
            <w:vAlign w:val="bottom"/>
          </w:tcPr>
          <w:p>
            <w:pPr>
              <w:spacing w:after="0"/>
              <w:rPr>
                <w:sz w:val="20"/>
                <w:szCs w:val="20"/>
                <w:color w:val="auto"/>
              </w:rPr>
            </w:pPr>
          </w:p>
        </w:tc>
      </w:tr>
      <w:tr>
        <w:trPr>
          <w:trHeight w:val="27"/>
        </w:trPr>
        <w:tc>
          <w:tcPr>
            <w:tcW w:w="1580" w:type="dxa"/>
            <w:vAlign w:val="bottom"/>
            <w:tcBorders>
              <w:bottom w:val="single" w:sz="8" w:color="7F7F7F"/>
            </w:tcBorders>
          </w:tcPr>
          <w:p>
            <w:pPr>
              <w:spacing w:after="0"/>
              <w:rPr>
                <w:sz w:val="2"/>
                <w:szCs w:val="2"/>
                <w:color w:val="auto"/>
              </w:rPr>
            </w:pPr>
          </w:p>
        </w:tc>
        <w:tc>
          <w:tcPr>
            <w:tcW w:w="9680" w:type="dxa"/>
            <w:vAlign w:val="bottom"/>
            <w:tcBorders>
              <w:bottom w:val="single" w:sz="8" w:color="7F7F7F"/>
            </w:tcBorders>
            <w:gridSpan w:val="2"/>
          </w:tcPr>
          <w:p>
            <w:pPr>
              <w:spacing w:after="0"/>
              <w:rPr>
                <w:sz w:val="2"/>
                <w:szCs w:val="2"/>
                <w:color w:val="auto"/>
              </w:rPr>
            </w:pPr>
          </w:p>
        </w:tc>
      </w:tr>
      <w:tr>
        <w:trPr>
          <w:trHeight w:val="203"/>
        </w:trPr>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GEOGRAPHIC</w:t>
            </w:r>
          </w:p>
        </w:tc>
        <w:tc>
          <w:tcPr>
            <w:tcW w:w="9680" w:type="dxa"/>
            <w:vAlign w:val="bottom"/>
            <w:gridSpan w:val="2"/>
          </w:tcPr>
          <w:p>
            <w:pPr>
              <w:ind w:left="940"/>
              <w:spacing w:after="0" w:line="202" w:lineRule="exact"/>
              <w:rPr>
                <w:sz w:val="20"/>
                <w:szCs w:val="20"/>
                <w:color w:val="auto"/>
              </w:rPr>
            </w:pPr>
            <w:r>
              <w:rPr>
                <w:rFonts w:ascii="Times New Roman" w:cs="Times New Roman" w:eastAsia="Times New Roman" w:hAnsi="Times New Roman"/>
                <w:sz w:val="18"/>
                <w:szCs w:val="18"/>
                <w:color w:val="auto"/>
              </w:rPr>
              <w:t>•   Focused on companies located in Southern California and other biotech talent hubs such as San Francisco Bay Area</w:t>
            </w:r>
          </w:p>
        </w:tc>
      </w:tr>
      <w:tr>
        <w:trPr>
          <w:trHeight w:val="236"/>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LOCATION</w:t>
            </w:r>
          </w:p>
        </w:tc>
        <w:tc>
          <w:tcPr>
            <w:tcW w:w="47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and Boston, where applicable.</w:t>
            </w:r>
          </w:p>
        </w:tc>
        <w:tc>
          <w:tcPr>
            <w:tcW w:w="4980" w:type="dxa"/>
            <w:vAlign w:val="bottom"/>
          </w:tcPr>
          <w:p>
            <w:pPr>
              <w:spacing w:after="0"/>
              <w:rPr>
                <w:sz w:val="20"/>
                <w:szCs w:val="20"/>
                <w:color w:val="auto"/>
              </w:rPr>
            </w:pPr>
          </w:p>
        </w:tc>
      </w:tr>
      <w:tr>
        <w:trPr>
          <w:trHeight w:val="27"/>
        </w:trPr>
        <w:tc>
          <w:tcPr>
            <w:tcW w:w="6280" w:type="dxa"/>
            <w:vAlign w:val="bottom"/>
            <w:tcBorders>
              <w:bottom w:val="single" w:sz="8" w:color="7F7F7F"/>
            </w:tcBorders>
            <w:gridSpan w:val="2"/>
          </w:tcPr>
          <w:p>
            <w:pPr>
              <w:spacing w:after="0"/>
              <w:rPr>
                <w:sz w:val="2"/>
                <w:szCs w:val="2"/>
                <w:color w:val="auto"/>
              </w:rPr>
            </w:pPr>
          </w:p>
        </w:tc>
        <w:tc>
          <w:tcPr>
            <w:tcW w:w="4980" w:type="dxa"/>
            <w:vAlign w:val="bottom"/>
            <w:tcBorders>
              <w:bottom w:val="single" w:sz="8" w:color="7F7F7F"/>
            </w:tcBorders>
          </w:tcPr>
          <w:p>
            <w:pPr>
              <w:spacing w:after="0"/>
              <w:rPr>
                <w:sz w:val="2"/>
                <w:szCs w:val="2"/>
                <w:color w:val="auto"/>
              </w:rPr>
            </w:pPr>
          </w:p>
        </w:tc>
      </w:tr>
      <w:tr>
        <w:trPr>
          <w:trHeight w:val="520"/>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2025, this peer group consisted of the following companies:</w:t>
            </w:r>
          </w:p>
        </w:tc>
        <w:tc>
          <w:tcPr>
            <w:tcW w:w="4980" w:type="dxa"/>
            <w:vAlign w:val="bottom"/>
          </w:tcPr>
          <w:p>
            <w:pPr>
              <w:spacing w:after="0"/>
              <w:rPr>
                <w:sz w:val="24"/>
                <w:szCs w:val="24"/>
                <w:color w:val="auto"/>
              </w:rPr>
            </w:pPr>
          </w:p>
        </w:tc>
      </w:tr>
      <w:tr>
        <w:trPr>
          <w:trHeight w:val="243"/>
        </w:trPr>
        <w:tc>
          <w:tcPr>
            <w:tcW w:w="1580" w:type="dxa"/>
            <w:vAlign w:val="bottom"/>
            <w:tcBorders>
              <w:bottom w:val="single" w:sz="8" w:color="auto"/>
            </w:tcBorders>
          </w:tcPr>
          <w:p>
            <w:pPr>
              <w:spacing w:after="0"/>
              <w:rPr>
                <w:sz w:val="21"/>
                <w:szCs w:val="21"/>
                <w:color w:val="auto"/>
              </w:rPr>
            </w:pPr>
          </w:p>
        </w:tc>
        <w:tc>
          <w:tcPr>
            <w:tcW w:w="4700" w:type="dxa"/>
            <w:vAlign w:val="bottom"/>
            <w:tcBorders>
              <w:bottom w:val="single" w:sz="8" w:color="auto"/>
            </w:tcBorders>
          </w:tcPr>
          <w:p>
            <w:pPr>
              <w:spacing w:after="0"/>
              <w:rPr>
                <w:sz w:val="21"/>
                <w:szCs w:val="21"/>
                <w:color w:val="auto"/>
              </w:rPr>
            </w:pPr>
          </w:p>
        </w:tc>
        <w:tc>
          <w:tcPr>
            <w:tcW w:w="4980" w:type="dxa"/>
            <w:vAlign w:val="bottom"/>
            <w:tcBorders>
              <w:bottom w:val="single" w:sz="8" w:color="auto"/>
            </w:tcBorders>
          </w:tcPr>
          <w:p>
            <w:pPr>
              <w:spacing w:after="0"/>
              <w:rPr>
                <w:sz w:val="21"/>
                <w:szCs w:val="21"/>
                <w:color w:val="auto"/>
              </w:rPr>
            </w:pPr>
          </w:p>
        </w:tc>
      </w:tr>
      <w:tr>
        <w:trPr>
          <w:trHeight w:val="228"/>
        </w:trPr>
        <w:tc>
          <w:tcPr>
            <w:tcW w:w="1580" w:type="dxa"/>
            <w:vAlign w:val="bottom"/>
            <w:tcBorders>
              <w:left w:val="single" w:sz="8" w:color="auto"/>
            </w:tcBorders>
          </w:tcPr>
          <w:p>
            <w:pPr>
              <w:spacing w:after="0"/>
              <w:rPr>
                <w:sz w:val="19"/>
                <w:szCs w:val="19"/>
                <w:color w:val="auto"/>
              </w:rPr>
            </w:pPr>
          </w:p>
        </w:tc>
        <w:tc>
          <w:tcPr>
            <w:tcW w:w="4700" w:type="dxa"/>
            <w:vAlign w:val="bottom"/>
          </w:tcPr>
          <w:p>
            <w:pPr>
              <w:jc w:val="center"/>
              <w:ind w:right="2130"/>
              <w:spacing w:after="0"/>
              <w:rPr>
                <w:sz w:val="20"/>
                <w:szCs w:val="20"/>
                <w:color w:val="auto"/>
              </w:rPr>
            </w:pPr>
            <w:r>
              <w:rPr>
                <w:rFonts w:ascii="Times New Roman" w:cs="Times New Roman" w:eastAsia="Times New Roman" w:hAnsi="Times New Roman"/>
                <w:sz w:val="18"/>
                <w:szCs w:val="18"/>
                <w:color w:val="auto"/>
                <w:w w:val="96"/>
              </w:rPr>
              <w:t>ACELYRIN</w:t>
            </w:r>
          </w:p>
        </w:tc>
        <w:tc>
          <w:tcPr>
            <w:tcW w:w="4980" w:type="dxa"/>
            <w:vAlign w:val="bottom"/>
            <w:tcBorders>
              <w:right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color w:val="auto"/>
                <w:w w:val="99"/>
              </w:rPr>
              <w:t>Fulcrum Therapeutics</w:t>
            </w:r>
          </w:p>
        </w:tc>
      </w:tr>
      <w:tr>
        <w:trPr>
          <w:trHeight w:val="495"/>
        </w:trPr>
        <w:tc>
          <w:tcPr>
            <w:tcW w:w="1580" w:type="dxa"/>
            <w:vAlign w:val="bottom"/>
            <w:tcBorders>
              <w:left w:val="single" w:sz="8" w:color="auto"/>
            </w:tcBorders>
          </w:tcPr>
          <w:p>
            <w:pPr>
              <w:spacing w:after="0"/>
              <w:rPr>
                <w:sz w:val="24"/>
                <w:szCs w:val="24"/>
                <w:color w:val="auto"/>
              </w:rPr>
            </w:pPr>
          </w:p>
        </w:tc>
        <w:tc>
          <w:tcPr>
            <w:tcW w:w="4700" w:type="dxa"/>
            <w:vAlign w:val="bottom"/>
          </w:tcPr>
          <w:p>
            <w:pPr>
              <w:jc w:val="center"/>
              <w:ind w:right="2110"/>
              <w:spacing w:after="0"/>
              <w:rPr>
                <w:sz w:val="20"/>
                <w:szCs w:val="20"/>
                <w:color w:val="auto"/>
              </w:rPr>
            </w:pPr>
            <w:r>
              <w:rPr>
                <w:rFonts w:ascii="Times New Roman" w:cs="Times New Roman" w:eastAsia="Times New Roman" w:hAnsi="Times New Roman"/>
                <w:sz w:val="18"/>
                <w:szCs w:val="18"/>
                <w:color w:val="auto"/>
                <w:w w:val="99"/>
              </w:rPr>
              <w:t>Alector</w:t>
            </w:r>
          </w:p>
        </w:tc>
        <w:tc>
          <w:tcPr>
            <w:tcW w:w="4980" w:type="dxa"/>
            <w:vAlign w:val="bottom"/>
            <w:tcBorders>
              <w:right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color w:val="auto"/>
                <w:w w:val="99"/>
              </w:rPr>
              <w:t>Kodiak Sciences</w:t>
            </w:r>
          </w:p>
        </w:tc>
      </w:tr>
      <w:tr>
        <w:trPr>
          <w:trHeight w:val="500"/>
        </w:trPr>
        <w:tc>
          <w:tcPr>
            <w:tcW w:w="1580" w:type="dxa"/>
            <w:vAlign w:val="bottom"/>
            <w:tcBorders>
              <w:left w:val="single" w:sz="8" w:color="auto"/>
            </w:tcBorders>
          </w:tcPr>
          <w:p>
            <w:pPr>
              <w:spacing w:after="0"/>
              <w:rPr>
                <w:sz w:val="24"/>
                <w:szCs w:val="24"/>
                <w:color w:val="auto"/>
              </w:rPr>
            </w:pPr>
          </w:p>
        </w:tc>
        <w:tc>
          <w:tcPr>
            <w:tcW w:w="4700" w:type="dxa"/>
            <w:vAlign w:val="bottom"/>
          </w:tcPr>
          <w:p>
            <w:pPr>
              <w:jc w:val="center"/>
              <w:ind w:right="2130"/>
              <w:spacing w:after="0"/>
              <w:rPr>
                <w:sz w:val="20"/>
                <w:szCs w:val="20"/>
                <w:color w:val="auto"/>
              </w:rPr>
            </w:pPr>
            <w:r>
              <w:rPr>
                <w:rFonts w:ascii="Times New Roman" w:cs="Times New Roman" w:eastAsia="Times New Roman" w:hAnsi="Times New Roman"/>
                <w:sz w:val="18"/>
                <w:szCs w:val="18"/>
                <w:color w:val="auto"/>
                <w:w w:val="99"/>
              </w:rPr>
              <w:t>Allakos</w:t>
            </w:r>
          </w:p>
        </w:tc>
        <w:tc>
          <w:tcPr>
            <w:tcW w:w="4980" w:type="dxa"/>
            <w:vAlign w:val="bottom"/>
            <w:tcBorders>
              <w:right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color w:val="auto"/>
                <w:w w:val="99"/>
              </w:rPr>
              <w:t>Mersana Therapeutics</w:t>
            </w:r>
          </w:p>
        </w:tc>
      </w:tr>
      <w:tr>
        <w:trPr>
          <w:trHeight w:val="500"/>
        </w:trPr>
        <w:tc>
          <w:tcPr>
            <w:tcW w:w="1580" w:type="dxa"/>
            <w:vAlign w:val="bottom"/>
            <w:tcBorders>
              <w:left w:val="single" w:sz="8" w:color="auto"/>
            </w:tcBorders>
          </w:tcPr>
          <w:p>
            <w:pPr>
              <w:spacing w:after="0"/>
              <w:rPr>
                <w:sz w:val="24"/>
                <w:szCs w:val="24"/>
                <w:color w:val="auto"/>
              </w:rPr>
            </w:pPr>
          </w:p>
        </w:tc>
        <w:tc>
          <w:tcPr>
            <w:tcW w:w="4700" w:type="dxa"/>
            <w:vAlign w:val="bottom"/>
          </w:tcPr>
          <w:p>
            <w:pPr>
              <w:jc w:val="center"/>
              <w:ind w:right="2130"/>
              <w:spacing w:after="0"/>
              <w:rPr>
                <w:sz w:val="20"/>
                <w:szCs w:val="20"/>
                <w:color w:val="auto"/>
              </w:rPr>
            </w:pPr>
            <w:r>
              <w:rPr>
                <w:rFonts w:ascii="Times New Roman" w:cs="Times New Roman" w:eastAsia="Times New Roman" w:hAnsi="Times New Roman"/>
                <w:sz w:val="18"/>
                <w:szCs w:val="18"/>
                <w:color w:val="auto"/>
              </w:rPr>
              <w:t>Allogene Therapeutics</w:t>
            </w:r>
          </w:p>
        </w:tc>
        <w:tc>
          <w:tcPr>
            <w:tcW w:w="4980" w:type="dxa"/>
            <w:vAlign w:val="bottom"/>
            <w:tcBorders>
              <w:right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color w:val="auto"/>
                <w:w w:val="99"/>
              </w:rPr>
              <w:t>Mineralys Therapeutics</w:t>
            </w:r>
          </w:p>
        </w:tc>
      </w:tr>
      <w:tr>
        <w:trPr>
          <w:trHeight w:val="499"/>
        </w:trPr>
        <w:tc>
          <w:tcPr>
            <w:tcW w:w="1580" w:type="dxa"/>
            <w:vAlign w:val="bottom"/>
            <w:tcBorders>
              <w:left w:val="single" w:sz="8" w:color="auto"/>
            </w:tcBorders>
          </w:tcPr>
          <w:p>
            <w:pPr>
              <w:spacing w:after="0"/>
              <w:rPr>
                <w:sz w:val="24"/>
                <w:szCs w:val="24"/>
                <w:color w:val="auto"/>
              </w:rPr>
            </w:pPr>
          </w:p>
        </w:tc>
        <w:tc>
          <w:tcPr>
            <w:tcW w:w="4700" w:type="dxa"/>
            <w:vAlign w:val="bottom"/>
          </w:tcPr>
          <w:p>
            <w:pPr>
              <w:jc w:val="center"/>
              <w:ind w:right="2130"/>
              <w:spacing w:after="0"/>
              <w:rPr>
                <w:sz w:val="20"/>
                <w:szCs w:val="20"/>
                <w:color w:val="auto"/>
              </w:rPr>
            </w:pPr>
            <w:r>
              <w:rPr>
                <w:rFonts w:ascii="Times New Roman" w:cs="Times New Roman" w:eastAsia="Times New Roman" w:hAnsi="Times New Roman"/>
                <w:sz w:val="18"/>
                <w:szCs w:val="18"/>
                <w:color w:val="auto"/>
                <w:w w:val="99"/>
              </w:rPr>
              <w:t>AlloVir</w:t>
            </w:r>
          </w:p>
        </w:tc>
        <w:tc>
          <w:tcPr>
            <w:tcW w:w="4980" w:type="dxa"/>
            <w:vAlign w:val="bottom"/>
            <w:tcBorders>
              <w:right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color w:val="auto"/>
              </w:rPr>
              <w:t>Poseida Therapeutics</w:t>
            </w:r>
          </w:p>
        </w:tc>
      </w:tr>
      <w:tr>
        <w:trPr>
          <w:trHeight w:val="500"/>
        </w:trPr>
        <w:tc>
          <w:tcPr>
            <w:tcW w:w="1580" w:type="dxa"/>
            <w:vAlign w:val="bottom"/>
            <w:tcBorders>
              <w:left w:val="single" w:sz="8" w:color="auto"/>
            </w:tcBorders>
          </w:tcPr>
          <w:p>
            <w:pPr>
              <w:spacing w:after="0"/>
              <w:rPr>
                <w:sz w:val="24"/>
                <w:szCs w:val="24"/>
                <w:color w:val="auto"/>
              </w:rPr>
            </w:pPr>
          </w:p>
        </w:tc>
        <w:tc>
          <w:tcPr>
            <w:tcW w:w="4700" w:type="dxa"/>
            <w:vAlign w:val="bottom"/>
          </w:tcPr>
          <w:p>
            <w:pPr>
              <w:jc w:val="center"/>
              <w:ind w:right="2110"/>
              <w:spacing w:after="0"/>
              <w:rPr>
                <w:sz w:val="20"/>
                <w:szCs w:val="20"/>
                <w:color w:val="auto"/>
              </w:rPr>
            </w:pPr>
            <w:r>
              <w:rPr>
                <w:rFonts w:ascii="Times New Roman" w:cs="Times New Roman" w:eastAsia="Times New Roman" w:hAnsi="Times New Roman"/>
                <w:sz w:val="18"/>
                <w:szCs w:val="18"/>
                <w:color w:val="auto"/>
                <w:w w:val="99"/>
              </w:rPr>
              <w:t>AnaptysBio</w:t>
            </w:r>
          </w:p>
        </w:tc>
        <w:tc>
          <w:tcPr>
            <w:tcW w:w="4980" w:type="dxa"/>
            <w:vAlign w:val="bottom"/>
            <w:tcBorders>
              <w:right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color w:val="auto"/>
                <w:w w:val="98"/>
              </w:rPr>
              <w:t>RAPT Therapeutics</w:t>
            </w:r>
          </w:p>
        </w:tc>
      </w:tr>
      <w:tr>
        <w:trPr>
          <w:trHeight w:val="500"/>
        </w:trPr>
        <w:tc>
          <w:tcPr>
            <w:tcW w:w="1580" w:type="dxa"/>
            <w:vAlign w:val="bottom"/>
            <w:tcBorders>
              <w:left w:val="single" w:sz="8" w:color="auto"/>
            </w:tcBorders>
          </w:tcPr>
          <w:p>
            <w:pPr>
              <w:spacing w:after="0"/>
              <w:rPr>
                <w:sz w:val="24"/>
                <w:szCs w:val="24"/>
                <w:color w:val="auto"/>
              </w:rPr>
            </w:pPr>
          </w:p>
        </w:tc>
        <w:tc>
          <w:tcPr>
            <w:tcW w:w="4700" w:type="dxa"/>
            <w:vAlign w:val="bottom"/>
          </w:tcPr>
          <w:p>
            <w:pPr>
              <w:jc w:val="center"/>
              <w:ind w:right="2110"/>
              <w:spacing w:after="0"/>
              <w:rPr>
                <w:sz w:val="20"/>
                <w:szCs w:val="20"/>
                <w:color w:val="auto"/>
              </w:rPr>
            </w:pPr>
            <w:r>
              <w:rPr>
                <w:rFonts w:ascii="Times New Roman" w:cs="Times New Roman" w:eastAsia="Times New Roman" w:hAnsi="Times New Roman"/>
                <w:sz w:val="18"/>
                <w:szCs w:val="18"/>
                <w:color w:val="auto"/>
                <w:w w:val="99"/>
              </w:rPr>
              <w:t>Annexon</w:t>
            </w:r>
          </w:p>
        </w:tc>
        <w:tc>
          <w:tcPr>
            <w:tcW w:w="4980" w:type="dxa"/>
            <w:vAlign w:val="bottom"/>
            <w:tcBorders>
              <w:right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color w:val="auto"/>
                <w:w w:val="99"/>
              </w:rPr>
              <w:t>Trevi Therapeutics</w:t>
            </w:r>
          </w:p>
        </w:tc>
      </w:tr>
      <w:tr>
        <w:trPr>
          <w:trHeight w:val="499"/>
        </w:trPr>
        <w:tc>
          <w:tcPr>
            <w:tcW w:w="1580" w:type="dxa"/>
            <w:vAlign w:val="bottom"/>
            <w:tcBorders>
              <w:left w:val="single" w:sz="8" w:color="auto"/>
            </w:tcBorders>
          </w:tcPr>
          <w:p>
            <w:pPr>
              <w:spacing w:after="0"/>
              <w:rPr>
                <w:sz w:val="24"/>
                <w:szCs w:val="24"/>
                <w:color w:val="auto"/>
              </w:rPr>
            </w:pPr>
          </w:p>
        </w:tc>
        <w:tc>
          <w:tcPr>
            <w:tcW w:w="4700" w:type="dxa"/>
            <w:vAlign w:val="bottom"/>
          </w:tcPr>
          <w:p>
            <w:pPr>
              <w:jc w:val="center"/>
              <w:ind w:right="2130"/>
              <w:spacing w:after="0"/>
              <w:rPr>
                <w:sz w:val="20"/>
                <w:szCs w:val="20"/>
                <w:color w:val="auto"/>
              </w:rPr>
            </w:pPr>
            <w:r>
              <w:rPr>
                <w:rFonts w:ascii="Times New Roman" w:cs="Times New Roman" w:eastAsia="Times New Roman" w:hAnsi="Times New Roman"/>
                <w:sz w:val="18"/>
                <w:szCs w:val="18"/>
                <w:color w:val="auto"/>
                <w:w w:val="99"/>
              </w:rPr>
              <w:t>Atea Pharmaceuticals</w:t>
            </w:r>
          </w:p>
        </w:tc>
        <w:tc>
          <w:tcPr>
            <w:tcW w:w="4980" w:type="dxa"/>
            <w:vAlign w:val="bottom"/>
            <w:tcBorders>
              <w:right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color w:val="auto"/>
                <w:w w:val="98"/>
              </w:rPr>
              <w:t>Ventyx Biosciences</w:t>
            </w:r>
          </w:p>
        </w:tc>
      </w:tr>
      <w:tr>
        <w:trPr>
          <w:trHeight w:val="500"/>
        </w:trPr>
        <w:tc>
          <w:tcPr>
            <w:tcW w:w="1580" w:type="dxa"/>
            <w:vAlign w:val="bottom"/>
            <w:tcBorders>
              <w:left w:val="single" w:sz="8" w:color="auto"/>
            </w:tcBorders>
          </w:tcPr>
          <w:p>
            <w:pPr>
              <w:spacing w:after="0"/>
              <w:rPr>
                <w:sz w:val="24"/>
                <w:szCs w:val="24"/>
                <w:color w:val="auto"/>
              </w:rPr>
            </w:pPr>
          </w:p>
        </w:tc>
        <w:tc>
          <w:tcPr>
            <w:tcW w:w="4700" w:type="dxa"/>
            <w:vAlign w:val="bottom"/>
          </w:tcPr>
          <w:p>
            <w:pPr>
              <w:jc w:val="center"/>
              <w:ind w:right="2130"/>
              <w:spacing w:after="0"/>
              <w:rPr>
                <w:sz w:val="20"/>
                <w:szCs w:val="20"/>
                <w:color w:val="auto"/>
              </w:rPr>
            </w:pPr>
            <w:r>
              <w:rPr>
                <w:rFonts w:ascii="Times New Roman" w:cs="Times New Roman" w:eastAsia="Times New Roman" w:hAnsi="Times New Roman"/>
                <w:sz w:val="18"/>
                <w:szCs w:val="18"/>
                <w:color w:val="auto"/>
                <w:w w:val="98"/>
              </w:rPr>
              <w:t>aTyr Pharma</w:t>
            </w:r>
          </w:p>
        </w:tc>
        <w:tc>
          <w:tcPr>
            <w:tcW w:w="4980" w:type="dxa"/>
            <w:vAlign w:val="bottom"/>
            <w:tcBorders>
              <w:right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color w:val="auto"/>
                <w:w w:val="99"/>
              </w:rPr>
              <w:t>Zentalis Pharmaceuticals</w:t>
            </w:r>
          </w:p>
        </w:tc>
      </w:tr>
      <w:tr>
        <w:trPr>
          <w:trHeight w:val="499"/>
        </w:trPr>
        <w:tc>
          <w:tcPr>
            <w:tcW w:w="1580" w:type="dxa"/>
            <w:vAlign w:val="bottom"/>
            <w:tcBorders>
              <w:left w:val="single" w:sz="8" w:color="auto"/>
            </w:tcBorders>
          </w:tcPr>
          <w:p>
            <w:pPr>
              <w:spacing w:after="0"/>
              <w:rPr>
                <w:sz w:val="24"/>
                <w:szCs w:val="24"/>
                <w:color w:val="auto"/>
              </w:rPr>
            </w:pPr>
          </w:p>
        </w:tc>
        <w:tc>
          <w:tcPr>
            <w:tcW w:w="4700" w:type="dxa"/>
            <w:vAlign w:val="bottom"/>
          </w:tcPr>
          <w:p>
            <w:pPr>
              <w:jc w:val="center"/>
              <w:ind w:right="2130"/>
              <w:spacing w:after="0"/>
              <w:rPr>
                <w:sz w:val="20"/>
                <w:szCs w:val="20"/>
                <w:color w:val="auto"/>
              </w:rPr>
            </w:pPr>
            <w:r>
              <w:rPr>
                <w:rFonts w:ascii="Times New Roman" w:cs="Times New Roman" w:eastAsia="Times New Roman" w:hAnsi="Times New Roman"/>
                <w:sz w:val="18"/>
                <w:szCs w:val="18"/>
                <w:color w:val="auto"/>
                <w:w w:val="99"/>
              </w:rPr>
              <w:t>Erasca</w:t>
            </w:r>
          </w:p>
        </w:tc>
        <w:tc>
          <w:tcPr>
            <w:tcW w:w="4980" w:type="dxa"/>
            <w:vAlign w:val="bottom"/>
            <w:tcBorders>
              <w:right w:val="single" w:sz="8" w:color="auto"/>
            </w:tcBorders>
          </w:tcPr>
          <w:p>
            <w:pPr>
              <w:spacing w:after="0"/>
              <w:rPr>
                <w:sz w:val="24"/>
                <w:szCs w:val="24"/>
                <w:color w:val="auto"/>
              </w:rPr>
            </w:pPr>
          </w:p>
        </w:tc>
      </w:tr>
      <w:tr>
        <w:trPr>
          <w:trHeight w:val="270"/>
        </w:trPr>
        <w:tc>
          <w:tcPr>
            <w:tcW w:w="1580" w:type="dxa"/>
            <w:vAlign w:val="bottom"/>
            <w:tcBorders>
              <w:left w:val="single" w:sz="8" w:color="auto"/>
              <w:bottom w:val="single" w:sz="8" w:color="auto"/>
            </w:tcBorders>
          </w:tcPr>
          <w:p>
            <w:pPr>
              <w:spacing w:after="0"/>
              <w:rPr>
                <w:sz w:val="23"/>
                <w:szCs w:val="23"/>
                <w:color w:val="auto"/>
              </w:rPr>
            </w:pPr>
          </w:p>
        </w:tc>
        <w:tc>
          <w:tcPr>
            <w:tcW w:w="4700" w:type="dxa"/>
            <w:vAlign w:val="bottom"/>
            <w:tcBorders>
              <w:bottom w:val="single" w:sz="8" w:color="auto"/>
            </w:tcBorders>
          </w:tcPr>
          <w:p>
            <w:pPr>
              <w:spacing w:after="0"/>
              <w:rPr>
                <w:sz w:val="23"/>
                <w:szCs w:val="23"/>
                <w:color w:val="auto"/>
              </w:rPr>
            </w:pPr>
          </w:p>
        </w:tc>
        <w:tc>
          <w:tcPr>
            <w:tcW w:w="4980" w:type="dxa"/>
            <w:vAlign w:val="bottom"/>
            <w:tcBorders>
              <w:bottom w:val="single" w:sz="8" w:color="auto"/>
              <w:right w:val="single" w:sz="8" w:color="auto"/>
            </w:tcBorders>
          </w:tcPr>
          <w:p>
            <w:pPr>
              <w:spacing w:after="0"/>
              <w:rPr>
                <w:sz w:val="23"/>
                <w:szCs w:val="23"/>
                <w:color w:val="auto"/>
              </w:rPr>
            </w:pPr>
          </w:p>
        </w:tc>
      </w:tr>
    </w:tbl>
    <w:p>
      <w:pPr>
        <w:spacing w:after="0" w:line="27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Based on the peer analysis performed by Alpine Rewards in 2025 for the purpose of selecting our 2025 peer group, Aerovate Therapeutics, Atara Biotherapeutics, Crinetics Pharmaceuticals, Gritstone bio, Kura Oncology, NGM Biopharmaceuticals and</w:t>
      </w:r>
    </w:p>
    <w:p>
      <w:pPr>
        <w:sectPr>
          <w:pgSz w:w="11900" w:h="16838" w:orient="portrait"/>
          <w:cols w:equalWidth="0" w:num="1">
            <w:col w:w="11260"/>
          </w:cols>
          <w:pgMar w:left="320" w:top="1251" w:right="31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1" w:right="319" w:bottom="1440" w:gutter="0" w:footer="0" w:header="0"/>
          <w:type w:val="continuous"/>
        </w:sectPr>
      </w:pPr>
    </w:p>
    <w:bookmarkStart w:id="50" w:name="page51"/>
    <w:bookmarkEnd w:id="50"/>
    <w:p>
      <w:pPr>
        <w:ind w:right="340"/>
        <w:spacing w:after="0" w:line="266" w:lineRule="auto"/>
        <w:rPr>
          <w:sz w:val="20"/>
          <w:szCs w:val="20"/>
          <w:color w:val="auto"/>
        </w:rPr>
      </w:pPr>
      <w:r>
        <w:rPr>
          <w:rFonts w:ascii="Times New Roman" w:cs="Times New Roman" w:eastAsia="Times New Roman" w:hAnsi="Times New Roman"/>
          <w:sz w:val="18"/>
          <w:szCs w:val="18"/>
          <w:color w:val="auto"/>
        </w:rPr>
        <w:t>Reneo Pharmaceuticals were removed, and ACELYRIN, aTyr Pharma, Kodiak Sciences, Mineralys Therapeutics, Ventyx Biosciences and Zentalis Pharmaceuticals were added. In general, the removed peer companies no longer fit the selection criteria, as described further above, while the additions reflect companies with financial and industry characteristics more similar to our company.</w:t>
      </w:r>
    </w:p>
    <w:p>
      <w:pPr>
        <w:spacing w:after="0" w:line="176" w:lineRule="exact"/>
        <w:rPr>
          <w:sz w:val="20"/>
          <w:szCs w:val="20"/>
          <w:color w:val="auto"/>
        </w:rPr>
      </w:pPr>
    </w:p>
    <w:p>
      <w:pPr>
        <w:jc w:val="both"/>
        <w:ind w:right="140"/>
        <w:spacing w:after="0" w:line="216" w:lineRule="auto"/>
        <w:rPr>
          <w:sz w:val="20"/>
          <w:szCs w:val="20"/>
          <w:color w:val="auto"/>
        </w:rPr>
      </w:pPr>
      <w:r>
        <w:rPr>
          <w:rFonts w:ascii="Times New Roman" w:cs="Times New Roman" w:eastAsia="Times New Roman" w:hAnsi="Times New Roman"/>
          <w:sz w:val="18"/>
          <w:szCs w:val="18"/>
          <w:color w:val="auto"/>
        </w:rPr>
        <w:t>Our compensation committee reviewed the foregoing comparable company data from the 2024 and 2025 peer group in connection with its determinations of the 2025 base salaries, target bonuses and equity awards for our named executive officers. The compensation committee generally attempts to set base salaries at target total cash compensation levels at the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8"/>
          <w:szCs w:val="18"/>
          <w:color w:val="auto"/>
        </w:rPr>
        <w:t xml:space="preserve"> percentile of the peer company data for comparable positions and total annual equity award</w:t>
      </w:r>
    </w:p>
    <w:p>
      <w:pPr>
        <w:ind w:right="40"/>
        <w:spacing w:after="0" w:line="225" w:lineRule="auto"/>
        <w:rPr>
          <w:sz w:val="20"/>
          <w:szCs w:val="20"/>
          <w:color w:val="auto"/>
        </w:rPr>
      </w:pPr>
      <w:r>
        <w:rPr>
          <w:rFonts w:ascii="Times New Roman" w:cs="Times New Roman" w:eastAsia="Times New Roman" w:hAnsi="Times New Roman"/>
          <w:sz w:val="18"/>
          <w:szCs w:val="18"/>
          <w:color w:val="auto"/>
        </w:rPr>
        <w:t>value at approximately the 62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8"/>
          <w:szCs w:val="18"/>
          <w:color w:val="auto"/>
        </w:rPr>
        <w:t xml:space="preserve"> percentile. The compensation committee does not, however, rely entirely on that data to determine named executive officer compensation. Instead, as described above and consistent with past practice, the compensation committee members rely on their judgment and experience in setting those compensation levels and making those awards. As a result, variations on this pay positioning occur from year to year.</w:t>
      </w:r>
    </w:p>
    <w:p>
      <w:pPr>
        <w:spacing w:after="0" w:line="20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expect that the compensation committee will continue to review comparable company data in connection with setting the compensation we offer our named executive officers to help ensure that our compensation programs are competitive and fair.</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compensation levels of the named executive officers reflect to a significant degree the varying roles and responsibilities of such executives. As a result of the compensation committee’s and the board of director’s assessment of our Chief Executive Officer’s roles and responsibilities within our company, there are significant compensation differentials between the Chief Executive Officer and our other named executive officers.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Components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each component of our executive compensation program, the rationale for each, and how compensation amounts are determined.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general, base salaries for our named executive officers are initially established through arm’s length negotiation at the time the executive is hired, taking into account such executive’s qualifications, experience and prior salary. Base salaries of our named executive officers are approved and reviewed annually by our compensation committee and adjustments to base salaries are based on the scope of an executive’s responsibilities, individual contribution, prior experience and sustained performance. This strategy is consistent with our intent of offering compensation that is cost-effective, competitive and contingent on the achievement of performance objectives.</w:t>
      </w:r>
    </w:p>
    <w:p>
      <w:pPr>
        <w:spacing w:after="0" w:line="1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February 2025, the compensation committee reviewed the base salaries of our named executive officers. The compensation committee, in consultation with its independent compensation consultant, determined that the base salaries of Messrs. Hasnain and Giraudo and Mr. Smith would be as set forth in the table below, with increases effective March 1, 2025.</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2025 Base Salary</w:t>
            </w:r>
          </w:p>
        </w:tc>
        <w:tc>
          <w:tcPr>
            <w:tcW w:w="156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Percentage Increase</w:t>
            </w:r>
          </w:p>
        </w:tc>
        <w:tc>
          <w:tcPr>
            <w:tcW w:w="0" w:type="dxa"/>
            <w:vAlign w:val="bottom"/>
          </w:tcPr>
          <w:p>
            <w:pPr>
              <w:spacing w:after="0"/>
              <w:rPr>
                <w:sz w:val="1"/>
                <w:szCs w:val="1"/>
                <w:color w:val="auto"/>
              </w:rPr>
            </w:pPr>
          </w:p>
        </w:tc>
      </w:tr>
      <w:tr>
        <w:trPr>
          <w:trHeight w:val="195"/>
        </w:trPr>
        <w:tc>
          <w:tcPr>
            <w:tcW w:w="7620" w:type="dxa"/>
            <w:vAlign w:val="bottom"/>
            <w:gridSpan w:val="2"/>
            <w:vMerge w:val="continue"/>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156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from 2024</w:t>
            </w:r>
          </w:p>
        </w:tc>
        <w:tc>
          <w:tcPr>
            <w:tcW w:w="0" w:type="dxa"/>
            <w:vAlign w:val="bottom"/>
          </w:tcPr>
          <w:p>
            <w:pPr>
              <w:spacing w:after="0"/>
              <w:rPr>
                <w:sz w:val="1"/>
                <w:szCs w:val="1"/>
                <w:color w:val="auto"/>
              </w:rPr>
            </w:pPr>
          </w:p>
        </w:tc>
      </w:tr>
      <w:tr>
        <w:trPr>
          <w:trHeight w:val="228"/>
        </w:trPr>
        <w:tc>
          <w:tcPr>
            <w:tcW w:w="74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Mr. Hasnain</w:t>
            </w:r>
          </w:p>
        </w:tc>
        <w:tc>
          <w:tcPr>
            <w:tcW w:w="180" w:type="dxa"/>
            <w:vAlign w:val="bottom"/>
            <w:tcBorders>
              <w:top w:val="single" w:sz="8" w:color="CFF0FC"/>
            </w:tcBorders>
            <w:shd w:val="clear" w:color="auto" w:fill="CFF0FC"/>
          </w:tcPr>
          <w:p>
            <w:pPr>
              <w:spacing w:after="0"/>
              <w:rPr>
                <w:sz w:val="19"/>
                <w:szCs w:val="19"/>
                <w:color w:val="auto"/>
              </w:rPr>
            </w:pPr>
          </w:p>
        </w:tc>
        <w:tc>
          <w:tcPr>
            <w:tcW w:w="18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$653,331</w:t>
            </w:r>
          </w:p>
        </w:tc>
        <w:tc>
          <w:tcPr>
            <w:tcW w:w="1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30"/>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Giraudo</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$522,776</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Mr. Smith</w:t>
            </w: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$466,200</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foregoing increases were designed to keep each executive’s annual base salary and target total cash compensation close to the 50th percentile of similarly situated executives, in line with our pay positioning philosophy. Based on the comparable market information provided to the compensation committee by its independent compensation consultant, for 2025, after the foregoing increases, the base salaries of our named executive officers generally approximated the 50th percentile of similarly situated executives among our peer group.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base salaries paid to all of our named executive officers for 2025 are set forth in the “Summary Compensation Table” below.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Bonuses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Each named executive officer is also eligible for a performance bonus based upon the achievement of certain corporate performance goals and objectives approved by the Board.</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Bonuses are set based on the executives’ respective base salaries for the relevant bonus year, and are expected to be paid out in the first quarter of the following year. The target levels for executive bonuses for 2025 were as follows: 60% of base salary for Mr. Hasnain, 45% of base salary for Mr. Giraudo, and 40% of base salary for Mr. Smith. The target cash incentive awards of Mr. Giraudo and Mr. Smith as a percentage of base salary remained unchanged from 2023. The target cash incentive award of Mr. Hasnain as a percentage of base salary was increased from 55% of base salary in 2024 to 60% of base salary in 2025.</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At the beginning of each year, the Board (considering the recommendations of the compensation committee and management) sets corporate goals and milestones for the year. These goals and milestones and the proportional emphasis placed on each are set by the Board after considering management input and our overall strategic objectives. These goals generally relate to factors such as clinical and regulatory development of our products, portfolio sustainability, business development and financial targets. The Board, upon recommendation of the compensation committee, determines the level of achievement of the corporate goals for each year.</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All final bonus payments to our named executive officers are determined by our compensation committee. The actual bonuses awarded in any year, if any, may be more or less than the target, depending on individual performance and the achievement of corporate objectives and may also vary based on other factors as the compensation committee (or the full Board, with respect to our Chief Executive Officer) deems appropriate. Under our annual incentive plan, the maximum bonus payable to an executive is 150% of his or her target bonus. Performance relative to the corporate goals set by the Board represents 100% of our Chief Executive Officer’s annual bonus opportunity and 70% of our other named executive officers’ annual bonus opportunities. The compensation committee’s determination of the individual performance percentage of the 2025 bonus awards for our named executive officers was not based on the achievement of any predetermined individual performance goals, but rather on the compensation committee’s subjective assessment of each officer’s overall performance of their duties during 2025. The compensation committee determined Mr. Giraudo’s individual performance percentage to be 65% and Mr. Smith’s individual performance percentage to be 65%, to align with the overall corporate performance payout at 65% of target.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Performance Goals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corporate performance goals and their respective weighting for 2025 were approved by the Board in January 2025. The 2025 performance goals were tied to clinical and regulatory development of seralutinib and certain commercial measures and were set at levels such that the attainment of executive target annual cash incentive award opportunities was not assured at the time they were set and would require a high level of effort and execution on the part of the executive officers and others in order to achieve the goals. The Board also specified a “target exceeds” weighting for each corporate goal, corresponding to additional credit that could be achieved for each goal in the event of over performance in a given area, representing up to 130% of the overall goals.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determine our corporate performance percentage for 2025, the compensation committee, in conjunction with the Board, employed a holistic analysis that took into account both the extent to which the performance goals had been achieved or exceeded as well as the relative difficulty of achieving the goals that were met and that were only partially met. In light of the topline results from the Phase 3 PROSERA study and need to evaluate capital allocation, the compensation committee determined our corporate performance percentage to be 65% of the target performance level for 2025. The table below provides additional details about the corporate performance goals for 2025 and the compensation committee’s assessment of our actual performance against our 2025 corporate performance goals: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52" w:name="page53"/>
    <w:bookmarkEnd w:id="52"/>
    <w:tbl>
      <w:tblPr>
        <w:tblLayout w:type="fixed"/>
        <w:tblInd w:w="20" w:type="dxa"/>
        <w:tblCellMar>
          <w:top w:w="0" w:type="dxa"/>
          <w:left w:w="0" w:type="dxa"/>
          <w:bottom w:w="0" w:type="dxa"/>
          <w:right w:w="0" w:type="dxa"/>
        </w:tblCellMar>
      </w:tblPr>
      <w:tr>
        <w:trPr>
          <w:trHeight w:val="238"/>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2025 CORPORATE GOAL</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WEIGHTING</w:t>
            </w:r>
          </w:p>
        </w:tc>
        <w:tc>
          <w:tcPr>
            <w:tcW w:w="25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2025 ACHIEVEMENTS</w:t>
            </w:r>
          </w:p>
        </w:tc>
      </w:tr>
      <w:tr>
        <w:trPr>
          <w:trHeight w:val="405"/>
        </w:trPr>
        <w:tc>
          <w:tcPr>
            <w:tcW w:w="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PROSERA enrollment</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40%</w:t>
            </w:r>
          </w:p>
        </w:tc>
        <w:tc>
          <w:tcPr>
            <w:tcW w:w="25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   Achieved in June 2025.</w:t>
            </w:r>
          </w:p>
        </w:tc>
      </w:tr>
      <w:tr>
        <w:trPr>
          <w:trHeight w:val="234"/>
        </w:trPr>
        <w:tc>
          <w:tcPr>
            <w:tcW w:w="520" w:type="dxa"/>
            <w:vAlign w:val="bottom"/>
          </w:tcPr>
          <w:p>
            <w:pPr>
              <w:spacing w:after="0"/>
              <w:rPr>
                <w:sz w:val="20"/>
                <w:szCs w:val="20"/>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completion</w:t>
            </w:r>
          </w:p>
        </w:tc>
        <w:tc>
          <w:tcPr>
            <w:tcW w:w="136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522"/>
        </w:trPr>
        <w:tc>
          <w:tcPr>
            <w:tcW w:w="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Commence SERENATA Phase</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25%</w:t>
            </w:r>
          </w:p>
        </w:tc>
        <w:tc>
          <w:tcPr>
            <w:tcW w:w="25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   Site initiated. No patient</w:t>
            </w:r>
          </w:p>
        </w:tc>
      </w:tr>
      <w:tr>
        <w:trPr>
          <w:trHeight w:val="270"/>
        </w:trPr>
        <w:tc>
          <w:tcPr>
            <w:tcW w:w="520" w:type="dxa"/>
            <w:vAlign w:val="bottom"/>
          </w:tcPr>
          <w:p>
            <w:pPr>
              <w:spacing w:after="0"/>
              <w:rPr>
                <w:sz w:val="23"/>
                <w:szCs w:val="23"/>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 Study</w:t>
            </w:r>
          </w:p>
        </w:tc>
        <w:tc>
          <w:tcPr>
            <w:tcW w:w="1360" w:type="dxa"/>
            <w:vAlign w:val="bottom"/>
          </w:tcPr>
          <w:p>
            <w:pPr>
              <w:spacing w:after="0"/>
              <w:rPr>
                <w:sz w:val="23"/>
                <w:szCs w:val="23"/>
                <w:color w:val="auto"/>
              </w:rPr>
            </w:pPr>
          </w:p>
        </w:tc>
        <w:tc>
          <w:tcPr>
            <w:tcW w:w="2560" w:type="dxa"/>
            <w:vAlign w:val="bottom"/>
          </w:tcPr>
          <w:p>
            <w:pPr>
              <w:ind w:left="520"/>
              <w:spacing w:after="0"/>
              <w:rPr>
                <w:sz w:val="20"/>
                <w:szCs w:val="20"/>
                <w:color w:val="auto"/>
              </w:rPr>
            </w:pPr>
            <w:r>
              <w:rPr>
                <w:rFonts w:ascii="Times New Roman" w:cs="Times New Roman" w:eastAsia="Times New Roman" w:hAnsi="Times New Roman"/>
                <w:sz w:val="18"/>
                <w:szCs w:val="18"/>
                <w:i w:val="1"/>
                <w:iCs w:val="1"/>
                <w:color w:val="auto"/>
              </w:rPr>
              <w:t>enrollment.</w:t>
            </w:r>
          </w:p>
        </w:tc>
      </w:tr>
      <w:tr>
        <w:trPr>
          <w:trHeight w:val="736"/>
        </w:trPr>
        <w:tc>
          <w:tcPr>
            <w:tcW w:w="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readiness</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15%</w:t>
            </w:r>
          </w:p>
        </w:tc>
        <w:tc>
          <w:tcPr>
            <w:tcW w:w="25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   Achieved other than final</w:t>
            </w:r>
          </w:p>
        </w:tc>
      </w:tr>
      <w:tr>
        <w:trPr>
          <w:trHeight w:val="236"/>
        </w:trPr>
        <w:tc>
          <w:tcPr>
            <w:tcW w:w="5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560" w:type="dxa"/>
            <w:vAlign w:val="bottom"/>
          </w:tcPr>
          <w:p>
            <w:pPr>
              <w:ind w:left="520"/>
              <w:spacing w:after="0"/>
              <w:rPr>
                <w:sz w:val="20"/>
                <w:szCs w:val="20"/>
                <w:color w:val="auto"/>
              </w:rPr>
            </w:pPr>
            <w:r>
              <w:rPr>
                <w:rFonts w:ascii="Times New Roman" w:cs="Times New Roman" w:eastAsia="Times New Roman" w:hAnsi="Times New Roman"/>
                <w:sz w:val="18"/>
                <w:szCs w:val="18"/>
                <w:i w:val="1"/>
                <w:iCs w:val="1"/>
                <w:color w:val="auto"/>
              </w:rPr>
              <w:t>implementation plan.</w:t>
            </w:r>
          </w:p>
        </w:tc>
      </w:tr>
      <w:tr>
        <w:trPr>
          <w:trHeight w:val="702"/>
        </w:trPr>
        <w:tc>
          <w:tcPr>
            <w:tcW w:w="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Alternative Formulation</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w:t>
            </w:r>
          </w:p>
        </w:tc>
        <w:tc>
          <w:tcPr>
            <w:tcW w:w="25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   Achieved except for delay in</w:t>
            </w:r>
          </w:p>
        </w:tc>
      </w:tr>
      <w:tr>
        <w:trPr>
          <w:trHeight w:val="270"/>
        </w:trPr>
        <w:tc>
          <w:tcPr>
            <w:tcW w:w="520" w:type="dxa"/>
            <w:vAlign w:val="bottom"/>
          </w:tcPr>
          <w:p>
            <w:pPr>
              <w:spacing w:after="0"/>
              <w:rPr>
                <w:sz w:val="23"/>
                <w:szCs w:val="23"/>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Development</w:t>
            </w:r>
          </w:p>
        </w:tc>
        <w:tc>
          <w:tcPr>
            <w:tcW w:w="1360" w:type="dxa"/>
            <w:vAlign w:val="bottom"/>
          </w:tcPr>
          <w:p>
            <w:pPr>
              <w:spacing w:after="0"/>
              <w:rPr>
                <w:sz w:val="23"/>
                <w:szCs w:val="23"/>
                <w:color w:val="auto"/>
              </w:rPr>
            </w:pPr>
          </w:p>
        </w:tc>
        <w:tc>
          <w:tcPr>
            <w:tcW w:w="2560" w:type="dxa"/>
            <w:vAlign w:val="bottom"/>
          </w:tcPr>
          <w:p>
            <w:pPr>
              <w:ind w:left="520"/>
              <w:spacing w:after="0"/>
              <w:rPr>
                <w:sz w:val="20"/>
                <w:szCs w:val="20"/>
                <w:color w:val="auto"/>
              </w:rPr>
            </w:pPr>
            <w:r>
              <w:rPr>
                <w:rFonts w:ascii="Times New Roman" w:cs="Times New Roman" w:eastAsia="Times New Roman" w:hAnsi="Times New Roman"/>
                <w:sz w:val="18"/>
                <w:szCs w:val="18"/>
                <w:i w:val="1"/>
                <w:iCs w:val="1"/>
                <w:color w:val="auto"/>
              </w:rPr>
              <w:t>data availability.</w:t>
            </w:r>
          </w:p>
        </w:tc>
      </w:tr>
    </w:tbl>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580" w:right="260" w:hanging="2058"/>
        <w:spacing w:after="0" w:line="255" w:lineRule="auto"/>
        <w:tabs>
          <w:tab w:leader="none" w:pos="1560" w:val="left"/>
        </w:tabs>
        <w:rPr>
          <w:sz w:val="20"/>
          <w:szCs w:val="20"/>
          <w:color w:val="auto"/>
        </w:rPr>
      </w:pPr>
      <w:r>
        <w:rPr>
          <w:rFonts w:ascii="Times New Roman" w:cs="Times New Roman" w:eastAsia="Times New Roman" w:hAnsi="Times New Roman"/>
          <w:sz w:val="18"/>
          <w:szCs w:val="18"/>
          <w:b w:val="1"/>
          <w:bCs w:val="1"/>
          <w:color w:val="auto"/>
        </w:rPr>
        <w:t>PERFORMANCE</w:t>
      </w:r>
      <w:r>
        <w:rPr>
          <w:sz w:val="20"/>
          <w:szCs w:val="20"/>
          <w:color w:val="auto"/>
        </w:rPr>
        <w:tab/>
      </w:r>
      <w:r>
        <w:rPr>
          <w:rFonts w:ascii="Times New Roman" w:cs="Times New Roman" w:eastAsia="Times New Roman" w:hAnsi="Times New Roman"/>
          <w:sz w:val="18"/>
          <w:szCs w:val="18"/>
          <w:b w:val="1"/>
          <w:bCs w:val="1"/>
          <w:color w:val="auto"/>
        </w:rPr>
        <w:t>WEIGHTED PERFORMANCE</w:t>
      </w:r>
    </w:p>
    <w:p>
      <w:pPr>
        <w:spacing w:after="0" w:line="6"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100%</w:t>
      </w:r>
      <w:r>
        <w:rPr>
          <w:sz w:val="20"/>
          <w:szCs w:val="20"/>
          <w:color w:val="auto"/>
        </w:rPr>
        <w:tab/>
      </w:r>
      <w:r>
        <w:rPr>
          <w:rFonts w:ascii="Times New Roman" w:cs="Times New Roman" w:eastAsia="Times New Roman" w:hAnsi="Times New Roman"/>
          <w:sz w:val="18"/>
          <w:szCs w:val="18"/>
          <w:b w:val="1"/>
          <w:bCs w:val="1"/>
          <w:color w:val="auto"/>
        </w:rPr>
        <w:t>40%</w:t>
      </w:r>
    </w:p>
    <w:p>
      <w:pPr>
        <w:spacing w:after="0" w:line="200" w:lineRule="exact"/>
        <w:rPr>
          <w:sz w:val="20"/>
          <w:szCs w:val="20"/>
          <w:color w:val="auto"/>
        </w:rPr>
      </w:pPr>
    </w:p>
    <w:p>
      <w:pPr>
        <w:spacing w:after="0" w:line="349" w:lineRule="exact"/>
        <w:rPr>
          <w:sz w:val="20"/>
          <w:szCs w:val="20"/>
          <w:color w:val="auto"/>
        </w:rPr>
      </w:pPr>
    </w:p>
    <w:p>
      <w:pPr>
        <w:ind w:left="8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0%</w:t>
      </w:r>
      <w:r>
        <w:rPr>
          <w:sz w:val="20"/>
          <w:szCs w:val="20"/>
          <w:color w:val="auto"/>
        </w:rPr>
        <w:tab/>
      </w:r>
      <w:r>
        <w:rPr>
          <w:rFonts w:ascii="Times New Roman" w:cs="Times New Roman" w:eastAsia="Times New Roman" w:hAnsi="Times New Roman"/>
          <w:sz w:val="18"/>
          <w:szCs w:val="18"/>
          <w:b w:val="1"/>
          <w:bCs w:val="1"/>
          <w:color w:val="auto"/>
        </w:rPr>
        <w:t>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66%</w:t>
      </w:r>
      <w:r>
        <w:rPr>
          <w:sz w:val="20"/>
          <w:szCs w:val="20"/>
          <w:color w:val="auto"/>
        </w:rPr>
        <w:tab/>
      </w:r>
      <w:r>
        <w:rPr>
          <w:rFonts w:ascii="Times New Roman" w:cs="Times New Roman" w:eastAsia="Times New Roman" w:hAnsi="Times New Roman"/>
          <w:sz w:val="18"/>
          <w:szCs w:val="18"/>
          <w:b w:val="1"/>
          <w:bCs w:val="1"/>
          <w:color w:val="auto"/>
        </w:rPr>
        <w:t>10%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75%</w:t>
      </w:r>
      <w:r>
        <w:rPr>
          <w:sz w:val="20"/>
          <w:szCs w:val="20"/>
          <w:color w:val="auto"/>
        </w:rPr>
        <w:tab/>
      </w:r>
      <w:r>
        <w:rPr>
          <w:rFonts w:ascii="Times New Roman" w:cs="Times New Roman" w:eastAsia="Times New Roman" w:hAnsi="Times New Roman"/>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491490</wp:posOffset>
            </wp:positionV>
            <wp:extent cx="26142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65%</w:t>
      </w:r>
    </w:p>
    <w:p>
      <w:pPr>
        <w:spacing w:after="0" w:line="200" w:lineRule="exact"/>
        <w:rPr>
          <w:sz w:val="20"/>
          <w:szCs w:val="20"/>
          <w:color w:val="auto"/>
        </w:rPr>
      </w:pPr>
    </w:p>
    <w:p>
      <w:pPr>
        <w:sectPr>
          <w:pgSz w:w="11900" w:h="16838" w:orient="portrait"/>
          <w:cols w:equalWidth="0" w:num="2">
            <w:col w:w="7180" w:space="720"/>
            <w:col w:w="3260"/>
          </w:cols>
          <w:pgMar w:left="320" w:top="1184" w:right="419" w:bottom="1440" w:gutter="0" w:footer="0" w:header="0"/>
        </w:sectPr>
      </w:pPr>
    </w:p>
    <w:p>
      <w:pPr>
        <w:spacing w:after="0" w:line="15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This overall 65% achievement level was then used to determine each named executive officer’s bonus. The annual bonuses paid to our named executive officers for 2025 are set forth in the Summary Compensation Table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Incentives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goal of our long-term, equity-based incentive awards is to align the interests of our named executive officers and other employees, non-employee directors and consultants with the interests of our stockholders. Because vesting is based on continued employment over multiple years, our equity-based incentives also encourage the retention of our named executive officers through the vesting period of the awards. In determining the size of the long-term equity incentives to be awarded to our named executive officers, we take into account a number of internal factors, such as the relative job scope, the value of existing long-term incentive awards, individual performance history, prior contributions to us, the size of prior grants as well as comparable company information, as described below. We have had no program, plan or practice pertaining to the timing of stock option grants to named executive officers coinciding with the release of material non-public information.</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use equity awards to compensate our named executive officers both in the form of initial grants in connection with the commencement of employment and annual refresher grants. Annual equity awards to our named executive officers are typically granted during the first quarter of each year. While we intend that the majority of stock awards to our employees be made pursuant to initial grants or our annual grant program, the compensation committee retains discretion to make equity awards to employees at other times, including in connection with the promotion of an employee, to reward an employee, for retention purposes or for other circumstances recommended by management or the compensation committee.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Vehicles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Annual equity awards are granted under our 2019 Plan, using a mix of different equity instruments to further the goal of attracting and retaining top performers and to balance the relative advantages of different instruments.</w:t>
      </w:r>
    </w:p>
    <w:p>
      <w:pPr>
        <w:spacing w:after="0" w:line="162" w:lineRule="exact"/>
        <w:rPr>
          <w:sz w:val="20"/>
          <w:szCs w:val="20"/>
          <w:color w:val="auto"/>
        </w:rPr>
      </w:pPr>
    </w:p>
    <w:p>
      <w:pPr>
        <w:ind w:left="660" w:right="60" w:hanging="328"/>
        <w:spacing w:after="0" w:line="257"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are an important vehicle for tying executive pay to performance because they deliver future value only if the value of our Common Stock increases above the exercise price. As a result, they provide strong incentives for our executive officers to increase the value of our Common Stock over the long term, tightly aligning the interests of our executives with those of our stockholders.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 awards are granted from time to time because they are less dilutive to our stockholders, as fewer shares of our Common Stock are granted to achieve an equivalent value relative to stock options, and because RSU awards are an effective retention tool that maintain value even if the share price is trading lower than the share price on the grant date. No RSU awards were granted between 2022 and 2025 as part of our annual awards to our named executive officers. RSU awards were included in the annual awards to our named executive officers granted during 2026.</w:t>
      </w:r>
    </w:p>
    <w:p>
      <w:pPr>
        <w:spacing w:after="0" w:line="1" w:lineRule="exact"/>
        <w:rPr>
          <w:rFonts w:ascii="Times New Roman" w:cs="Times New Roman" w:eastAsia="Times New Roman" w:hAnsi="Times New Roman"/>
          <w:sz w:val="18"/>
          <w:szCs w:val="18"/>
          <w:color w:val="auto"/>
        </w:rPr>
      </w:pPr>
    </w:p>
    <w:p>
      <w:pPr>
        <w:ind w:left="660" w:right="120" w:hanging="328"/>
        <w:spacing w:after="0" w:line="255"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2025, PSU awards were granted to our executive officers. The PSUs granted to our executive officers vest upon the earlier of (i) the approval of a new drug application for seralutinib or (ii) a change in control, in either case on or prior to the fourth anniversary of the grant date, and subject to such executive officer’s continuous service.</w:t>
      </w:r>
    </w:p>
    <w:p>
      <w:pPr>
        <w:sectPr>
          <w:pgSz w:w="11900" w:h="16838" w:orient="portrait"/>
          <w:cols w:equalWidth="0" w:num="1">
            <w:col w:w="11160"/>
          </w:cols>
          <w:pgMar w:left="320" w:top="1184" w:right="419" w:bottom="1440" w:gutter="0" w:footer="0" w:header="0"/>
          <w:type w:val="continuous"/>
        </w:sectPr>
      </w:pPr>
    </w:p>
    <w:p>
      <w:pPr>
        <w:spacing w:after="0" w:line="200" w:lineRule="exact"/>
        <w:rPr>
          <w:sz w:val="20"/>
          <w:szCs w:val="20"/>
          <w:color w:val="auto"/>
        </w:rPr>
      </w:pPr>
    </w:p>
    <w:p>
      <w:pPr>
        <w:spacing w:after="0" w:line="36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4" w:right="419" w:bottom="1440" w:gutter="0" w:footer="0" w:header="0"/>
          <w:type w:val="continuous"/>
        </w:sectPr>
      </w:pPr>
    </w:p>
    <w:bookmarkStart w:id="53" w:name="page54"/>
    <w:bookmarkEnd w:id="53"/>
    <w:p>
      <w:pPr>
        <w:spacing w:after="0" w:line="258" w:lineRule="auto"/>
        <w:rPr>
          <w:sz w:val="20"/>
          <w:szCs w:val="20"/>
          <w:color w:val="auto"/>
        </w:rPr>
      </w:pPr>
      <w:r>
        <w:rPr>
          <w:rFonts w:ascii="Times New Roman" w:cs="Times New Roman" w:eastAsia="Times New Roman" w:hAnsi="Times New Roman"/>
          <w:sz w:val="18"/>
          <w:szCs w:val="18"/>
          <w:color w:val="auto"/>
        </w:rPr>
        <w:t>The exercise price of each stock option grant is the fair market value of our Common Stock on the grant date, as determined by the Board from time to time. Option awards generally vest over a four-year period as follows: 25% of the shares underlying the option vest on the first anniversary of the date of the vesting commencement date and the remainder of the shares underlying the option vest in equal monthly installments over the remaining 36 months thereafter. RSU awards, if granted, generally vest in three or four equal annual installments. From time to time, our compensation committee may, however, determine that a different vesting schedule is appropriate.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Equity Awards</w:t>
      </w:r>
    </w:p>
    <w:p>
      <w:pPr>
        <w:spacing w:after="0" w:line="22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Generally, the compensation committee determines the value of each executive officer’s annual equity grant using a holistic evaluation that takes into account a competitive market analysis prepared by our independent compensation consultant with market data for each role, the recommendations of our Chief Executive Officer based on his evaluation of their individual performance (except with respect to the Chief Executive Officer’s performance), the extent to which the executive officer is currently vested in his or her stock awards, scope and criticality of the executive’s role and parity in targets among executives in roles of a given level. For 2025, our compensation committee reviewed competitive market data prepared by Alpine Rewards in connection with its grant of long-term equity incentive awards to the named executive officers and approved equity awards to our named executive officers intended to approximate close to the 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of comparable company data for similar positions, which it considers appropriate to create a meaningful opportunity for reward predicated on the creation of long-term stockholder value.</w:t>
      </w:r>
    </w:p>
    <w:p>
      <w:pPr>
        <w:spacing w:after="0" w:line="19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March 2025, our compensation committee granted of stock options pursuant to our 2019 Plan to our named executive officers as follows: Mr. Hasnain, 1,540,000 options; Mr. Giraudo, 638,000 options; and Mr. Smith, 572,000 options. The equity awards granted to our named executive officers for 2025 are set forth in the “Outstanding Equity Awards at Fiscal Year-End” below. Each equity award granted in 2025 vests over four years in accordance with the standard vesting schedule described above. In October 2025, the Board granted PSUs pursuant to our 2019 Plan to our named executive officers as follows: Mr. Hasnain, 437,500 PSUs; Mr. Giraudo, 181,250 PSUs; and Mr. Smith, 162,500 PSUs. The PSUs granted vest upon the earlier of (i) the approval of a new drug application for seralutinib or (ii) a change in control, in either case on or prior to the fourth anniversary of the grant date, and subject to such executive officer’s continuous service.</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a description of certain accelerated vesting provisions applicable to the stock awards granted to our named executive officers, see “Employment Letters with Our Named Executive Officers”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 Timing Policies and Practices</w:t>
      </w:r>
    </w:p>
    <w:p>
      <w:pPr>
        <w:spacing w:after="0" w:line="229"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8"/>
          <w:szCs w:val="18"/>
          <w:color w:val="auto"/>
        </w:rPr>
        <w:t>Equity awards to employees are typically granted in connection with the Company annual award process in the first quarter of each year, as well as to new hires in connection with their commencement of employment. We do not grant equity awards in anticipation of the release of material nonpublic information and we do not time the release of material nonpublic information for the purpose of affecting the value of executive compensation. In the event material nonpublic information becomes known to the compensation committee before granting an equity award, the compensation committee will consider such information and use its business judgment to determine whether to delay the grant of equity to avoid any appearance of impropriety. For all stock option awards, the exercise price is the closing price of our Common Stock on the Nasdaq Stock Market on the date of the grant (or if the grant date is not a trading day, then on the immediately preceding trading day). During 2025, we did not grant stock options, stock appreciation rights, or similar option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 instruments to our named executive officers during the four business days prior to or the one business day following the filing of our periodic reports or the filing or furnishing of a Form 10-K, 10-Q, or Form 8-K that discloses material nonpublic information.</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Welfare and Retirement Benefits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establishment of competitive benefit packages for our employees is an important factor in attracting and retaining highly qualified personnel.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Welfare Benefits</w:t>
      </w:r>
    </w:p>
    <w:p>
      <w:pPr>
        <w:spacing w:after="0" w:line="227" w:lineRule="exact"/>
        <w:rPr>
          <w:sz w:val="20"/>
          <w:szCs w:val="20"/>
          <w:color w:val="auto"/>
        </w:rPr>
      </w:pPr>
    </w:p>
    <w:p>
      <w:pPr>
        <w:jc w:val="both"/>
        <w:ind w:right="420"/>
        <w:spacing w:after="0" w:line="289" w:lineRule="auto"/>
        <w:rPr>
          <w:sz w:val="20"/>
          <w:szCs w:val="20"/>
          <w:color w:val="auto"/>
        </w:rPr>
      </w:pPr>
      <w:r>
        <w:rPr>
          <w:rFonts w:ascii="Times New Roman" w:cs="Times New Roman" w:eastAsia="Times New Roman" w:hAnsi="Times New Roman"/>
          <w:sz w:val="17"/>
          <w:szCs w:val="17"/>
          <w:color w:val="auto"/>
        </w:rPr>
        <w:t>Our named executive officers are eligible to participate in our employee benefit plans, including our medical, dental, vision, group life, disability and accidental death and dismemberment insurance plans, in each case on the generally on same basis as all of our other employees. We believe that these health and welfare benefits help ensure that we have a productive and focused workforce through reliable and competitive health and other benefits.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color w:val="auto"/>
        </w:rPr>
        <w:t>Retirement Savings</w:t>
      </w:r>
    </w:p>
    <w:p>
      <w:pPr>
        <w:spacing w:after="0" w:line="2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maintain a defined contribution employee retirement plan (“</w:t>
      </w:r>
      <w:r>
        <w:rPr>
          <w:rFonts w:ascii="Times New Roman" w:cs="Times New Roman" w:eastAsia="Times New Roman" w:hAnsi="Times New Roman"/>
          <w:sz w:val="18"/>
          <w:szCs w:val="18"/>
          <w:b w:val="1"/>
          <w:bCs w:val="1"/>
          <w:i w:val="1"/>
          <w:iCs w:val="1"/>
          <w:color w:val="auto"/>
        </w:rPr>
        <w:t>401(k)</w:t>
      </w:r>
      <w:r>
        <w:rPr>
          <w:rFonts w:ascii="Times New Roman" w:cs="Times New Roman" w:eastAsia="Times New Roman" w:hAnsi="Times New Roman"/>
          <w:sz w:val="18"/>
          <w:szCs w:val="18"/>
          <w:color w:val="auto"/>
        </w:rPr>
        <w:t>”) plan, for our employees. Our named executive officers are eligible to participate in the 401(k) plan on the same basis as our other employees. The 401(k) plan is intended to qualify as a tax-qualified plan under Section 401(k) of the Code. The 401(k) plan provides that each participant may make pre-tax deferrals from his or her compensation up to the statutory limit, which is $23,500 for calendar year 2025. Participants who are 50 years or older can also make “catch-up” contributions, which in calendar year 2025 may be up to an additional $7,500 above the statutory limit. The 401(k) plan provides for discretionary matching and profit sharing contributions, and we currently contribute up to a maximum of $4,000 per calendar year to the 401(k) plan for each of our employees, which vests over four years. Participant contributions are held and invested, pursuant to the participant’s instructions, by the plan’s trustee.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Benefits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Board may elect to adopt qualified or non-qualified benefit plans in the future if it determines that doing so is in our best interests. We generally do not provide perquisites or personal benefits to our named executive officers, except in limited circumstances.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 Termination and Change in Control Benefits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named executive officers may become entitled to certain benefits or enhanced benefits in connection with a change in control of our company. The employment letters with each of our named executive officers provide for accelerated vesting of all outstanding equity awards, as well as certain other benefits, upon a qualifying termination in connection with a change in control of our company. For additional discussion, please see “Employment Letters with Our Named Executive Officers”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 on Certain Transactions in Gossamer Bio Securities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Insider Trading Policy prohibits officers, directors and employees, and entities controlled by such individuals and members of their households, from making short sales in our equity securities, transacting in puts, calls or other derivative securities involving our equity securities, on an exchange or in any other organized market, engaging in hedging or monetization transactions, such as zero-cost collars and forward sale contracts, purchasing our securities on margin or pledging our securities as collateral for a loan.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Deductibility of Executive Compensation</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compensation committee and the Board have considered the potential future effects of Section 162(m) of the Internal Revenue Code on the compensation paid to our executive officers. Section 162(m) disallows a tax deduction for any publicly held corporation for individual compensation exceeding $1.0 million in any taxable year for “covered employees.” While we consider the tax deductibility of each element of executive compensation as a factor in our overall compensation program, the compensation committee, however, retains the discretion to approve compensation that may not qualify for the compensation deduction if, considering all applicable circumstances, it would be in our best interest for such compensation to be paid without regard to whether it may be tax deductible.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Stock-Based Compensation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Under FASB ASC 718, we are required to estimate the grant date “fair value” for each grant of equity award using various assumptions. This calculation is performed for accounting purposes and reported in the compensation tables below, even though recipients may never realize any value from their awards. ASC 718 also requires us to recognize the compensation cost of stock-based awards in our income statements over the period that an employee is required to render service in exchange for the award.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Risk Assessment of Compensation Program</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March 2026, management assessed our compensation program for the purpose of reviewing and considering any risks presented by our compensation policies and practices that are reasonably likely to have a material adverse effect on us. As part of that assessment, management reviewed the primary elements of our compensation program, including base salary, short-term incentive compensation and long-term incentive compensation. Management’s risk assessment included a review of the overall design of each primary element of our compensation program, and an analysis of the various design features, controls and approval rights in place with respect to compensation paid to management and other employees that mitigate potential risks to us that could arise from our compensation program. Following the assessment, management determined that our compensation policies and practices did not create risks that were reasonably likely to have a material adverse effect on us and reported the results of the assessment to our compensation committee.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5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Our Chief Executive Officer and Chief Financial Officer are subject to any recovery rights that are provided under applicable laws, including the Sarbanes-Oxley Act of 2002. In addition, we have adopted a compensation recovery policy that requires the recovery of certain erroneously paid incentive compensation received by our current and former executive on or after October 2, 2023 in the event of a restatement of our financial statements, as required by new SEC rules and Nasdaq Stock Market Listing Standards implemented pursuant to the Dodd-Frank Wall Street Reform and Consumer Protection Act.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earned by our named executive officers during the years ended December 31, 2024 and 2025.</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Non-equity</w:t>
            </w: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Name and Principal</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Incentive Plan</w:t>
            </w: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Compensation($)</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Position</w:t>
            </w:r>
          </w:p>
        </w:tc>
        <w:tc>
          <w:tcPr>
            <w:tcW w:w="100" w:type="dxa"/>
            <w:vAlign w:val="bottom"/>
          </w:tcPr>
          <w:p>
            <w:pPr>
              <w:spacing w:after="0"/>
              <w:rPr>
                <w:sz w:val="17"/>
                <w:szCs w:val="17"/>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Bonus($)</w:t>
            </w:r>
          </w:p>
        </w:tc>
        <w:tc>
          <w:tcPr>
            <w:tcW w:w="34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Awards($)(1)</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Awards($)(1)</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Compensation($)(2)</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(3)</w:t>
            </w:r>
          </w:p>
        </w:tc>
        <w:tc>
          <w:tcPr>
            <w:tcW w:w="320" w:type="dxa"/>
            <w:vAlign w:val="bottom"/>
          </w:tcPr>
          <w:p>
            <w:pPr>
              <w:spacing w:after="0"/>
              <w:rPr>
                <w:sz w:val="17"/>
                <w:szCs w:val="17"/>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8"/>
        </w:trPr>
        <w:tc>
          <w:tcPr>
            <w:tcW w:w="21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Faheem Hasnain</w:t>
            </w:r>
          </w:p>
        </w:tc>
        <w:tc>
          <w:tcPr>
            <w:tcW w:w="100" w:type="dxa"/>
            <w:vAlign w:val="bottom"/>
            <w:tcBorders>
              <w:top w:val="single" w:sz="8" w:color="CFF0FC"/>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180" w:type="dxa"/>
            <w:vAlign w:val="bottom"/>
            <w:tcBorders>
              <w:top w:val="single" w:sz="8" w:color="CFF0FC"/>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649,649</w:t>
            </w:r>
          </w:p>
        </w:tc>
        <w:tc>
          <w:tcPr>
            <w:tcW w:w="100" w:type="dxa"/>
            <w:vAlign w:val="bottom"/>
            <w:tcBorders>
              <w:top w:val="single" w:sz="8" w:color="CFF0FC"/>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CFF0FC"/>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FF0FC"/>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1,392,006</w:t>
            </w:r>
          </w:p>
        </w:tc>
        <w:tc>
          <w:tcPr>
            <w:tcW w:w="160" w:type="dxa"/>
            <w:vAlign w:val="bottom"/>
            <w:tcBorders>
              <w:top w:val="single" w:sz="8" w:color="CFF0FC"/>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254,800</w:t>
            </w:r>
          </w:p>
        </w:tc>
        <w:tc>
          <w:tcPr>
            <w:tcW w:w="80" w:type="dxa"/>
            <w:vAlign w:val="bottom"/>
            <w:tcBorders>
              <w:top w:val="single" w:sz="8" w:color="CFF0FC"/>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320" w:type="dxa"/>
            <w:vAlign w:val="bottom"/>
            <w:tcBorders>
              <w:top w:val="single" w:sz="8" w:color="CFF0FC"/>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2,300,455</w:t>
            </w:r>
          </w:p>
        </w:tc>
        <w:tc>
          <w:tcPr>
            <w:tcW w:w="0" w:type="dxa"/>
            <w:vAlign w:val="bottom"/>
          </w:tcPr>
          <w:p>
            <w:pPr>
              <w:spacing w:after="0"/>
              <w:rPr>
                <w:sz w:val="1"/>
                <w:szCs w:val="1"/>
                <w:color w:val="auto"/>
              </w:rPr>
            </w:pPr>
          </w:p>
        </w:tc>
      </w:tr>
      <w:tr>
        <w:trPr>
          <w:trHeight w:val="152"/>
        </w:trPr>
        <w:tc>
          <w:tcPr>
            <w:tcW w:w="2100" w:type="dxa"/>
            <w:vAlign w:val="bottom"/>
            <w:shd w:val="clear" w:color="auto" w:fill="CFF0FC"/>
          </w:tcPr>
          <w:p>
            <w:pPr>
              <w:ind w:left="280"/>
              <w:spacing w:after="0" w:line="151" w:lineRule="exact"/>
              <w:rPr>
                <w:sz w:val="20"/>
                <w:szCs w:val="20"/>
                <w:color w:val="auto"/>
              </w:rPr>
            </w:pPr>
            <w:r>
              <w:rPr>
                <w:rFonts w:ascii="Times New Roman" w:cs="Times New Roman" w:eastAsia="Times New Roman" w:hAnsi="Times New Roman"/>
                <w:sz w:val="14"/>
                <w:szCs w:val="14"/>
                <w:i w:val="1"/>
                <w:iCs w:val="1"/>
                <w:color w:val="auto"/>
              </w:rPr>
              <w:t>Chairman, President</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100" w:type="dxa"/>
            <w:vAlign w:val="bottom"/>
            <w:shd w:val="clear" w:color="auto" w:fill="CFF0FC"/>
          </w:tcPr>
          <w:p>
            <w:pPr>
              <w:ind w:left="280"/>
              <w:spacing w:after="0" w:line="146" w:lineRule="exact"/>
              <w:rPr>
                <w:sz w:val="20"/>
                <w:szCs w:val="20"/>
                <w:color w:val="auto"/>
              </w:rPr>
            </w:pPr>
            <w:r>
              <w:rPr>
                <w:rFonts w:ascii="Times New Roman" w:cs="Times New Roman" w:eastAsia="Times New Roman" w:hAnsi="Times New Roman"/>
                <w:sz w:val="14"/>
                <w:szCs w:val="14"/>
                <w:i w:val="1"/>
                <w:iCs w:val="1"/>
                <w:color w:val="auto"/>
              </w:rPr>
              <w:t>and Chief Executive</w:t>
            </w:r>
          </w:p>
        </w:tc>
        <w:tc>
          <w:tcPr>
            <w:tcW w:w="640" w:type="dxa"/>
            <w:vAlign w:val="bottom"/>
            <w:gridSpan w:val="2"/>
            <w:vMerge w:val="restart"/>
            <w:shd w:val="clear" w:color="auto" w:fill="CFF0FC"/>
          </w:tcPr>
          <w:p>
            <w:pPr>
              <w:jc w:val="center"/>
              <w:ind w:left="8"/>
              <w:spacing w:after="0"/>
              <w:rPr>
                <w:sz w:val="20"/>
                <w:szCs w:val="20"/>
                <w:color w:val="auto"/>
              </w:rPr>
            </w:pPr>
            <w:r>
              <w:rPr>
                <w:rFonts w:ascii="Times New Roman" w:cs="Times New Roman" w:eastAsia="Times New Roman" w:hAnsi="Times New Roman"/>
                <w:sz w:val="14"/>
                <w:szCs w:val="14"/>
                <w:color w:val="auto"/>
                <w:w w:val="99"/>
              </w:rPr>
              <w:t>2024</w:t>
            </w:r>
          </w:p>
        </w:tc>
        <w:tc>
          <w:tcPr>
            <w:tcW w:w="18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628,173</w:t>
            </w:r>
          </w:p>
        </w:tc>
        <w:tc>
          <w:tcPr>
            <w:tcW w:w="10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2"/>
                <w:szCs w:val="12"/>
                <w:color w:val="auto"/>
              </w:rPr>
            </w:pPr>
          </w:p>
        </w:tc>
        <w:tc>
          <w:tcPr>
            <w:tcW w:w="1060" w:type="dxa"/>
            <w:vAlign w:val="bottom"/>
            <w:gridSpan w:val="2"/>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1,043,438</w:t>
            </w:r>
          </w:p>
        </w:tc>
        <w:tc>
          <w:tcPr>
            <w:tcW w:w="16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329,822</w:t>
            </w:r>
          </w:p>
        </w:tc>
        <w:tc>
          <w:tcPr>
            <w:tcW w:w="8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320" w:type="dxa"/>
            <w:vAlign w:val="bottom"/>
            <w:shd w:val="clear" w:color="auto" w:fill="CFF0FC"/>
          </w:tcPr>
          <w:p>
            <w:pPr>
              <w:spacing w:after="0"/>
              <w:rPr>
                <w:sz w:val="12"/>
                <w:szCs w:val="12"/>
                <w:color w:val="auto"/>
              </w:rPr>
            </w:pPr>
          </w:p>
        </w:tc>
        <w:tc>
          <w:tcPr>
            <w:tcW w:w="11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2,005,432</w:t>
            </w:r>
          </w:p>
        </w:tc>
        <w:tc>
          <w:tcPr>
            <w:tcW w:w="0" w:type="dxa"/>
            <w:vAlign w:val="bottom"/>
          </w:tcPr>
          <w:p>
            <w:pPr>
              <w:spacing w:after="0"/>
              <w:rPr>
                <w:sz w:val="1"/>
                <w:szCs w:val="1"/>
                <w:color w:val="auto"/>
              </w:rPr>
            </w:pPr>
          </w:p>
        </w:tc>
      </w:tr>
      <w:tr>
        <w:trPr>
          <w:trHeight w:val="203"/>
        </w:trPr>
        <w:tc>
          <w:tcPr>
            <w:tcW w:w="21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i w:val="1"/>
                <w:iCs w:val="1"/>
                <w:color w:val="auto"/>
              </w:rPr>
              <w:t>Officer</w:t>
            </w:r>
          </w:p>
        </w:tc>
        <w:tc>
          <w:tcPr>
            <w:tcW w:w="64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vMerge w:val="continue"/>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gridSpan w:val="2"/>
            <w:vMerge w:val="continue"/>
            <w:shd w:val="clear" w:color="auto" w:fill="CFF0FC"/>
          </w:tcPr>
          <w:p>
            <w:pPr>
              <w:spacing w:after="0"/>
              <w:rPr>
                <w:sz w:val="17"/>
                <w:szCs w:val="17"/>
                <w:color w:val="auto"/>
              </w:rPr>
            </w:pPr>
          </w:p>
        </w:tc>
        <w:tc>
          <w:tcPr>
            <w:tcW w:w="108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vMerge w:val="continue"/>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Bryan Giraudo</w:t>
            </w:r>
          </w:p>
        </w:tc>
        <w:tc>
          <w:tcPr>
            <w:tcW w:w="64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w w:val="99"/>
              </w:rPr>
              <w:t>2025</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519,830</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576,688</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152,913</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32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1,253,431</w:t>
            </w:r>
          </w:p>
        </w:tc>
        <w:tc>
          <w:tcPr>
            <w:tcW w:w="0" w:type="dxa"/>
            <w:vAlign w:val="bottom"/>
          </w:tcPr>
          <w:p>
            <w:pPr>
              <w:spacing w:after="0"/>
              <w:rPr>
                <w:sz w:val="1"/>
                <w:szCs w:val="1"/>
                <w:color w:val="auto"/>
              </w:rPr>
            </w:pPr>
          </w:p>
        </w:tc>
      </w:tr>
      <w:tr>
        <w:trPr>
          <w:trHeight w:val="152"/>
        </w:trPr>
        <w:tc>
          <w:tcPr>
            <w:tcW w:w="2100" w:type="dxa"/>
            <w:vAlign w:val="bottom"/>
          </w:tcPr>
          <w:p>
            <w:pPr>
              <w:ind w:left="280"/>
              <w:spacing w:after="0" w:line="151" w:lineRule="exact"/>
              <w:rPr>
                <w:sz w:val="20"/>
                <w:szCs w:val="20"/>
                <w:color w:val="auto"/>
              </w:rPr>
            </w:pPr>
            <w:r>
              <w:rPr>
                <w:rFonts w:ascii="Times New Roman" w:cs="Times New Roman" w:eastAsia="Times New Roman" w:hAnsi="Times New Roman"/>
                <w:sz w:val="14"/>
                <w:szCs w:val="14"/>
                <w:i w:val="1"/>
                <w:iCs w:val="1"/>
                <w:color w:val="auto"/>
              </w:rPr>
              <w:t>Chief Operating Officer and</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100" w:type="dxa"/>
            <w:vAlign w:val="bottom"/>
          </w:tcPr>
          <w:p>
            <w:pPr>
              <w:ind w:left="280"/>
              <w:spacing w:after="0" w:line="146" w:lineRule="exact"/>
              <w:rPr>
                <w:sz w:val="20"/>
                <w:szCs w:val="20"/>
                <w:color w:val="auto"/>
              </w:rPr>
            </w:pPr>
            <w:r>
              <w:rPr>
                <w:rFonts w:ascii="Times New Roman" w:cs="Times New Roman" w:eastAsia="Times New Roman" w:hAnsi="Times New Roman"/>
                <w:sz w:val="14"/>
                <w:szCs w:val="14"/>
                <w:i w:val="1"/>
                <w:iCs w:val="1"/>
                <w:color w:val="auto"/>
              </w:rPr>
              <w:t>Financial</w:t>
            </w:r>
          </w:p>
        </w:tc>
        <w:tc>
          <w:tcPr>
            <w:tcW w:w="64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2024</w:t>
            </w:r>
          </w:p>
        </w:tc>
        <w:tc>
          <w:tcPr>
            <w:tcW w:w="1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502,645</w:t>
            </w: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06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432,281</w:t>
            </w: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232,977</w:t>
            </w:r>
          </w:p>
        </w:tc>
        <w:tc>
          <w:tcPr>
            <w:tcW w:w="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320" w:type="dxa"/>
            <w:vAlign w:val="bottom"/>
          </w:tcPr>
          <w:p>
            <w:pPr>
              <w:spacing w:after="0"/>
              <w:rPr>
                <w:sz w:val="12"/>
                <w:szCs w:val="12"/>
                <w:color w:val="auto"/>
              </w:rPr>
            </w:pPr>
          </w:p>
        </w:tc>
        <w:tc>
          <w:tcPr>
            <w:tcW w:w="110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1,171,904</w:t>
            </w:r>
          </w:p>
        </w:tc>
        <w:tc>
          <w:tcPr>
            <w:tcW w:w="0" w:type="dxa"/>
            <w:vAlign w:val="bottom"/>
          </w:tcPr>
          <w:p>
            <w:pPr>
              <w:spacing w:after="0"/>
              <w:rPr>
                <w:sz w:val="1"/>
                <w:szCs w:val="1"/>
                <w:color w:val="auto"/>
              </w:rPr>
            </w:pPr>
          </w:p>
        </w:tc>
      </w:tr>
      <w:tr>
        <w:trPr>
          <w:trHeight w:val="196"/>
        </w:trPr>
        <w:tc>
          <w:tcPr>
            <w:tcW w:w="2100" w:type="dxa"/>
            <w:vAlign w:val="bottom"/>
          </w:tcPr>
          <w:p>
            <w:pPr>
              <w:ind w:left="280"/>
              <w:spacing w:after="0"/>
              <w:rPr>
                <w:sz w:val="20"/>
                <w:szCs w:val="20"/>
                <w:color w:val="auto"/>
              </w:rPr>
            </w:pPr>
            <w:r>
              <w:rPr>
                <w:rFonts w:ascii="Times New Roman" w:cs="Times New Roman" w:eastAsia="Times New Roman" w:hAnsi="Times New Roman"/>
                <w:sz w:val="14"/>
                <w:szCs w:val="14"/>
                <w:i w:val="1"/>
                <w:iCs w:val="1"/>
                <w:color w:val="auto"/>
              </w:rPr>
              <w:t>Officer</w:t>
            </w:r>
          </w:p>
        </w:tc>
        <w:tc>
          <w:tcPr>
            <w:tcW w:w="6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Robert Smith</w:t>
            </w:r>
          </w:p>
        </w:tc>
        <w:tc>
          <w:tcPr>
            <w:tcW w:w="640" w:type="dxa"/>
            <w:vAlign w:val="bottom"/>
            <w:gridSpan w:val="2"/>
            <w:shd w:val="clear" w:color="auto" w:fill="CFF0FC"/>
          </w:tcPr>
          <w:p>
            <w:pPr>
              <w:jc w:val="center"/>
              <w:ind w:left="8"/>
              <w:spacing w:after="0"/>
              <w:rPr>
                <w:sz w:val="20"/>
                <w:szCs w:val="20"/>
                <w:color w:val="auto"/>
              </w:rPr>
            </w:pPr>
            <w:r>
              <w:rPr>
                <w:rFonts w:ascii="Times New Roman" w:cs="Times New Roman" w:eastAsia="Times New Roman" w:hAnsi="Times New Roman"/>
                <w:sz w:val="14"/>
                <w:szCs w:val="14"/>
                <w:color w:val="auto"/>
                <w:w w:val="99"/>
              </w:rPr>
              <w:t>2025</w:t>
            </w: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463,500</w:t>
            </w: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3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97"/>
              </w:rPr>
              <w:t>(4)</w:t>
            </w: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517,031</w:t>
            </w:r>
          </w:p>
        </w:tc>
        <w:tc>
          <w:tcPr>
            <w:tcW w:w="1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121,213</w:t>
            </w:r>
          </w:p>
        </w:tc>
        <w:tc>
          <w:tcPr>
            <w:tcW w:w="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1,180,744</w:t>
            </w:r>
          </w:p>
        </w:tc>
        <w:tc>
          <w:tcPr>
            <w:tcW w:w="0" w:type="dxa"/>
            <w:vAlign w:val="bottom"/>
          </w:tcPr>
          <w:p>
            <w:pPr>
              <w:spacing w:after="0"/>
              <w:rPr>
                <w:sz w:val="1"/>
                <w:szCs w:val="1"/>
                <w:color w:val="auto"/>
              </w:rPr>
            </w:pPr>
          </w:p>
        </w:tc>
      </w:tr>
      <w:tr>
        <w:trPr>
          <w:trHeight w:val="152"/>
        </w:trPr>
        <w:tc>
          <w:tcPr>
            <w:tcW w:w="2100" w:type="dxa"/>
            <w:vAlign w:val="bottom"/>
            <w:shd w:val="clear" w:color="auto" w:fill="CFF0FC"/>
          </w:tcPr>
          <w:p>
            <w:pPr>
              <w:ind w:left="240"/>
              <w:spacing w:after="0" w:line="151" w:lineRule="exact"/>
              <w:rPr>
                <w:sz w:val="20"/>
                <w:szCs w:val="20"/>
                <w:color w:val="auto"/>
              </w:rPr>
            </w:pPr>
            <w:r>
              <w:rPr>
                <w:rFonts w:ascii="Times New Roman" w:cs="Times New Roman" w:eastAsia="Times New Roman" w:hAnsi="Times New Roman"/>
                <w:sz w:val="14"/>
                <w:szCs w:val="14"/>
                <w:i w:val="1"/>
                <w:iCs w:val="1"/>
                <w:color w:val="auto"/>
              </w:rPr>
              <w:t>Chief Commercial</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i w:val="1"/>
                <w:iCs w:val="1"/>
                <w:color w:val="auto"/>
              </w:rPr>
              <w:t>Officer</w:t>
            </w: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18" w:lineRule="exact"/>
        <w:rPr>
          <w:sz w:val="20"/>
          <w:szCs w:val="20"/>
          <w:color w:val="auto"/>
        </w:rPr>
      </w:pPr>
    </w:p>
    <w:p>
      <w:pPr>
        <w:ind w:left="660" w:right="20" w:hanging="652"/>
        <w:spacing w:after="0" w:line="250" w:lineRule="auto"/>
        <w:tabs>
          <w:tab w:leader="none" w:pos="65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the grant date fair value of the stock and option awards granted to the named executive officers in the applicable fiscal year. In accordance with SEC rules, this column reflects the aggregate fair value of the award granted to the named executive officers computed as of its grant date in accordance with Financial Accounting Standards, Standard Board Accounting Codification Topic 718 for stock-based compensation transactions (ASC 718). In 2025, our named executive officers were granted PSU awards, which were determined to be not probable of achievement on the date of grant. Assuming the achievement of the performance goal at 100%, the grant date fair value of the PSU awards are $1,089,375, $451,313 and $404,625, calculated based on the closing price per share of our Common Stock on the date of grant, for Messrs. Hasnain, Giraudo and Smith, respectively.</w:t>
      </w:r>
    </w:p>
    <w:p>
      <w:pPr>
        <w:spacing w:after="0" w:line="1" w:lineRule="exact"/>
        <w:rPr>
          <w:rFonts w:ascii="Times New Roman" w:cs="Times New Roman" w:eastAsia="Times New Roman" w:hAnsi="Times New Roman"/>
          <w:sz w:val="18"/>
          <w:szCs w:val="18"/>
          <w:color w:val="auto"/>
        </w:rPr>
      </w:pPr>
    </w:p>
    <w:p>
      <w:pPr>
        <w:ind w:left="660" w:right="180" w:hanging="652"/>
        <w:spacing w:after="0" w:line="250" w:lineRule="auto"/>
        <w:tabs>
          <w:tab w:leader="none" w:pos="65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cash awards earned pursuant to the terms of our annual performance bonus program, which are paid in the first quarter of the following year. See “—Executive Compensation and Other Information – Performance Bonuses” for more information.</w:t>
      </w:r>
    </w:p>
    <w:p>
      <w:pPr>
        <w:ind w:left="640" w:hanging="632"/>
        <w:spacing w:after="0" w:line="236"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company-paid 401(k) matching contributions.</w:t>
      </w:r>
    </w:p>
    <w:p>
      <w:pPr>
        <w:ind w:left="640" w:hanging="632"/>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a sign-on bonus paid to Mr. Smith pursuant to his employment agreement with us.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Employment Letters with Named Executive Officers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 with Mr. Hasnain</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Mr. Hasnain’s appointment as our President and Chief Executive Officer, we entered into a letter agreement with him on November 16, 2020, which sets forth the terms of his appointment as President and Chief Executive Officer. The employment letter agreement with Mr. Hasnain established Mr. Hasnain’s annual base salary (which for 2025 was $653,331) and target annual bonus (60% of his base salary for 2025).</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the employment letter agreement with Mr. Hasnain, if we terminate his employment other than for cause (as defined below) or Mr. Hasnain terminates his employment for good reason (as defined below), and other than as a result of death or disability, in either case prior to a change in control (as defined below) or more than 12 months following a change in control, he is entitled to the following payments and benefits, subject to the timely execution and non-revocation of a general release of claims in our favor: (1) continued payment of his base salary at the then-current rate for 12 months, paid in accordance to our payroll practices; (2) a payment equal to his then current target annual bonus opportunity, pro-rated for the portion of the current calendar year in which he was employed, payable in a lump sum payment 60 days following the date of termination; (3) payment of the full premium for continued health plan coverage for up to 12 months following the date of termination or, if earlier, up to the date he becomes eligible to receive equivalent or increased health plan coverage by means of subsequent employment or self-employment; and (4) automatic acceleration of the vesting and exercisability of his unvested stock awards, as to the number of stock awards that would vest over the 12-month period following the date of termination. The cash severance benefits described in clause (1) above shall be paid or commence on the first payroll period following the date his release becomes effective and the first payment shall include all accrued amounts from the date of termination, provided that if the period during which he may deliver the release spans two calendar years, the initial payment date shall be no earlier than January 1 of the second calendar year.</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Mr. Hasnain’s employment is terminated by us other than for cause or by Mr. Hasnain for good reason, in each case within 12 months after a change in control, in lieu of the severance benefits described above, he is entitled to the following payments and benefits, subject to the timely execution and non-revocation of a general release of claims in our favor: (1) continued payment of his base salary at the then-current rate for 18 months, paid in accordance to our payroll practices; (2) a payment equal to his then current target annual bonus opportunity, payable in a lump sum payment 60 days following the date of termination; (3) payment of the full premium for continued health plan coverage for up to 18 months following the date of termination or, if earlier, up to the date he becomes eligible to receive equivalent or increased health plan coverage by means of subsequent employment or self-employment; and (4) automatic full vesting and exercisability of his unvested stock awards. The cash severance benefits described in clause (1) above shall be paid or commence on the first payroll period following the date the executive’s release becomes effective and the first payment shall include all accrued amounts from the date of termination, provided that if the period during which executive may deliver the release spans two calendar years, the initial payment date shall be no earlier than January 1 of the second calendar year.</w:t>
      </w:r>
    </w:p>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in the event of Mr. Hasnain’s termination of employment by reason of his death or disability, and subject to the timely execution and non-revocation of a general release of claims in our favor by the executive, then the greater of (1) 50% of the unvested portion of any equity awards then held by him immediately prior to such termination, and (2) the portion of such equity awards that would have otherwise vested in the 12 month period following the date of such termination of employment, will vest and will no longer be subject to restrictions or forfeiture on the date of such termination.</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Mr. Hasnain’s employment as President and Chief Executive Officer terminates without cause or by him for good reason, but he continues to serve as Chairman or Executive Chairman of the Board, his equity awards will not accelerate as described above but will continue to vest in accordance with their original terms.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the event we terminate Mr. Hasnain’s employment for any reason, including for cause, Mr. Hasnain terminates his employment without good reason, or upon his death or permanent disability, he is entitled to receive his fully earned but unpaid base salary and accrued and unused PTO through the date of termination at the rate then in effect, plus all other amounts under any compensation plan or practice to which he is entitled.</w:t>
      </w:r>
    </w:p>
    <w:p>
      <w:pPr>
        <w:spacing w:after="0" w:line="176"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employment letter agreement with Mr. Hasnain also contains a Section 280G better-off cutback provision, which provides that, in the event that the payments or benefits provided to Mr. Hasnain pursuant to the employment letter or otherwise constitute parachute payments with the meaning of Section 280G of the Code, the payments or benefits to the executive will either be delivered in full or reduced to the extent necessary to avoid an excise tax under Section 4999 of the Code, whichever would result in him receiving the largest amount of payments or benefits on an after-tax basis.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57" w:name="page58"/>
    <w:bookmarkEnd w:id="57"/>
    <w:p>
      <w:pPr>
        <w:spacing w:after="0" w:line="254" w:lineRule="auto"/>
        <w:rPr>
          <w:sz w:val="20"/>
          <w:szCs w:val="20"/>
          <w:color w:val="auto"/>
        </w:rPr>
      </w:pPr>
      <w:r>
        <w:rPr>
          <w:rFonts w:ascii="Times New Roman" w:cs="Times New Roman" w:eastAsia="Times New Roman" w:hAnsi="Times New Roman"/>
          <w:sz w:val="18"/>
          <w:szCs w:val="18"/>
          <w:color w:val="auto"/>
        </w:rPr>
        <w:t>For purposes of the employment letter agreement with Mr. Hasnain, “cause” means (1) a willful and material act of dishonesty by Mr. Hasnain in connection with the performance of his duties; (2) his conviction of, or plea of guilty or nolo contendere to, a felony (other than a traffic offense that does not result in a fatality), or any crime involving fraud or embezzlement that the board reasonably determines has had or is reasonably likely to have a materially detrimental effect on our reputation or business; (3) Mr. Hasnain’s gross misconduct in the performance of his duties; (4) Mr. Hasnain’s willful and material unauthorized use or disclosure of any proprietary information or trade secrets of ours or any other party to whom he owes an obligation of nondisclosure as a result of his relationship with us; (5) Mr. Hasnain’s willful and material breach of any obligations under any written agreement or written covenant with us; or (6) Mr. Hasnain’s continued willful and substantial failure to perform his duties as a member of the board or, during the term of his employment, his material employment duties that are lawfully assigned to him in good faith by the board (other than as a result of his death or disability) after written notice.</w:t>
      </w:r>
    </w:p>
    <w:p>
      <w:pPr>
        <w:spacing w:after="0" w:line="188"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For purposes of the employment letter agreement with Mr. Hasnain, “good reason” means the occurrence of one or more of the following, without Mr. Hasnain’s written consent: (1) during the term of Mr. Hasnain’s employment: a material reduction in his base salary or target annual bonus; a material diminution of his title, duties, responsibilities or reporting lines; or a material change in the principal geographic location at which he must perform services, more than 50 miles from our head office; provided, however, that, prior to a change in control, an event occurring under this clause (1) in connection with his cessation of service as President and Chief Executive Officer will not constitute good reason if Mr. Hasnain remains serving as Chairman of the Board or Executive Chairman following such transition and neither clause (2) nor clause (3) is triggered as a result of such transition; or</w:t>
      </w:r>
    </w:p>
    <w:p>
      <w:pPr>
        <w:spacing w:after="0" w:line="5" w:lineRule="exact"/>
        <w:rPr>
          <w:sz w:val="20"/>
          <w:szCs w:val="20"/>
          <w:color w:val="auto"/>
        </w:rPr>
      </w:pPr>
    </w:p>
    <w:p>
      <w:pPr>
        <w:ind w:right="20" w:firstLine="8"/>
        <w:spacing w:after="0" w:line="253" w:lineRule="auto"/>
        <w:tabs>
          <w:tab w:leader="none" w:pos="2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his involuntary removal from the board or the failure of the stockholders to reelect him to the board, other than for cause; or (3) at any time, a material breach by us of the terms of the employment letter. Mr. Hasnain must provide written notice to us of the occurrence of any of the foregoing events or conditions within 60 days of the initial occurrence of such event and we will have a period of 30 days to cure such event or condition after receipt of such notice. His separation from service by reason of resignation for good reason must occur within 60 days following the expiration of the foregoing 30-day cure period.</w:t>
      </w:r>
    </w:p>
    <w:p>
      <w:pPr>
        <w:spacing w:after="0" w:line="18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For purposes of the 2019 Plan, a “change in control” is generally defined as: (1) a transaction or series of transactions (other than a registered offering of our Common Stock to the general public or a transaction described in clauses (x) and (y) of clause (3) below) whereby any “person” or “group” of “persons” (as such terms are used in Sections 13(d) and 14(d)(2) of the Exchange Act) (other than us and our affiliates) directly or indirectly acquires beneficial ownership of our securities possessing more than 50% of the total combined voting power of our securities outstanding immediately after such acquisition; or (2) during any period of two consecutive years, individuals who, at the beginning of such period, constitute the board of directors together with any new director(s) (other than a director designated by a person who entered into an agreement with us to effect a transaction described in clauses (1) or (3)) whose election by the board of directors or nomination for election by our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 (3) the consummation by us, directly or indirectly, of (a) a merger, consolidation, reorganization, or business combination or (b) a sale or other disposition of all or substantially all of our assets in any single transaction or series of related transactions or (c) the acquisition of assets or stock of another entity, in each case other than a transaction: (x) which results in our voting securities outstanding immediately before the transaction continuing to represent, directly or indirectly, at least a majority of the combined voting power of our outstanding voting securities or the successor entity’s outstanding voting securities immediately after the transaction, and (y) after which no person or group beneficially owns voting securities representing 50% or more of the combined voting power of us or the successor entity.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Letters with Our Other Named Executive Officers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have entered into employment letters with Mr. Giraudo and Mr. Smith, which set forth their annual base salaries (which, for 2025, were $522,776 and $466,200, respectively) and eligibility to receive an annual bonus with a target amount equal to 45% and 40%, respectively, of their then-current annual base salary.</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Pursuant to their employment letters, if we terminate the executive’s employment other than for cause or if the executive terminates his employment for good reason, and other than as a result of death or disability, in either case prior to a change in control (as defined below) or more than 12 months following a change in control, he is entitled to the following payments and benefits, subject to the timely execution and non-revocation of a general release of claims in our favor: (1) continued payment of his base salary at the then-current rate for 9 months, paid in accordance to our payroll practices; and (2) payment of the full premium for continued health plan coverage for up to 9 months following the date of termination or, if earlier, up to the date the executive becomes eligible to receive equivalent or increased health plan coverage by means of subsequent employment or self-employment. The cash severance benefits described above shall be paid or commence on the first payroll period following the date the executive’s release becomes effective and the first payment shall include all accrued amounts from the date of</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8" w:name="page59"/>
    <w:bookmarkEnd w:id="58"/>
    <w:p>
      <w:pPr>
        <w:ind w:right="40"/>
        <w:spacing w:after="0" w:line="282" w:lineRule="auto"/>
        <w:rPr>
          <w:sz w:val="20"/>
          <w:szCs w:val="20"/>
          <w:color w:val="auto"/>
        </w:rPr>
      </w:pPr>
      <w:r>
        <w:rPr>
          <w:rFonts w:ascii="Times New Roman" w:cs="Times New Roman" w:eastAsia="Times New Roman" w:hAnsi="Times New Roman"/>
          <w:sz w:val="18"/>
          <w:szCs w:val="18"/>
          <w:color w:val="auto"/>
        </w:rPr>
        <w:t>termination, provided that if the period during which executive may deliver the release spans two calendar years, the initial payment date shall be no earlier than January 1 of the second calendar year.</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the executive’s employment is terminated by us other than for cause or by the executive for good reason, in each case within 12 months after a change in control, in lieu of the severance benefits described above, he is entitled to the following payments and benefits, subject to the timely execution and non-revocation of a general release of claims in our favor: (1) continued payment of his base salary at the then-current rate for 12 months, paid in accordance to our payroll practices; (2) a payment equal to his then current target annual bonus opportunity; (3) payment of the full premium for continued health plan coverage for up to 12 months following the date of termination or, if earlier, up to the date the executive becomes eligible to receive equivalent or increased health plan coverage by means of subsequent employment or self-employment; and (4) automatic full vesting and exercisability of the executive’s unvested stock awards. The cash severance benefits described above shall be paid or commence on the first payroll date following the date the executive’s release becomes effective and the first payment shall include all accrued amounts from the date of termination (and the full amount payable under clause (2)), provided that if the period during which executive may deliver the release spans two calendar years, the initial payment date shall be no earlier than January 1 of the second calendar year.</w:t>
      </w:r>
    </w:p>
    <w:p>
      <w:pPr>
        <w:spacing w:after="0" w:line="1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in the event of the executive’s termination of employment by reason of his death or disability, and subject to the timely execution and non-revocation of a general release of claims in our favor by the executive, then the greater of (1) 50% of the unvested portion of any equity awards then held by him immediately prior to such termination, and (2) the portion of such equity awards that would have otherwise vested in the 9 month period following the date of such termination of employment, will vest and will no longer be subject to restrictions or forfeiture on the date of such termination.</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event we terminate the executive’s employment for any reason, including for cause, the executive terminates his employment without good reason, or upon his death or permanent disability, the executive is entitled to receive his fully earned but unpaid base salary and accrued and unused PTO through the date of termination at the rate then in effect, plus all other amounts under any compensation plan or practice to which the executive is entitled.</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employment letters also contain a Section 280G better-off cutback provision, which provides that, in the event that the payments or benefits provided to the executive pursuant to the employment letter or otherwise constitute parachute payments with the meaning of Section 280G of the Code, the payments or benefits to the executive will either be delivered in full or reduced to the extent necessary to avoid an excise tax under Section 4999 of the Code, whichever would result in the executive receiving the largest amount of payments or benefits on an after-tax basis.</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purposes of the employment letters with Mr. Giraudo and Mr. Smith, “cause” and “change in control” generally have the same meaning given to such terms under the employment letter agreement with Mr. Hasnain.</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purposes of the executive employment letters with Mr. Giraudo and Mr. Smith, “good reason” means the occurrence of any of the following events or conditions without the executive’s written consent: (1) a material reduction in the executive’s base salary or target annual bonus; (2) a material diminution of the executive’s title, duties, responsibilities or reporting lines; (3) a material change in the principal geographic location at which the executive must perform services, more than 50 miles from our head office; or (4) a material breach by us of the terms of the employment letter. The executive must provide written notice to us of the occurrence of any of the foregoing events or conditions within 60 days of the initial occurrence of such event and we will have a period of 30 days to cure such event or condition after receipt of such notice. An executive’s separation from service by reason of resignation for good reason must occur within 60 days following the expiration of the foregoing 30 day cure period.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specified information regarding the outstanding equity awards held by our named executive officers at December 31,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3"/>
                <w:szCs w:val="13"/>
                <w:b w:val="1"/>
                <w:bCs w:val="1"/>
                <w:color w:val="auto"/>
                <w:w w:val="95"/>
              </w:rPr>
              <w:t>Stock Awards</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Equity Incentive</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Plan Awards:</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3"/>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w w:val="97"/>
              </w:rPr>
              <w:t>Equity Incentive</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Market or</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3"/>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w w:val="94"/>
              </w:rPr>
              <w:t>Plan Awards:</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Payout</w:t>
            </w: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Equity Incentive</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3"/>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Value of</w:t>
            </w:r>
          </w:p>
        </w:tc>
        <w:tc>
          <w:tcPr>
            <w:tcW w:w="0" w:type="dxa"/>
            <w:vAlign w:val="bottom"/>
          </w:tcPr>
          <w:p>
            <w:pPr>
              <w:spacing w:after="0"/>
              <w:rPr>
                <w:sz w:val="1"/>
                <w:szCs w:val="1"/>
                <w:color w:val="auto"/>
              </w:rPr>
            </w:pPr>
          </w:p>
        </w:tc>
      </w:tr>
      <w:tr>
        <w:trPr>
          <w:trHeight w:val="128"/>
        </w:trPr>
        <w:tc>
          <w:tcPr>
            <w:tcW w:w="1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Plan Awards:</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3"/>
          </w:tcPr>
          <w:p>
            <w:pPr>
              <w:jc w:val="center"/>
              <w:ind w:right="6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Unearned Shares,</w:t>
            </w:r>
          </w:p>
        </w:tc>
        <w:tc>
          <w:tcPr>
            <w:tcW w:w="9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3"/>
          </w:tcPr>
          <w:p>
            <w:pPr>
              <w:jc w:val="center"/>
              <w:ind w:right="600"/>
              <w:spacing w:after="0" w:line="142" w:lineRule="exact"/>
              <w:rPr>
                <w:sz w:val="20"/>
                <w:szCs w:val="20"/>
                <w:color w:val="auto"/>
              </w:rPr>
            </w:pPr>
            <w:r>
              <w:rPr>
                <w:rFonts w:ascii="Times New Roman" w:cs="Times New Roman" w:eastAsia="Times New Roman" w:hAnsi="Times New Roman"/>
                <w:sz w:val="13"/>
                <w:szCs w:val="13"/>
                <w:b w:val="1"/>
                <w:bCs w:val="1"/>
                <w:color w:val="auto"/>
                <w:w w:val="97"/>
              </w:rPr>
              <w:t>Units or Other</w:t>
            </w:r>
          </w:p>
        </w:tc>
        <w:tc>
          <w:tcPr>
            <w:tcW w:w="9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Shares, Units or</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Unexercised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Unexercised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Securities</w:t>
            </w:r>
          </w:p>
        </w:tc>
        <w:tc>
          <w:tcPr>
            <w:tcW w:w="14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3"/>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w w:val="96"/>
              </w:rPr>
              <w:t>Rights That</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Other Rights</w:t>
            </w:r>
          </w:p>
        </w:tc>
        <w:tc>
          <w:tcPr>
            <w:tcW w:w="0" w:type="dxa"/>
            <w:vAlign w:val="bottom"/>
          </w:tcPr>
          <w:p>
            <w:pPr>
              <w:spacing w:after="0"/>
              <w:rPr>
                <w:sz w:val="1"/>
                <w:szCs w:val="1"/>
                <w:color w:val="auto"/>
              </w:rPr>
            </w:pPr>
          </w:p>
        </w:tc>
      </w:tr>
      <w:tr>
        <w:trPr>
          <w:trHeight w:val="74"/>
        </w:trPr>
        <w:tc>
          <w:tcPr>
            <w:tcW w:w="1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Options</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Options</w:t>
            </w: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jc w:val="center"/>
              <w:spacing w:after="0" w:line="74" w:lineRule="exact"/>
              <w:rPr>
                <w:sz w:val="20"/>
                <w:szCs w:val="20"/>
                <w:color w:val="auto"/>
              </w:rPr>
            </w:pPr>
            <w:r>
              <w:rPr>
                <w:rFonts w:ascii="Times New Roman" w:cs="Times New Roman" w:eastAsia="Times New Roman" w:hAnsi="Times New Roman"/>
                <w:sz w:val="8"/>
                <w:szCs w:val="8"/>
                <w:b w:val="1"/>
                <w:bCs w:val="1"/>
                <w:color w:val="auto"/>
              </w:rPr>
              <w:t>Underlying</w:t>
            </w:r>
          </w:p>
        </w:tc>
        <w:tc>
          <w:tcPr>
            <w:tcW w:w="140" w:type="dxa"/>
            <w:vAlign w:val="bottom"/>
          </w:tcPr>
          <w:p>
            <w:pPr>
              <w:spacing w:after="0"/>
              <w:rPr>
                <w:sz w:val="6"/>
                <w:szCs w:val="6"/>
                <w:color w:val="auto"/>
              </w:rPr>
            </w:pP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3"/>
              </w:rPr>
              <w:t>Exercise</w:t>
            </w:r>
          </w:p>
        </w:tc>
        <w:tc>
          <w:tcPr>
            <w:tcW w:w="1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680" w:type="dxa"/>
            <w:vAlign w:val="bottom"/>
            <w:gridSpan w:val="3"/>
            <w:vMerge w:val="restart"/>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w w:val="95"/>
              </w:rPr>
              <w:t>Have Not</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That Have</w:t>
            </w:r>
          </w:p>
        </w:tc>
        <w:tc>
          <w:tcPr>
            <w:tcW w:w="0" w:type="dxa"/>
            <w:vAlign w:val="bottom"/>
          </w:tcPr>
          <w:p>
            <w:pPr>
              <w:spacing w:after="0"/>
              <w:rPr>
                <w:sz w:val="1"/>
                <w:szCs w:val="1"/>
                <w:color w:val="auto"/>
              </w:rPr>
            </w:pPr>
          </w:p>
        </w:tc>
      </w:tr>
      <w:tr>
        <w:trPr>
          <w:trHeight w:val="81"/>
        </w:trPr>
        <w:tc>
          <w:tcPr>
            <w:tcW w:w="1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680" w:type="dxa"/>
            <w:vAlign w:val="bottom"/>
            <w:gridSpan w:val="3"/>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12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Exercisable</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Expiration</w:t>
            </w:r>
          </w:p>
        </w:tc>
        <w:tc>
          <w:tcPr>
            <w:tcW w:w="1680" w:type="dxa"/>
            <w:vAlign w:val="bottom"/>
            <w:gridSpan w:val="3"/>
            <w:vMerge w:val="restart"/>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w w:val="95"/>
              </w:rPr>
              <w:t>Vested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Not Vested</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Unearned Options</w:t>
            </w: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5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20" w:type="dxa"/>
            <w:vAlign w:val="bottom"/>
            <w:gridSpan w:val="3"/>
          </w:tcPr>
          <w:p>
            <w:pPr>
              <w:jc w:val="center"/>
              <w:ind w:left="69"/>
              <w:spacing w:after="0"/>
              <w:rPr>
                <w:sz w:val="20"/>
                <w:szCs w:val="20"/>
                <w:color w:val="auto"/>
              </w:rPr>
            </w:pPr>
            <w:r>
              <w:rPr>
                <w:rFonts w:ascii="Times New Roman" w:cs="Times New Roman" w:eastAsia="Times New Roman" w:hAnsi="Times New Roman"/>
                <w:sz w:val="13"/>
                <w:szCs w:val="13"/>
                <w:b w:val="1"/>
                <w:bCs w:val="1"/>
                <w:color w:val="auto"/>
                <w:w w:val="92"/>
              </w:rPr>
              <w:t>(#)(1)</w:t>
            </w:r>
          </w:p>
        </w:tc>
        <w:tc>
          <w:tcPr>
            <w:tcW w:w="1220" w:type="dxa"/>
            <w:vAlign w:val="bottom"/>
            <w:gridSpan w:val="3"/>
          </w:tcPr>
          <w:p>
            <w:pPr>
              <w:jc w:val="center"/>
              <w:ind w:left="93"/>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980" w:type="dxa"/>
            <w:vAlign w:val="bottom"/>
            <w:gridSpan w:val="2"/>
          </w:tcPr>
          <w:p>
            <w:pPr>
              <w:jc w:val="center"/>
              <w:ind w:left="68"/>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5"/>
                <w:szCs w:val="15"/>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(#)(2)</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($)(3)</w:t>
            </w:r>
          </w:p>
        </w:tc>
        <w:tc>
          <w:tcPr>
            <w:tcW w:w="0" w:type="dxa"/>
            <w:vAlign w:val="bottom"/>
          </w:tcPr>
          <w:p>
            <w:pPr>
              <w:spacing w:after="0"/>
              <w:rPr>
                <w:sz w:val="1"/>
                <w:szCs w:val="1"/>
                <w:color w:val="auto"/>
              </w:rPr>
            </w:pPr>
          </w:p>
        </w:tc>
      </w:tr>
      <w:tr>
        <w:trPr>
          <w:trHeight w:val="188"/>
        </w:trPr>
        <w:tc>
          <w:tcPr>
            <w:tcW w:w="1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Faheem Hasnain</w:t>
            </w: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10/1/2025</w:t>
            </w:r>
          </w:p>
        </w:tc>
        <w:tc>
          <w:tcPr>
            <w:tcW w:w="5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437,500</w:t>
            </w:r>
          </w:p>
        </w:tc>
        <w:tc>
          <w:tcPr>
            <w:tcW w:w="5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1,356,250</w:t>
            </w:r>
          </w:p>
        </w:tc>
        <w:tc>
          <w:tcPr>
            <w:tcW w:w="0" w:type="dxa"/>
            <w:vAlign w:val="bottom"/>
          </w:tcPr>
          <w:p>
            <w:pPr>
              <w:spacing w:after="0"/>
              <w:rPr>
                <w:sz w:val="1"/>
                <w:szCs w:val="1"/>
                <w:color w:val="auto"/>
              </w:rPr>
            </w:pPr>
          </w:p>
        </w:tc>
      </w:tr>
      <w:tr>
        <w:trPr>
          <w:trHeight w:val="193"/>
        </w:trPr>
        <w:tc>
          <w:tcPr>
            <w:tcW w:w="122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3/4/2025</w:t>
            </w: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1,540,000</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3/4/2035</w:t>
            </w:r>
          </w:p>
        </w:tc>
        <w:tc>
          <w:tcPr>
            <w:tcW w:w="100" w:type="dxa"/>
            <w:vAlign w:val="bottom"/>
            <w:shd w:val="clear" w:color="auto" w:fill="CCEEFF"/>
          </w:tcPr>
          <w:p>
            <w:pPr>
              <w:spacing w:after="0"/>
              <w:rPr>
                <w:sz w:val="16"/>
                <w:szCs w:val="16"/>
                <w:color w:val="auto"/>
              </w:rPr>
            </w:pPr>
          </w:p>
        </w:tc>
        <w:tc>
          <w:tcPr>
            <w:tcW w:w="16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1/2/2024</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628,906</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683,594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1/2/2034</w:t>
            </w:r>
          </w:p>
        </w:tc>
        <w:tc>
          <w:tcPr>
            <w:tcW w:w="10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11/20/2023</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227,864</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209,636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0.84</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11/20/2033</w:t>
            </w:r>
          </w:p>
        </w:tc>
        <w:tc>
          <w:tcPr>
            <w:tcW w:w="10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5/5/2023</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5/5/2033</w:t>
            </w:r>
          </w:p>
        </w:tc>
        <w:tc>
          <w:tcPr>
            <w:tcW w:w="10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3/20/2023</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374,343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170,157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3/20/2033</w:t>
            </w:r>
          </w:p>
        </w:tc>
        <w:tc>
          <w:tcPr>
            <w:tcW w:w="10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12/7/2022</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544,500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12/7/2032</w:t>
            </w:r>
          </w:p>
        </w:tc>
        <w:tc>
          <w:tcPr>
            <w:tcW w:w="10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1/6/2022</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1/6/2032</w:t>
            </w:r>
          </w:p>
        </w:tc>
        <w:tc>
          <w:tcPr>
            <w:tcW w:w="10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2/25/2021</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2/25/2031</w:t>
            </w:r>
          </w:p>
        </w:tc>
        <w:tc>
          <w:tcPr>
            <w:tcW w:w="10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6/17/2020</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6/17/2030</w:t>
            </w:r>
          </w:p>
        </w:tc>
        <w:tc>
          <w:tcPr>
            <w:tcW w:w="10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1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3/25/2019</w:t>
            </w:r>
          </w:p>
        </w:tc>
        <w:tc>
          <w:tcPr>
            <w:tcW w:w="5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43,500</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3/25/2029</w:t>
            </w: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Bryan Giraudo</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10/1/2025</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181,250</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561,875</w:t>
            </w:r>
          </w:p>
        </w:tc>
        <w:tc>
          <w:tcPr>
            <w:tcW w:w="0" w:type="dxa"/>
            <w:vAlign w:val="bottom"/>
          </w:tcPr>
          <w:p>
            <w:pPr>
              <w:spacing w:after="0"/>
              <w:rPr>
                <w:sz w:val="1"/>
                <w:szCs w:val="1"/>
                <w:color w:val="auto"/>
              </w:rPr>
            </w:pPr>
          </w:p>
        </w:tc>
      </w:tr>
      <w:tr>
        <w:trPr>
          <w:trHeight w:val="193"/>
        </w:trPr>
        <w:tc>
          <w:tcPr>
            <w:tcW w:w="12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3/4/2025</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638,000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3/4/2035</w:t>
            </w:r>
          </w:p>
        </w:tc>
        <w:tc>
          <w:tcPr>
            <w:tcW w:w="100" w:type="dxa"/>
            <w:vAlign w:val="bottom"/>
          </w:tcPr>
          <w:p>
            <w:pPr>
              <w:spacing w:after="0"/>
              <w:rPr>
                <w:sz w:val="16"/>
                <w:szCs w:val="16"/>
                <w:color w:val="auto"/>
              </w:rPr>
            </w:pPr>
          </w:p>
        </w:tc>
        <w:tc>
          <w:tcPr>
            <w:tcW w:w="16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1/2/2024</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260,546</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283,204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1/2/2034</w:t>
            </w:r>
          </w:p>
        </w:tc>
        <w:tc>
          <w:tcPr>
            <w:tcW w:w="100" w:type="dxa"/>
            <w:vAlign w:val="bottom"/>
          </w:tcPr>
          <w:p>
            <w:pPr>
              <w:spacing w:after="0"/>
              <w:rPr>
                <w:sz w:val="17"/>
                <w:szCs w:val="17"/>
                <w:color w:val="auto"/>
              </w:rPr>
            </w:pPr>
          </w:p>
        </w:tc>
        <w:tc>
          <w:tcPr>
            <w:tcW w:w="16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11/20/2023</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94,400</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86,850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0.84</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11/20/2033</w:t>
            </w:r>
          </w:p>
        </w:tc>
        <w:tc>
          <w:tcPr>
            <w:tcW w:w="100" w:type="dxa"/>
            <w:vAlign w:val="bottom"/>
          </w:tcPr>
          <w:p>
            <w:pPr>
              <w:spacing w:after="0"/>
              <w:rPr>
                <w:sz w:val="17"/>
                <w:szCs w:val="17"/>
                <w:color w:val="auto"/>
              </w:rPr>
            </w:pPr>
          </w:p>
        </w:tc>
        <w:tc>
          <w:tcPr>
            <w:tcW w:w="16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3/20/2023</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145,406</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66,094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3/20/2033</w:t>
            </w:r>
          </w:p>
        </w:tc>
        <w:tc>
          <w:tcPr>
            <w:tcW w:w="100" w:type="dxa"/>
            <w:vAlign w:val="bottom"/>
          </w:tcPr>
          <w:p>
            <w:pPr>
              <w:spacing w:after="0"/>
              <w:rPr>
                <w:sz w:val="17"/>
                <w:szCs w:val="17"/>
                <w:color w:val="auto"/>
              </w:rPr>
            </w:pPr>
          </w:p>
        </w:tc>
        <w:tc>
          <w:tcPr>
            <w:tcW w:w="16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12/7/2022</w:t>
            </w: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12/7/2032</w:t>
            </w:r>
          </w:p>
        </w:tc>
        <w:tc>
          <w:tcPr>
            <w:tcW w:w="100" w:type="dxa"/>
            <w:vAlign w:val="bottom"/>
          </w:tcPr>
          <w:p>
            <w:pPr>
              <w:spacing w:after="0"/>
              <w:rPr>
                <w:sz w:val="17"/>
                <w:szCs w:val="17"/>
                <w:color w:val="auto"/>
              </w:rPr>
            </w:pPr>
          </w:p>
        </w:tc>
        <w:tc>
          <w:tcPr>
            <w:tcW w:w="16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1/6/2022</w:t>
            </w: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(5)(6)</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176,675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1/6/2032</w:t>
            </w:r>
          </w:p>
        </w:tc>
        <w:tc>
          <w:tcPr>
            <w:tcW w:w="100" w:type="dxa"/>
            <w:vAlign w:val="bottom"/>
          </w:tcPr>
          <w:p>
            <w:pPr>
              <w:spacing w:after="0"/>
              <w:rPr>
                <w:sz w:val="17"/>
                <w:szCs w:val="17"/>
                <w:color w:val="auto"/>
              </w:rPr>
            </w:pPr>
          </w:p>
        </w:tc>
        <w:tc>
          <w:tcPr>
            <w:tcW w:w="16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9/16/2021</w:t>
            </w: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9/16/2031</w:t>
            </w:r>
          </w:p>
        </w:tc>
        <w:tc>
          <w:tcPr>
            <w:tcW w:w="100" w:type="dxa"/>
            <w:vAlign w:val="bottom"/>
          </w:tcPr>
          <w:p>
            <w:pPr>
              <w:spacing w:after="0"/>
              <w:rPr>
                <w:sz w:val="17"/>
                <w:szCs w:val="17"/>
                <w:color w:val="auto"/>
              </w:rPr>
            </w:pPr>
          </w:p>
        </w:tc>
        <w:tc>
          <w:tcPr>
            <w:tcW w:w="16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2/25/2021</w:t>
            </w: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2/25/2031</w:t>
            </w:r>
          </w:p>
        </w:tc>
        <w:tc>
          <w:tcPr>
            <w:tcW w:w="100" w:type="dxa"/>
            <w:vAlign w:val="bottom"/>
          </w:tcPr>
          <w:p>
            <w:pPr>
              <w:spacing w:after="0"/>
              <w:rPr>
                <w:sz w:val="17"/>
                <w:szCs w:val="17"/>
                <w:color w:val="auto"/>
              </w:rPr>
            </w:pPr>
          </w:p>
        </w:tc>
        <w:tc>
          <w:tcPr>
            <w:tcW w:w="16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2/14/2020</w:t>
            </w: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47,668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2/14/2030</w:t>
            </w:r>
          </w:p>
        </w:tc>
        <w:tc>
          <w:tcPr>
            <w:tcW w:w="100" w:type="dxa"/>
            <w:vAlign w:val="bottom"/>
          </w:tcPr>
          <w:p>
            <w:pPr>
              <w:spacing w:after="0"/>
              <w:rPr>
                <w:sz w:val="17"/>
                <w:szCs w:val="17"/>
                <w:color w:val="auto"/>
              </w:rPr>
            </w:pPr>
          </w:p>
        </w:tc>
        <w:tc>
          <w:tcPr>
            <w:tcW w:w="16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3/25/2019</w:t>
            </w: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96,671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3/25/2029</w:t>
            </w:r>
          </w:p>
        </w:tc>
        <w:tc>
          <w:tcPr>
            <w:tcW w:w="100" w:type="dxa"/>
            <w:vAlign w:val="bottom"/>
          </w:tcPr>
          <w:p>
            <w:pPr>
              <w:spacing w:after="0"/>
              <w:rPr>
                <w:sz w:val="17"/>
                <w:szCs w:val="17"/>
                <w:color w:val="auto"/>
              </w:rPr>
            </w:pPr>
          </w:p>
        </w:tc>
        <w:tc>
          <w:tcPr>
            <w:tcW w:w="16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12/10/2018</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155,555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12/10/2028</w:t>
            </w:r>
          </w:p>
        </w:tc>
        <w:tc>
          <w:tcPr>
            <w:tcW w:w="100" w:type="dxa"/>
            <w:vAlign w:val="bottom"/>
          </w:tcPr>
          <w:p>
            <w:pPr>
              <w:spacing w:after="0"/>
              <w:rPr>
                <w:sz w:val="17"/>
                <w:szCs w:val="17"/>
                <w:color w:val="auto"/>
              </w:rPr>
            </w:pPr>
          </w:p>
        </w:tc>
        <w:tc>
          <w:tcPr>
            <w:tcW w:w="16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5/21/2018</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405,666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5/21/2028</w:t>
            </w:r>
          </w:p>
        </w:tc>
        <w:tc>
          <w:tcPr>
            <w:tcW w:w="100" w:type="dxa"/>
            <w:vAlign w:val="bottom"/>
          </w:tcPr>
          <w:p>
            <w:pPr>
              <w:spacing w:after="0"/>
              <w:rPr>
                <w:sz w:val="17"/>
                <w:szCs w:val="17"/>
                <w:color w:val="auto"/>
              </w:rPr>
            </w:pPr>
          </w:p>
        </w:tc>
        <w:tc>
          <w:tcPr>
            <w:tcW w:w="16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Robert Smith</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10/1/2025</w:t>
            </w: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162,500</w:t>
            </w: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503,750</w:t>
            </w:r>
          </w:p>
        </w:tc>
        <w:tc>
          <w:tcPr>
            <w:tcW w:w="0" w:type="dxa"/>
            <w:vAlign w:val="bottom"/>
          </w:tcPr>
          <w:p>
            <w:pPr>
              <w:spacing w:after="0"/>
              <w:rPr>
                <w:sz w:val="1"/>
                <w:szCs w:val="1"/>
                <w:color w:val="auto"/>
              </w:rPr>
            </w:pPr>
          </w:p>
        </w:tc>
      </w:tr>
      <w:tr>
        <w:trPr>
          <w:trHeight w:val="193"/>
        </w:trPr>
        <w:tc>
          <w:tcPr>
            <w:tcW w:w="122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3/4/2025</w:t>
            </w: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572,000</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3/4/2035</w:t>
            </w:r>
          </w:p>
        </w:tc>
        <w:tc>
          <w:tcPr>
            <w:tcW w:w="100" w:type="dxa"/>
            <w:vAlign w:val="bottom"/>
            <w:shd w:val="clear" w:color="auto" w:fill="CCEEFF"/>
          </w:tcPr>
          <w:p>
            <w:pPr>
              <w:spacing w:after="0"/>
              <w:rPr>
                <w:sz w:val="16"/>
                <w:szCs w:val="16"/>
                <w:color w:val="auto"/>
              </w:rPr>
            </w:pPr>
          </w:p>
        </w:tc>
        <w:tc>
          <w:tcPr>
            <w:tcW w:w="16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1/2/2024</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487,500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1/2/2034</w:t>
            </w:r>
          </w:p>
        </w:tc>
        <w:tc>
          <w:tcPr>
            <w:tcW w:w="10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12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12/4/2023</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12/4/2033</w:t>
            </w:r>
          </w:p>
        </w:tc>
        <w:tc>
          <w:tcPr>
            <w:tcW w:w="10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hanging="652"/>
        <w:spacing w:after="0" w:line="255" w:lineRule="auto"/>
        <w:tabs>
          <w:tab w:leader="none" w:pos="65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the options described in footnote (4) and (5) below, the options vest over a period of four years from the date of grant, with 25% of the option vesting on the first anniversary of such date, and the remainder vesting in equal monthly installments over the three years thereafter. All vesting is subject to the individual’s continuous service with us through the vesting dates and the potential vesting acceleration described above under “—Employment Letters with our Named Executive Officers” and “2025 Equity Awards.”</w:t>
      </w:r>
    </w:p>
    <w:p>
      <w:pPr>
        <w:spacing w:after="0" w:line="2" w:lineRule="exact"/>
        <w:rPr>
          <w:rFonts w:ascii="Times New Roman" w:cs="Times New Roman" w:eastAsia="Times New Roman" w:hAnsi="Times New Roman"/>
          <w:sz w:val="18"/>
          <w:szCs w:val="18"/>
          <w:color w:val="auto"/>
        </w:rPr>
      </w:pPr>
    </w:p>
    <w:p>
      <w:pPr>
        <w:ind w:left="660" w:hanging="652"/>
        <w:spacing w:after="0" w:line="250" w:lineRule="auto"/>
        <w:tabs>
          <w:tab w:leader="none" w:pos="65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PSUs that vest upon the earlier of (i) the approval of a new drug application for seralutinib or (ii) a change in control, in either case on or prior to the fourth anniversary of the grant date, and subject to such executive officer’s continuous service.</w:t>
      </w:r>
    </w:p>
    <w:p>
      <w:pPr>
        <w:ind w:left="660" w:right="160" w:hanging="652"/>
        <w:spacing w:after="0" w:line="250" w:lineRule="auto"/>
        <w:tabs>
          <w:tab w:leader="none" w:pos="65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per share is calculated using the closing price per share of our Common Stock on December 31, 2025 ($3.10), the last trading day of 2025.</w:t>
      </w:r>
    </w:p>
    <w:p>
      <w:pPr>
        <w:ind w:left="660" w:right="340" w:hanging="652"/>
        <w:spacing w:after="0" w:line="255" w:lineRule="auto"/>
        <w:tabs>
          <w:tab w:leader="none" w:pos="65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shall vest and become exercisable as follows: (i) with respect to 50% of the shares subject to the option, upon our Common Stock achieving a 30-day average stock price at or above $5.00 per share within four years of the grant date; (ii) with respect to 25% of the shares subject to the option, upon our Common Stock achieving a 30-day</w:t>
      </w:r>
    </w:p>
    <w:p>
      <w:pPr>
        <w:spacing w:after="0" w:line="200" w:lineRule="exact"/>
        <w:rPr>
          <w:sz w:val="20"/>
          <w:szCs w:val="20"/>
          <w:color w:val="auto"/>
        </w:rPr>
      </w:pPr>
    </w:p>
    <w:p>
      <w:pPr>
        <w:spacing w:after="0" w:line="36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1" w:right="439" w:bottom="1440" w:gutter="0" w:footer="0" w:header="0"/>
        </w:sectPr>
      </w:pPr>
    </w:p>
    <w:bookmarkStart w:id="60" w:name="page61"/>
    <w:bookmarkEnd w:id="60"/>
    <w:p>
      <w:pPr>
        <w:ind w:left="660" w:right="20"/>
        <w:spacing w:after="0" w:line="252" w:lineRule="auto"/>
        <w:rPr>
          <w:sz w:val="20"/>
          <w:szCs w:val="20"/>
          <w:color w:val="auto"/>
        </w:rPr>
      </w:pPr>
      <w:r>
        <w:rPr>
          <w:rFonts w:ascii="Times New Roman" w:cs="Times New Roman" w:eastAsia="Times New Roman" w:hAnsi="Times New Roman"/>
          <w:sz w:val="18"/>
          <w:szCs w:val="18"/>
          <w:color w:val="auto"/>
        </w:rPr>
        <w:t>average stock price at or above $7.50 per share within four years of the grant date; and (iii) with respect to the remaining 25% of the shares subject to the option, upon our Common Stock achieving a 30-day average stock price at or above $10.00 per share within four years of the grant date, in each case subject to Mr. Hasnain’s continuous service with us through each vesting date. In addition, in the event of Mr. Hasnain’s termination without cause or resignation for good reason, or his death or disability in each case prior to a change in control, the options shall remain eligible to vest upon attainment of any remaining unsatisfied price hurdles prior to the fourth anniversary of the grant date (or, if a price hurdle was achieved prior to the date of such termination but prior to the first anniversary of the grant date, the portion of the option for which the price hurdle was achieved will vest upon such termination. In the event of a change in control, any portion of the option that is eligible to vest based upon a stock price hurdle that is equal to or less than the closing price per share of our Common Stock on the date of the change in control will vest upon the change in control. The accelerated vesting described above will apply to Mr. Hasnain’s performance-based option in lieu of the acceleration provisions under his employment letter agreement, as described above.</w:t>
      </w:r>
    </w:p>
    <w:p>
      <w:pPr>
        <w:spacing w:after="0" w:line="5" w:lineRule="exact"/>
        <w:rPr>
          <w:sz w:val="20"/>
          <w:szCs w:val="20"/>
          <w:color w:val="auto"/>
        </w:rPr>
      </w:pPr>
    </w:p>
    <w:p>
      <w:pPr>
        <w:ind w:left="660" w:right="160" w:hanging="652"/>
        <w:spacing w:after="0" w:line="250" w:lineRule="auto"/>
        <w:tabs>
          <w:tab w:leader="none" w:pos="65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vest over a period of three years from the date of grant, with one-third of the option vesting on the first anniversary of such date, and the remainder vesting in equal monthly installments over the two years thereafter.</w:t>
      </w:r>
    </w:p>
    <w:p>
      <w:pPr>
        <w:ind w:left="660" w:right="200" w:hanging="652"/>
        <w:spacing w:after="0" w:line="260" w:lineRule="auto"/>
        <w:tabs>
          <w:tab w:leader="none" w:pos="65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were repriced on May 5, 2023. The exercise price of the repriced options, after giving effect to the option repricing, is reflected in the table above.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17"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color w:val="auto"/>
        </w:rPr>
        <w:t>In accordance with the SEC’s disclosure requirements regarding pay versus performance (“</w:t>
      </w:r>
      <w:r>
        <w:rPr>
          <w:rFonts w:ascii="Times New Roman" w:cs="Times New Roman" w:eastAsia="Times New Roman" w:hAnsi="Times New Roman"/>
          <w:sz w:val="18"/>
          <w:szCs w:val="18"/>
          <w:b w:val="1"/>
          <w:bCs w:val="1"/>
          <w:i w:val="1"/>
          <w:iCs w:val="1"/>
          <w:color w:val="auto"/>
        </w:rPr>
        <w:t>PVP</w:t>
      </w:r>
      <w:r>
        <w:rPr>
          <w:rFonts w:ascii="Times New Roman" w:cs="Times New Roman" w:eastAsia="Times New Roman" w:hAnsi="Times New Roman"/>
          <w:sz w:val="18"/>
          <w:szCs w:val="18"/>
          <w:color w:val="auto"/>
        </w:rPr>
        <w:t>”), this section presents the SEC-defined “Compensation Actually Paid,” or CAP for our Chief Executive Officer, also referred to as our PEO, and remaining NEOs for the fiscal years ended December 31, 2023, 2024 and 2025. Also required by the SEC, this section compares CAP to various measures used to gauge performance at Gossamer.</w:t>
      </w:r>
    </w:p>
    <w:p>
      <w:pPr>
        <w:spacing w:after="0" w:line="67" w:lineRule="exact"/>
        <w:rPr>
          <w:sz w:val="20"/>
          <w:szCs w:val="20"/>
          <w:color w:val="auto"/>
        </w:rPr>
      </w:pPr>
    </w:p>
    <w:p>
      <w:pPr>
        <w:jc w:val="both"/>
        <w:ind w:right="700"/>
        <w:spacing w:after="0" w:line="266" w:lineRule="auto"/>
        <w:rPr>
          <w:sz w:val="20"/>
          <w:szCs w:val="20"/>
          <w:color w:val="auto"/>
        </w:rPr>
      </w:pPr>
      <w:r>
        <w:rPr>
          <w:rFonts w:ascii="Times New Roman" w:cs="Times New Roman" w:eastAsia="Times New Roman" w:hAnsi="Times New Roman"/>
          <w:sz w:val="18"/>
          <w:szCs w:val="18"/>
          <w:color w:val="auto"/>
        </w:rPr>
        <w:t>Compensation decisions at Gossamer are made independently of disclosure requirements. CAP is a supplemental measure to be viewed alongside performance measures as an addition to our philosophy and strategy of compensation-setting discussed elsewhere in the overview of the executive compensation program and is not in replacement.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Table - Compensation Definitions</w:t>
      </w:r>
    </w:p>
    <w:p>
      <w:pPr>
        <w:spacing w:after="0" w:line="121" w:lineRule="exact"/>
        <w:rPr>
          <w:sz w:val="20"/>
          <w:szCs w:val="20"/>
          <w:color w:val="auto"/>
        </w:rPr>
      </w:pPr>
    </w:p>
    <w:p>
      <w:pPr>
        <w:ind w:right="460"/>
        <w:spacing w:after="0" w:line="264" w:lineRule="auto"/>
        <w:rPr>
          <w:sz w:val="20"/>
          <w:szCs w:val="20"/>
          <w:color w:val="auto"/>
        </w:rPr>
      </w:pPr>
      <w:r>
        <w:rPr>
          <w:rFonts w:ascii="Times New Roman" w:cs="Times New Roman" w:eastAsia="Times New Roman" w:hAnsi="Times New Roman"/>
          <w:sz w:val="18"/>
          <w:szCs w:val="18"/>
          <w:color w:val="auto"/>
        </w:rPr>
        <w:t>Salary, Non-Equity Incentive Plan Compensation, and All Other Compensation are each calculated in the same manner for purposes of both CAP and Summary Compensation Table (“</w:t>
      </w:r>
      <w:r>
        <w:rPr>
          <w:rFonts w:ascii="Times New Roman" w:cs="Times New Roman" w:eastAsia="Times New Roman" w:hAnsi="Times New Roman"/>
          <w:sz w:val="18"/>
          <w:szCs w:val="18"/>
          <w:b w:val="1"/>
          <w:bCs w:val="1"/>
          <w:i w:val="1"/>
          <w:iCs w:val="1"/>
          <w:color w:val="auto"/>
        </w:rPr>
        <w:t>SCT</w:t>
      </w:r>
      <w:r>
        <w:rPr>
          <w:rFonts w:ascii="Times New Roman" w:cs="Times New Roman" w:eastAsia="Times New Roman" w:hAnsi="Times New Roman"/>
          <w:sz w:val="18"/>
          <w:szCs w:val="18"/>
          <w:color w:val="auto"/>
        </w:rPr>
        <w:t>”), values. The primary difference between the calculation of CAP and SCT total compensation is the amount reported with respect to “Stock Awards” and “Option Awards.”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4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SCT Total</w:t>
            </w: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CAP</w:t>
            </w:r>
          </w:p>
        </w:tc>
      </w:tr>
      <w:tr>
        <w:trPr>
          <w:trHeight w:val="169"/>
        </w:trPr>
        <w:tc>
          <w:tcPr>
            <w:tcW w:w="2160" w:type="dxa"/>
            <w:vAlign w:val="bottom"/>
            <w:tcBorders>
              <w:top w:val="single" w:sz="8" w:color="CCEEFF"/>
            </w:tcBorders>
            <w:shd w:val="clear" w:color="auto" w:fill="CCEEFF"/>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Stock and Option Awards</w:t>
            </w:r>
          </w:p>
        </w:tc>
        <w:tc>
          <w:tcPr>
            <w:tcW w:w="434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Grant date fair value of stock and option awards granted</w:t>
            </w:r>
          </w:p>
        </w:tc>
        <w:tc>
          <w:tcPr>
            <w:tcW w:w="180" w:type="dxa"/>
            <w:vAlign w:val="bottom"/>
            <w:tcBorders>
              <w:top w:val="single" w:sz="8" w:color="CCEEFF"/>
            </w:tcBorders>
            <w:shd w:val="clear" w:color="auto" w:fill="CCEEFF"/>
          </w:tcPr>
          <w:p>
            <w:pPr>
              <w:spacing w:after="0"/>
              <w:rPr>
                <w:sz w:val="14"/>
                <w:szCs w:val="14"/>
                <w:color w:val="auto"/>
              </w:rPr>
            </w:pPr>
          </w:p>
        </w:tc>
        <w:tc>
          <w:tcPr>
            <w:tcW w:w="428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Year over year change in the fair value of stock and option</w:t>
            </w:r>
          </w:p>
        </w:tc>
      </w:tr>
      <w:tr>
        <w:trPr>
          <w:trHeight w:val="184"/>
        </w:trPr>
        <w:tc>
          <w:tcPr>
            <w:tcW w:w="2160" w:type="dxa"/>
            <w:vAlign w:val="bottom"/>
            <w:shd w:val="clear" w:color="auto" w:fill="CCEEFF"/>
          </w:tcPr>
          <w:p>
            <w:pPr>
              <w:spacing w:after="0"/>
              <w:rPr>
                <w:sz w:val="16"/>
                <w:szCs w:val="16"/>
                <w:color w:val="auto"/>
              </w:rPr>
            </w:pPr>
          </w:p>
        </w:tc>
        <w:tc>
          <w:tcPr>
            <w:tcW w:w="4520" w:type="dxa"/>
            <w:vAlign w:val="bottom"/>
            <w:gridSpan w:val="2"/>
            <w:shd w:val="clear" w:color="auto" w:fill="CCEEFF"/>
          </w:tcPr>
          <w:p>
            <w:pPr>
              <w:jc w:val="center"/>
              <w:ind w:right="160"/>
              <w:spacing w:after="0" w:line="184" w:lineRule="exact"/>
              <w:rPr>
                <w:sz w:val="20"/>
                <w:szCs w:val="20"/>
                <w:color w:val="auto"/>
              </w:rPr>
            </w:pPr>
            <w:r>
              <w:rPr>
                <w:rFonts w:ascii="Times New Roman" w:cs="Times New Roman" w:eastAsia="Times New Roman" w:hAnsi="Times New Roman"/>
                <w:sz w:val="18"/>
                <w:szCs w:val="18"/>
                <w:color w:val="auto"/>
                <w:w w:val="99"/>
              </w:rPr>
              <w:t>during the year</w:t>
            </w:r>
          </w:p>
        </w:tc>
        <w:tc>
          <w:tcPr>
            <w:tcW w:w="428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awards that are unvested as of the end of the year (or, for</w:t>
            </w:r>
          </w:p>
        </w:tc>
      </w:tr>
      <w:tr>
        <w:trPr>
          <w:trHeight w:val="180"/>
        </w:trPr>
        <w:tc>
          <w:tcPr>
            <w:tcW w:w="216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8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stock and option awards that were granted in the</w:t>
            </w:r>
          </w:p>
        </w:tc>
      </w:tr>
      <w:tr>
        <w:trPr>
          <w:trHeight w:val="176"/>
        </w:trPr>
        <w:tc>
          <w:tcPr>
            <w:tcW w:w="216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applicable year and remain unvested at year end, the</w:t>
            </w:r>
          </w:p>
        </w:tc>
      </w:tr>
      <w:tr>
        <w:trPr>
          <w:trHeight w:val="184"/>
        </w:trPr>
        <w:tc>
          <w:tcPr>
            <w:tcW w:w="2160" w:type="dxa"/>
            <w:vAlign w:val="bottom"/>
            <w:shd w:val="clear" w:color="auto" w:fill="CCEEFF"/>
          </w:tcPr>
          <w:p>
            <w:pPr>
              <w:spacing w:after="0"/>
              <w:rPr>
                <w:sz w:val="16"/>
                <w:szCs w:val="16"/>
                <w:color w:val="auto"/>
              </w:rPr>
            </w:pPr>
          </w:p>
        </w:tc>
        <w:tc>
          <w:tcPr>
            <w:tcW w:w="4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8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rPr>
              <w:t>change in the fair value from the grant date), or vested or</w:t>
            </w:r>
          </w:p>
        </w:tc>
      </w:tr>
      <w:tr>
        <w:trPr>
          <w:trHeight w:val="234"/>
        </w:trPr>
        <w:tc>
          <w:tcPr>
            <w:tcW w:w="2160" w:type="dxa"/>
            <w:vAlign w:val="bottom"/>
            <w:shd w:val="clear" w:color="auto" w:fill="CCEEFF"/>
          </w:tcPr>
          <w:p>
            <w:pPr>
              <w:spacing w:after="0"/>
              <w:rPr>
                <w:sz w:val="20"/>
                <w:szCs w:val="20"/>
                <w:color w:val="auto"/>
              </w:rPr>
            </w:pPr>
          </w:p>
        </w:tc>
        <w:tc>
          <w:tcPr>
            <w:tcW w:w="4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were forfeited or modified during the year</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Table</w:t>
      </w:r>
    </w:p>
    <w:p>
      <w:pPr>
        <w:spacing w:after="0" w:line="121"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In accordance with the SEC’s PVP rules, the following table sets forth information concerning the compensation of our PEO and the average compensation of our remaining NEOs for each of the fiscal years ended December 31, 2023, 2024 and 2025, and our financial performance for each such fiscal year:</w:t>
      </w:r>
    </w:p>
    <w:tbl>
      <w:tblPr>
        <w:tblLayout w:type="fixed"/>
        <w:tblInd w:w="0" w:type="dxa"/>
        <w:tblCellMar>
          <w:top w:w="0" w:type="dxa"/>
          <w:left w:w="0" w:type="dxa"/>
          <w:bottom w:w="0" w:type="dxa"/>
          <w:right w:w="0" w:type="dxa"/>
        </w:tblCellMar>
      </w:tblPr>
      <w:tr>
        <w:trPr>
          <w:trHeight w:val="185"/>
        </w:trPr>
        <w:tc>
          <w:tcPr>
            <w:tcW w:w="8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700" w:type="dxa"/>
            <w:vAlign w:val="bottom"/>
            <w:gridSpan w:val="2"/>
          </w:tcPr>
          <w:p>
            <w:pPr>
              <w:jc w:val="center"/>
              <w:ind w:right="120"/>
              <w:spacing w:after="0" w:line="185" w:lineRule="exact"/>
              <w:rPr>
                <w:sz w:val="20"/>
                <w:szCs w:val="20"/>
                <w:color w:val="auto"/>
              </w:rPr>
            </w:pPr>
            <w:r>
              <w:rPr>
                <w:rFonts w:ascii="Times New Roman" w:cs="Times New Roman" w:eastAsia="Times New Roman" w:hAnsi="Times New Roman"/>
                <w:sz w:val="18"/>
                <w:szCs w:val="18"/>
                <w:b w:val="1"/>
                <w:bCs w:val="1"/>
                <w:color w:val="auto"/>
                <w:w w:val="98"/>
              </w:rPr>
              <w:t>Value of Initial</w:t>
            </w:r>
          </w:p>
        </w:tc>
        <w:tc>
          <w:tcPr>
            <w:tcW w:w="1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00" w:type="dxa"/>
            <w:vAlign w:val="bottom"/>
          </w:tcPr>
          <w:p>
            <w:pPr>
              <w:spacing w:after="0"/>
              <w:rPr>
                <w:sz w:val="15"/>
                <w:szCs w:val="15"/>
                <w:color w:val="auto"/>
              </w:rPr>
            </w:pPr>
          </w:p>
        </w:tc>
        <w:tc>
          <w:tcPr>
            <w:tcW w:w="16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Average Summary</w:t>
            </w:r>
          </w:p>
        </w:tc>
        <w:tc>
          <w:tcPr>
            <w:tcW w:w="1660" w:type="dxa"/>
            <w:vAlign w:val="bottom"/>
            <w:gridSpan w:val="2"/>
            <w:vMerge w:val="continue"/>
          </w:tcPr>
          <w:p>
            <w:pPr>
              <w:spacing w:after="0"/>
              <w:rPr>
                <w:sz w:val="15"/>
                <w:szCs w:val="15"/>
                <w:color w:val="auto"/>
              </w:rPr>
            </w:pPr>
          </w:p>
        </w:tc>
        <w:tc>
          <w:tcPr>
            <w:tcW w:w="17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Fixed $100</w:t>
            </w:r>
          </w:p>
        </w:tc>
        <w:tc>
          <w:tcPr>
            <w:tcW w:w="1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8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Compensation</w:t>
            </w:r>
          </w:p>
        </w:tc>
        <w:tc>
          <w:tcPr>
            <w:tcW w:w="170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Investment Based</w:t>
            </w:r>
          </w:p>
        </w:tc>
        <w:tc>
          <w:tcPr>
            <w:tcW w:w="1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16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680" w:type="dxa"/>
            <w:vAlign w:val="bottom"/>
            <w:gridSpan w:val="2"/>
            <w:vMerge w:val="continue"/>
          </w:tcPr>
          <w:p>
            <w:pPr>
              <w:spacing w:after="0"/>
              <w:rPr>
                <w:sz w:val="15"/>
                <w:szCs w:val="15"/>
                <w:color w:val="auto"/>
              </w:rPr>
            </w:pPr>
          </w:p>
        </w:tc>
        <w:tc>
          <w:tcPr>
            <w:tcW w:w="16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6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Actually Paid to</w:t>
            </w:r>
          </w:p>
        </w:tc>
        <w:tc>
          <w:tcPr>
            <w:tcW w:w="17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6"/>
              </w:rPr>
              <w:t>on: Total</w:t>
            </w:r>
          </w:p>
        </w:tc>
        <w:tc>
          <w:tcPr>
            <w:tcW w:w="2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0" w:type="dxa"/>
            <w:vAlign w:val="bottom"/>
          </w:tcPr>
          <w:p>
            <w:pPr>
              <w:spacing w:after="0"/>
              <w:rPr>
                <w:sz w:val="1"/>
                <w:szCs w:val="1"/>
                <w:color w:val="auto"/>
              </w:rPr>
            </w:pPr>
          </w:p>
        </w:tc>
      </w:tr>
      <w:tr>
        <w:trPr>
          <w:trHeight w:val="17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 (1)</w:t>
            </w:r>
          </w:p>
        </w:tc>
        <w:tc>
          <w:tcPr>
            <w:tcW w:w="16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Table Total for</w:t>
            </w:r>
          </w:p>
        </w:tc>
        <w:tc>
          <w:tcPr>
            <w:tcW w:w="16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Actually Paid to</w:t>
            </w:r>
          </w:p>
        </w:tc>
        <w:tc>
          <w:tcPr>
            <w:tcW w:w="16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Table Total for</w:t>
            </w:r>
          </w:p>
        </w:tc>
        <w:tc>
          <w:tcPr>
            <w:tcW w:w="16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Non-PEO NEOs ($)</w:t>
            </w:r>
          </w:p>
        </w:tc>
        <w:tc>
          <w:tcPr>
            <w:tcW w:w="17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Shareholder Return</w:t>
            </w:r>
          </w:p>
        </w:tc>
        <w:tc>
          <w:tcPr>
            <w:tcW w:w="2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0" w:type="dxa"/>
            <w:vAlign w:val="bottom"/>
            <w:vMerge w:val="continue"/>
          </w:tcPr>
          <w:p>
            <w:pPr>
              <w:spacing w:after="0"/>
              <w:rPr>
                <w:sz w:val="21"/>
                <w:szCs w:val="21"/>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PEO ($)</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PEO ($)(2)</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 xml:space="preserve">Non-PEO NEOs </w:t>
            </w: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(2)</w:t>
            </w:r>
          </w:p>
        </w:tc>
        <w:tc>
          <w:tcPr>
            <w:tcW w:w="8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2,300,455</w:t>
            </w:r>
          </w:p>
        </w:tc>
        <w:tc>
          <w:tcPr>
            <w:tcW w:w="14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9,202,304</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1,217,087</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3,783,341</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(170,370,000)</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2,005,432</w:t>
            </w:r>
          </w:p>
        </w:tc>
        <w:tc>
          <w:tcPr>
            <w:tcW w:w="1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1,859,722</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1,118,479</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1,062,307</w:t>
            </w:r>
          </w:p>
        </w:tc>
        <w:tc>
          <w:tcPr>
            <w:tcW w:w="8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2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(56,528,000)</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2,095,988</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1,592,883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1,309,364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1,205,267</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(179,817,000)</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1"/>
        </w:trPr>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1" w:name="page62"/>
    <w:bookmarkEnd w:id="61"/>
    <w:p>
      <w:pPr>
        <w:spacing w:after="0"/>
        <w:rPr>
          <w:sz w:val="20"/>
          <w:szCs w:val="20"/>
          <w:color w:val="auto"/>
        </w:rPr>
      </w:pPr>
      <w:r>
        <w:rPr>
          <w:rFonts w:ascii="Arial" w:cs="Arial" w:eastAsia="Arial" w:hAnsi="Arial"/>
          <w:sz w:val="22"/>
          <w:szCs w:val="22"/>
          <w:color w:val="auto"/>
        </w:rPr>
        <w:t>_____________</w:t>
      </w:r>
    </w:p>
    <w:p>
      <w:pPr>
        <w:spacing w:after="0" w:line="18" w:lineRule="exact"/>
        <w:rPr>
          <w:sz w:val="20"/>
          <w:szCs w:val="20"/>
          <w:color w:val="auto"/>
        </w:rPr>
      </w:pPr>
    </w:p>
    <w:p>
      <w:pPr>
        <w:ind w:left="660" w:right="20" w:hanging="652"/>
        <w:spacing w:after="0" w:line="249" w:lineRule="auto"/>
        <w:tabs>
          <w:tab w:leader="none" w:pos="26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PEO in all reporting years is Faheem Hasnain. The non-PEO NEOs in the 2025 reporting year are Bryan Giraudo and Robert Smith. The non-PEO NEOs in the 2024 reporting year are Bryan Giraudo and Richard Aranda, M.D. The non-PEO NEOs in the 2023 reporting year are Bryan Giraudo and Robert Smith.</w:t>
      </w:r>
    </w:p>
    <w:p>
      <w:pPr>
        <w:spacing w:after="0" w:line="2" w:lineRule="exact"/>
        <w:rPr>
          <w:rFonts w:ascii="Times New Roman" w:cs="Times New Roman" w:eastAsia="Times New Roman" w:hAnsi="Times New Roman"/>
          <w:sz w:val="18"/>
          <w:szCs w:val="18"/>
          <w:color w:val="auto"/>
        </w:rPr>
      </w:pPr>
    </w:p>
    <w:p>
      <w:pPr>
        <w:ind w:left="660" w:hanging="652"/>
        <w:spacing w:after="0" w:line="290" w:lineRule="auto"/>
        <w:tabs>
          <w:tab w:leader="none" w:pos="267"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represent CAP to our PEO and the average CAP to our remaining NEOs for the relevant fiscal year, as determined under SEC rules (and described below). CAP to our NEOs represents the “Total” compensation reported in the SCT for the applicable fiscal year, as adjusted as follows:</w:t>
      </w:r>
    </w:p>
    <w:p>
      <w:pPr>
        <w:spacing w:after="0" w:line="75"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10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right w:val="single" w:sz="8" w:color="auto"/>
            </w:tcBorders>
            <w:gridSpan w:val="2"/>
          </w:tcPr>
          <w:p>
            <w:pPr>
              <w:jc w:val="right"/>
              <w:ind w:right="10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right w:val="single" w:sz="8" w:color="auto"/>
            </w:tcBorders>
            <w:gridSpan w:val="2"/>
          </w:tcPr>
          <w:p>
            <w:pPr>
              <w:jc w:val="right"/>
              <w:ind w:right="11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1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right w:val="single" w:sz="8" w:color="auto"/>
            </w:tcBorders>
            <w:gridSpan w:val="2"/>
          </w:tcPr>
          <w:p>
            <w:pPr>
              <w:jc w:val="right"/>
              <w:ind w:right="10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37"/>
        </w:trPr>
        <w:tc>
          <w:tcPr>
            <w:tcW w:w="3100" w:type="dxa"/>
            <w:vAlign w:val="bottom"/>
            <w:tcBorders>
              <w:left w:val="single" w:sz="8" w:color="auto"/>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Adjustments(a)</w:t>
            </w:r>
          </w:p>
        </w:tc>
        <w:tc>
          <w:tcPr>
            <w:tcW w:w="112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PEO</w:t>
            </w:r>
          </w:p>
        </w:tc>
        <w:tc>
          <w:tcPr>
            <w:tcW w:w="12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Average Non-PEO</w:t>
            </w:r>
          </w:p>
        </w:tc>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PEO</w:t>
            </w:r>
          </w:p>
        </w:tc>
        <w:tc>
          <w:tcPr>
            <w:tcW w:w="1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Average Non-PEO</w:t>
            </w:r>
          </w:p>
        </w:tc>
        <w:tc>
          <w:tcPr>
            <w:tcW w:w="112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PEO</w:t>
            </w:r>
          </w:p>
        </w:tc>
        <w:tc>
          <w:tcPr>
            <w:tcW w:w="1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Average Non-PEO</w:t>
            </w:r>
          </w:p>
        </w:tc>
        <w:tc>
          <w:tcPr>
            <w:tcW w:w="0" w:type="dxa"/>
            <w:vAlign w:val="bottom"/>
          </w:tcPr>
          <w:p>
            <w:pPr>
              <w:spacing w:after="0"/>
              <w:rPr>
                <w:sz w:val="1"/>
                <w:szCs w:val="1"/>
                <w:color w:val="auto"/>
              </w:rPr>
            </w:pPr>
          </w:p>
        </w:tc>
      </w:tr>
      <w:tr>
        <w:trPr>
          <w:trHeight w:val="195"/>
        </w:trPr>
        <w:tc>
          <w:tcPr>
            <w:tcW w:w="31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11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11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136"/>
        </w:trPr>
        <w:tc>
          <w:tcPr>
            <w:tcW w:w="3100" w:type="dxa"/>
            <w:vAlign w:val="bottom"/>
            <w:tcBorders>
              <w:left w:val="single" w:sz="8" w:color="auto"/>
              <w:right w:val="single" w:sz="8" w:color="auto"/>
            </w:tcBorders>
            <w:shd w:val="clear" w:color="auto" w:fill="CCEEFF"/>
          </w:tcPr>
          <w:p>
            <w:pPr>
              <w:ind w:left="40"/>
              <w:spacing w:after="0" w:line="136" w:lineRule="exact"/>
              <w:rPr>
                <w:sz w:val="20"/>
                <w:szCs w:val="20"/>
                <w:color w:val="auto"/>
              </w:rPr>
            </w:pPr>
            <w:r>
              <w:rPr>
                <w:rFonts w:ascii="Times New Roman" w:cs="Times New Roman" w:eastAsia="Times New Roman" w:hAnsi="Times New Roman"/>
                <w:sz w:val="14"/>
                <w:szCs w:val="14"/>
                <w:b w:val="1"/>
                <w:bCs w:val="1"/>
                <w:color w:val="auto"/>
              </w:rPr>
              <w:t>Deduction for Amounts Reported under the</w:t>
            </w:r>
          </w:p>
        </w:tc>
        <w:tc>
          <w:tcPr>
            <w:tcW w:w="11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380" w:type="dxa"/>
            <w:vAlign w:val="bottom"/>
            <w:tcBorders>
              <w:right w:val="single" w:sz="8" w:color="auto"/>
            </w:tcBorders>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tcBorders>
              <w:right w:val="single" w:sz="8" w:color="auto"/>
            </w:tcBorders>
            <w:shd w:val="clear" w:color="auto" w:fill="CCEEFF"/>
          </w:tcPr>
          <w:p>
            <w:pPr>
              <w:spacing w:after="0"/>
              <w:rPr>
                <w:sz w:val="11"/>
                <w:szCs w:val="11"/>
                <w:color w:val="auto"/>
              </w:rPr>
            </w:pPr>
          </w:p>
        </w:tc>
        <w:tc>
          <w:tcPr>
            <w:tcW w:w="1320" w:type="dxa"/>
            <w:vAlign w:val="bottom"/>
            <w:tcBorders>
              <w:right w:val="single" w:sz="8" w:color="auto"/>
            </w:tcBorders>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tcBorders>
              <w:right w:val="single" w:sz="8" w:color="auto"/>
            </w:tcBorders>
            <w:shd w:val="clear" w:color="auto" w:fill="CCEEFF"/>
          </w:tcPr>
          <w:p>
            <w:pPr>
              <w:spacing w:after="0"/>
              <w:rPr>
                <w:sz w:val="11"/>
                <w:szCs w:val="11"/>
                <w:color w:val="auto"/>
              </w:rPr>
            </w:pPr>
          </w:p>
        </w:tc>
        <w:tc>
          <w:tcPr>
            <w:tcW w:w="132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00" w:type="dxa"/>
            <w:vAlign w:val="bottom"/>
            <w:tcBorders>
              <w:left w:val="single" w:sz="8" w:color="auto"/>
              <w:right w:val="single" w:sz="8" w:color="auto"/>
            </w:tcBorders>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“Stock Awards” and “Option Awards” Columns</w:t>
            </w:r>
          </w:p>
        </w:tc>
        <w:tc>
          <w:tcPr>
            <w:tcW w:w="11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380" w:type="dxa"/>
            <w:vAlign w:val="bottom"/>
            <w:tcBorders>
              <w:right w:val="single" w:sz="8" w:color="auto"/>
            </w:tcBorders>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1320" w:type="dxa"/>
            <w:vAlign w:val="bottom"/>
            <w:tcBorders>
              <w:right w:val="single" w:sz="8" w:color="auto"/>
            </w:tcBorders>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132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00" w:type="dxa"/>
            <w:vAlign w:val="bottom"/>
            <w:tcBorders>
              <w:left w:val="single" w:sz="8" w:color="auto"/>
              <w:right w:val="single" w:sz="8" w:color="auto"/>
            </w:tcBorders>
            <w:shd w:val="clear" w:color="auto" w:fill="CCEEFF"/>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in the Summary Compensation Table for</w:t>
            </w:r>
          </w:p>
        </w:tc>
        <w:tc>
          <w:tcPr>
            <w:tcW w:w="1120" w:type="dxa"/>
            <w:vAlign w:val="bottom"/>
            <w:vMerge w:val="restart"/>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$(1,185,725)</w:t>
            </w:r>
          </w:p>
        </w:tc>
        <w:tc>
          <w:tcPr>
            <w:tcW w:w="120" w:type="dxa"/>
            <w:vAlign w:val="bottom"/>
            <w:tcBorders>
              <w:right w:val="single" w:sz="8" w:color="auto"/>
            </w:tcBorders>
            <w:shd w:val="clear" w:color="auto" w:fill="CCEEFF"/>
          </w:tcPr>
          <w:p>
            <w:pPr>
              <w:spacing w:after="0"/>
              <w:rPr>
                <w:sz w:val="12"/>
                <w:szCs w:val="12"/>
                <w:color w:val="auto"/>
              </w:rPr>
            </w:pPr>
          </w:p>
        </w:tc>
        <w:tc>
          <w:tcPr>
            <w:tcW w:w="13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$(887,420)</w:t>
            </w:r>
          </w:p>
        </w:tc>
        <w:tc>
          <w:tcPr>
            <w:tcW w:w="1140" w:type="dxa"/>
            <w:vAlign w:val="bottom"/>
            <w:vMerge w:val="restart"/>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rPr>
              <w:t>$(1,043,438)</w:t>
            </w:r>
          </w:p>
        </w:tc>
        <w:tc>
          <w:tcPr>
            <w:tcW w:w="180" w:type="dxa"/>
            <w:vAlign w:val="bottom"/>
            <w:tcBorders>
              <w:right w:val="single" w:sz="8" w:color="auto"/>
            </w:tcBorders>
            <w:shd w:val="clear" w:color="auto" w:fill="CCEEFF"/>
          </w:tcPr>
          <w:p>
            <w:pPr>
              <w:spacing w:after="0"/>
              <w:rPr>
                <w:sz w:val="12"/>
                <w:szCs w:val="12"/>
                <w:color w:val="auto"/>
              </w:rPr>
            </w:pPr>
          </w:p>
        </w:tc>
        <w:tc>
          <w:tcPr>
            <w:tcW w:w="13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$(409,922)</w:t>
            </w:r>
          </w:p>
        </w:tc>
        <w:tc>
          <w:tcPr>
            <w:tcW w:w="1120" w:type="dxa"/>
            <w:vAlign w:val="bottom"/>
            <w:vMerge w:val="restart"/>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8"/>
              </w:rPr>
              <w:t>$(1,392,006)</w:t>
            </w:r>
          </w:p>
        </w:tc>
        <w:tc>
          <w:tcPr>
            <w:tcW w:w="180" w:type="dxa"/>
            <w:vAlign w:val="bottom"/>
            <w:tcBorders>
              <w:right w:val="single" w:sz="8" w:color="auto"/>
            </w:tcBorders>
            <w:shd w:val="clear" w:color="auto" w:fill="CCEEFF"/>
          </w:tcPr>
          <w:p>
            <w:pPr>
              <w:spacing w:after="0"/>
              <w:rPr>
                <w:sz w:val="12"/>
                <w:szCs w:val="12"/>
                <w:color w:val="auto"/>
              </w:rPr>
            </w:pPr>
          </w:p>
        </w:tc>
        <w:tc>
          <w:tcPr>
            <w:tcW w:w="13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$(546,860)</w:t>
            </w:r>
          </w:p>
        </w:tc>
        <w:tc>
          <w:tcPr>
            <w:tcW w:w="0" w:type="dxa"/>
            <w:vAlign w:val="bottom"/>
          </w:tcPr>
          <w:p>
            <w:pPr>
              <w:spacing w:after="0"/>
              <w:rPr>
                <w:sz w:val="1"/>
                <w:szCs w:val="1"/>
                <w:color w:val="auto"/>
              </w:rPr>
            </w:pPr>
          </w:p>
        </w:tc>
      </w:tr>
      <w:tr>
        <w:trPr>
          <w:trHeight w:val="203"/>
        </w:trPr>
        <w:tc>
          <w:tcPr>
            <w:tcW w:w="31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Applicable FY</w:t>
            </w: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right w:val="single" w:sz="8" w:color="auto"/>
            </w:tcBorders>
            <w:shd w:val="clear" w:color="auto" w:fill="CCEEFF"/>
          </w:tcPr>
          <w:p>
            <w:pPr>
              <w:spacing w:after="0"/>
              <w:rPr>
                <w:sz w:val="17"/>
                <w:szCs w:val="17"/>
                <w:color w:val="auto"/>
              </w:rPr>
            </w:pPr>
          </w:p>
        </w:tc>
        <w:tc>
          <w:tcPr>
            <w:tcW w:w="138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right w:val="single" w:sz="8" w:color="auto"/>
            </w:tcBorders>
            <w:shd w:val="clear" w:color="auto" w:fill="CCEEFF"/>
          </w:tcPr>
          <w:p>
            <w:pPr>
              <w:spacing w:after="0"/>
              <w:rPr>
                <w:sz w:val="17"/>
                <w:szCs w:val="17"/>
                <w:color w:val="auto"/>
              </w:rPr>
            </w:pPr>
          </w:p>
        </w:tc>
        <w:tc>
          <w:tcPr>
            <w:tcW w:w="13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right w:val="single" w:sz="8" w:color="auto"/>
            </w:tcBorders>
            <w:shd w:val="clear" w:color="auto" w:fill="CCEEFF"/>
          </w:tcPr>
          <w:p>
            <w:pPr>
              <w:spacing w:after="0"/>
              <w:rPr>
                <w:sz w:val="17"/>
                <w:szCs w:val="17"/>
                <w:color w:val="auto"/>
              </w:rPr>
            </w:pPr>
          </w:p>
        </w:tc>
        <w:tc>
          <w:tcPr>
            <w:tcW w:w="13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00" w:type="dxa"/>
            <w:vAlign w:val="bottom"/>
            <w:tcBorders>
              <w:left w:val="single" w:sz="8" w:color="auto"/>
              <w:right w:val="single" w:sz="8" w:color="auto"/>
            </w:tcBorders>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Increase based on ASC 718 Fair Value of Awards</w:t>
            </w:r>
          </w:p>
        </w:tc>
        <w:tc>
          <w:tcPr>
            <w:tcW w:w="11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00" w:type="dxa"/>
            <w:vAlign w:val="bottom"/>
            <w:tcBorders>
              <w:left w:val="single" w:sz="8" w:color="auto"/>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Granted during Applicable FY that Remain</w:t>
            </w:r>
          </w:p>
        </w:tc>
        <w:tc>
          <w:tcPr>
            <w:tcW w:w="11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00" w:type="dxa"/>
            <w:vAlign w:val="bottom"/>
            <w:tcBorders>
              <w:left w:val="single" w:sz="8" w:color="auto"/>
              <w:right w:val="single" w:sz="8" w:color="auto"/>
            </w:tcBorders>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Unvested as of Applicable FY End, determined</w:t>
            </w:r>
          </w:p>
        </w:tc>
        <w:tc>
          <w:tcPr>
            <w:tcW w:w="1120" w:type="dxa"/>
            <w:vAlign w:val="bottom"/>
            <w:vMerge w:val="restart"/>
          </w:tcPr>
          <w:p>
            <w:pPr>
              <w:jc w:val="center"/>
              <w:ind w:left="32"/>
              <w:spacing w:after="0"/>
              <w:rPr>
                <w:sz w:val="20"/>
                <w:szCs w:val="20"/>
                <w:color w:val="auto"/>
              </w:rPr>
            </w:pPr>
            <w:r>
              <w:rPr>
                <w:rFonts w:ascii="Times New Roman" w:cs="Times New Roman" w:eastAsia="Times New Roman" w:hAnsi="Times New Roman"/>
                <w:sz w:val="18"/>
                <w:szCs w:val="18"/>
                <w:color w:val="auto"/>
                <w:w w:val="99"/>
              </w:rPr>
              <w:t>1,163,964</w:t>
            </w:r>
          </w:p>
        </w:tc>
        <w:tc>
          <w:tcPr>
            <w:tcW w:w="12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697,241</w:t>
            </w:r>
          </w:p>
        </w:tc>
        <w:tc>
          <w:tcPr>
            <w:tcW w:w="1140" w:type="dxa"/>
            <w:vAlign w:val="bottom"/>
            <w:vMerge w:val="restart"/>
          </w:tcPr>
          <w:p>
            <w:pPr>
              <w:jc w:val="center"/>
              <w:ind w:left="72"/>
              <w:spacing w:after="0"/>
              <w:rPr>
                <w:sz w:val="20"/>
                <w:szCs w:val="20"/>
                <w:color w:val="auto"/>
              </w:rPr>
            </w:pPr>
            <w:r>
              <w:rPr>
                <w:rFonts w:ascii="Times New Roman" w:cs="Times New Roman" w:eastAsia="Times New Roman" w:hAnsi="Times New Roman"/>
                <w:sz w:val="18"/>
                <w:szCs w:val="18"/>
                <w:color w:val="auto"/>
                <w:w w:val="99"/>
              </w:rPr>
              <w:t>914,944</w:t>
            </w:r>
          </w:p>
        </w:tc>
        <w:tc>
          <w:tcPr>
            <w:tcW w:w="18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359,442</w:t>
            </w:r>
          </w:p>
        </w:tc>
        <w:tc>
          <w:tcPr>
            <w:tcW w:w="1120" w:type="dxa"/>
            <w:vAlign w:val="bottom"/>
            <w:vMerge w:val="restart"/>
          </w:tcPr>
          <w:p>
            <w:pPr>
              <w:jc w:val="center"/>
              <w:ind w:left="72"/>
              <w:spacing w:after="0"/>
              <w:rPr>
                <w:sz w:val="20"/>
                <w:szCs w:val="20"/>
                <w:color w:val="auto"/>
              </w:rPr>
            </w:pPr>
            <w:r>
              <w:rPr>
                <w:rFonts w:ascii="Times New Roman" w:cs="Times New Roman" w:eastAsia="Times New Roman" w:hAnsi="Times New Roman"/>
                <w:sz w:val="18"/>
                <w:szCs w:val="18"/>
                <w:color w:val="auto"/>
                <w:w w:val="99"/>
              </w:rPr>
              <w:t>4,195,730</w:t>
            </w:r>
          </w:p>
        </w:tc>
        <w:tc>
          <w:tcPr>
            <w:tcW w:w="18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1,648,323</w:t>
            </w:r>
          </w:p>
        </w:tc>
        <w:tc>
          <w:tcPr>
            <w:tcW w:w="0" w:type="dxa"/>
            <w:vAlign w:val="bottom"/>
          </w:tcPr>
          <w:p>
            <w:pPr>
              <w:spacing w:after="0"/>
              <w:rPr>
                <w:sz w:val="1"/>
                <w:szCs w:val="1"/>
                <w:color w:val="auto"/>
              </w:rPr>
            </w:pPr>
          </w:p>
        </w:tc>
      </w:tr>
      <w:tr>
        <w:trPr>
          <w:trHeight w:val="203"/>
        </w:trPr>
        <w:tc>
          <w:tcPr>
            <w:tcW w:w="31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as of Applicable FY End</w:t>
            </w: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00" w:type="dxa"/>
            <w:vAlign w:val="bottom"/>
            <w:tcBorders>
              <w:left w:val="single" w:sz="8" w:color="auto"/>
              <w:right w:val="single" w:sz="8" w:color="auto"/>
            </w:tcBorders>
            <w:shd w:val="clear" w:color="auto" w:fill="CCEEFF"/>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Increase based on ASC 718 Fair Value of Awards</w:t>
            </w:r>
          </w:p>
        </w:tc>
        <w:tc>
          <w:tcPr>
            <w:tcW w:w="11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380" w:type="dxa"/>
            <w:vAlign w:val="bottom"/>
            <w:tcBorders>
              <w:right w:val="single" w:sz="8" w:color="auto"/>
            </w:tcBorders>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tcBorders>
              <w:right w:val="single" w:sz="8" w:color="auto"/>
            </w:tcBorders>
            <w:shd w:val="clear" w:color="auto" w:fill="CCEEFF"/>
          </w:tcPr>
          <w:p>
            <w:pPr>
              <w:spacing w:after="0"/>
              <w:rPr>
                <w:sz w:val="11"/>
                <w:szCs w:val="11"/>
                <w:color w:val="auto"/>
              </w:rPr>
            </w:pPr>
          </w:p>
        </w:tc>
        <w:tc>
          <w:tcPr>
            <w:tcW w:w="1320" w:type="dxa"/>
            <w:vAlign w:val="bottom"/>
            <w:tcBorders>
              <w:right w:val="single" w:sz="8" w:color="auto"/>
            </w:tcBorders>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tcBorders>
              <w:right w:val="single" w:sz="8" w:color="auto"/>
            </w:tcBorders>
            <w:shd w:val="clear" w:color="auto" w:fill="CCEEFF"/>
          </w:tcPr>
          <w:p>
            <w:pPr>
              <w:spacing w:after="0"/>
              <w:rPr>
                <w:sz w:val="11"/>
                <w:szCs w:val="11"/>
                <w:color w:val="auto"/>
              </w:rPr>
            </w:pPr>
          </w:p>
        </w:tc>
        <w:tc>
          <w:tcPr>
            <w:tcW w:w="132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tcBorders>
              <w:left w:val="single" w:sz="8" w:color="auto"/>
              <w:right w:val="single" w:sz="8" w:color="auto"/>
            </w:tcBorders>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Granted during Applicable FY that Vested</w:t>
            </w:r>
          </w:p>
        </w:tc>
        <w:tc>
          <w:tcPr>
            <w:tcW w:w="11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380" w:type="dxa"/>
            <w:vAlign w:val="bottom"/>
            <w:tcBorders>
              <w:right w:val="single" w:sz="8" w:color="auto"/>
            </w:tcBorders>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1320" w:type="dxa"/>
            <w:vAlign w:val="bottom"/>
            <w:tcBorders>
              <w:right w:val="single" w:sz="8" w:color="auto"/>
            </w:tcBorders>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132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00" w:type="dxa"/>
            <w:vAlign w:val="bottom"/>
            <w:tcBorders>
              <w:left w:val="single" w:sz="8" w:color="auto"/>
              <w:right w:val="single" w:sz="8" w:color="auto"/>
            </w:tcBorders>
            <w:shd w:val="clear" w:color="auto" w:fill="CCEEFF"/>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during Applicable FY, determined as of Vesting</w:t>
            </w:r>
          </w:p>
        </w:tc>
        <w:tc>
          <w:tcPr>
            <w:tcW w:w="1120" w:type="dxa"/>
            <w:vAlign w:val="bottom"/>
            <w:vMerge w:val="restart"/>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right w:val="single" w:sz="8" w:color="auto"/>
            </w:tcBorders>
            <w:shd w:val="clear" w:color="auto" w:fill="CCEEFF"/>
          </w:tcPr>
          <w:p>
            <w:pPr>
              <w:spacing w:after="0"/>
              <w:rPr>
                <w:sz w:val="12"/>
                <w:szCs w:val="12"/>
                <w:color w:val="auto"/>
              </w:rPr>
            </w:pPr>
          </w:p>
        </w:tc>
        <w:tc>
          <w:tcPr>
            <w:tcW w:w="13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vMerge w:val="restart"/>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right w:val="single" w:sz="8" w:color="auto"/>
            </w:tcBorders>
            <w:shd w:val="clear" w:color="auto" w:fill="CCEEFF"/>
          </w:tcPr>
          <w:p>
            <w:pPr>
              <w:spacing w:after="0"/>
              <w:rPr>
                <w:sz w:val="12"/>
                <w:szCs w:val="12"/>
                <w:color w:val="auto"/>
              </w:rPr>
            </w:pPr>
          </w:p>
        </w:tc>
        <w:tc>
          <w:tcPr>
            <w:tcW w:w="13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vMerge w:val="restart"/>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right w:val="single" w:sz="8" w:color="auto"/>
            </w:tcBorders>
            <w:shd w:val="clear" w:color="auto" w:fill="CCEEFF"/>
          </w:tcPr>
          <w:p>
            <w:pPr>
              <w:spacing w:after="0"/>
              <w:rPr>
                <w:sz w:val="12"/>
                <w:szCs w:val="12"/>
                <w:color w:val="auto"/>
              </w:rPr>
            </w:pPr>
          </w:p>
        </w:tc>
        <w:tc>
          <w:tcPr>
            <w:tcW w:w="13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3"/>
        </w:trPr>
        <w:tc>
          <w:tcPr>
            <w:tcW w:w="31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right w:val="single" w:sz="8" w:color="auto"/>
            </w:tcBorders>
            <w:shd w:val="clear" w:color="auto" w:fill="CCEEFF"/>
          </w:tcPr>
          <w:p>
            <w:pPr>
              <w:spacing w:after="0"/>
              <w:rPr>
                <w:sz w:val="17"/>
                <w:szCs w:val="17"/>
                <w:color w:val="auto"/>
              </w:rPr>
            </w:pPr>
          </w:p>
        </w:tc>
        <w:tc>
          <w:tcPr>
            <w:tcW w:w="138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right w:val="single" w:sz="8" w:color="auto"/>
            </w:tcBorders>
            <w:shd w:val="clear" w:color="auto" w:fill="CCEEFF"/>
          </w:tcPr>
          <w:p>
            <w:pPr>
              <w:spacing w:after="0"/>
              <w:rPr>
                <w:sz w:val="17"/>
                <w:szCs w:val="17"/>
                <w:color w:val="auto"/>
              </w:rPr>
            </w:pPr>
          </w:p>
        </w:tc>
        <w:tc>
          <w:tcPr>
            <w:tcW w:w="13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right w:val="single" w:sz="8" w:color="auto"/>
            </w:tcBorders>
            <w:shd w:val="clear" w:color="auto" w:fill="CCEEFF"/>
          </w:tcPr>
          <w:p>
            <w:pPr>
              <w:spacing w:after="0"/>
              <w:rPr>
                <w:sz w:val="17"/>
                <w:szCs w:val="17"/>
                <w:color w:val="auto"/>
              </w:rPr>
            </w:pPr>
          </w:p>
        </w:tc>
        <w:tc>
          <w:tcPr>
            <w:tcW w:w="13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00" w:type="dxa"/>
            <w:vAlign w:val="bottom"/>
            <w:tcBorders>
              <w:left w:val="single" w:sz="8" w:color="auto"/>
              <w:right w:val="single" w:sz="8" w:color="auto"/>
            </w:tcBorders>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Increase/deduction for Awards Granted during</w:t>
            </w:r>
          </w:p>
        </w:tc>
        <w:tc>
          <w:tcPr>
            <w:tcW w:w="11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00" w:type="dxa"/>
            <w:vAlign w:val="bottom"/>
            <w:tcBorders>
              <w:left w:val="single" w:sz="8" w:color="auto"/>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Prior FY that were Outstanding and Unvested as</w:t>
            </w:r>
          </w:p>
        </w:tc>
        <w:tc>
          <w:tcPr>
            <w:tcW w:w="11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00" w:type="dxa"/>
            <w:vAlign w:val="bottom"/>
            <w:tcBorders>
              <w:left w:val="single" w:sz="8" w:color="auto"/>
              <w:right w:val="single" w:sz="8" w:color="auto"/>
            </w:tcBorders>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of Applicable FY End, determined based on</w:t>
            </w:r>
          </w:p>
        </w:tc>
        <w:tc>
          <w:tcPr>
            <w:tcW w:w="11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100" w:type="dxa"/>
            <w:vAlign w:val="bottom"/>
            <w:tcBorders>
              <w:left w:val="single" w:sz="8" w:color="auto"/>
              <w:right w:val="single" w:sz="8" w:color="auto"/>
            </w:tcBorders>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change in ASC 718 Fair Value from Prior FY</w:t>
            </w:r>
          </w:p>
        </w:tc>
        <w:tc>
          <w:tcPr>
            <w:tcW w:w="1120" w:type="dxa"/>
            <w:vAlign w:val="bottom"/>
            <w:vMerge w:val="restart"/>
          </w:tcPr>
          <w:p>
            <w:pPr>
              <w:jc w:val="center"/>
              <w:ind w:left="12"/>
              <w:spacing w:after="0"/>
              <w:rPr>
                <w:sz w:val="20"/>
                <w:szCs w:val="20"/>
                <w:color w:val="auto"/>
              </w:rPr>
            </w:pPr>
            <w:r>
              <w:rPr>
                <w:rFonts w:ascii="Times New Roman" w:cs="Times New Roman" w:eastAsia="Times New Roman" w:hAnsi="Times New Roman"/>
                <w:sz w:val="18"/>
                <w:szCs w:val="18"/>
                <w:color w:val="auto"/>
                <w:w w:val="99"/>
              </w:rPr>
              <w:t>(454,994)</w:t>
            </w:r>
          </w:p>
        </w:tc>
        <w:tc>
          <w:tcPr>
            <w:tcW w:w="12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(64,086)</w:t>
            </w:r>
          </w:p>
        </w:tc>
        <w:tc>
          <w:tcPr>
            <w:tcW w:w="1140" w:type="dxa"/>
            <w:vAlign w:val="bottom"/>
            <w:vMerge w:val="restart"/>
          </w:tcPr>
          <w:p>
            <w:pPr>
              <w:jc w:val="center"/>
              <w:ind w:left="72"/>
              <w:spacing w:after="0"/>
              <w:rPr>
                <w:sz w:val="20"/>
                <w:szCs w:val="20"/>
                <w:color w:val="auto"/>
              </w:rPr>
            </w:pPr>
            <w:r>
              <w:rPr>
                <w:rFonts w:ascii="Times New Roman" w:cs="Times New Roman" w:eastAsia="Times New Roman" w:hAnsi="Times New Roman"/>
                <w:sz w:val="18"/>
                <w:szCs w:val="18"/>
                <w:color w:val="auto"/>
              </w:rPr>
              <w:t>(53,304)</w:t>
            </w:r>
          </w:p>
        </w:tc>
        <w:tc>
          <w:tcPr>
            <w:tcW w:w="1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(14,259)</w:t>
            </w:r>
          </w:p>
        </w:tc>
        <w:tc>
          <w:tcPr>
            <w:tcW w:w="1120" w:type="dxa"/>
            <w:vAlign w:val="bottom"/>
            <w:vMerge w:val="restart"/>
          </w:tcPr>
          <w:p>
            <w:pPr>
              <w:jc w:val="center"/>
              <w:ind w:left="72"/>
              <w:spacing w:after="0"/>
              <w:rPr>
                <w:sz w:val="20"/>
                <w:szCs w:val="20"/>
                <w:color w:val="auto"/>
              </w:rPr>
            </w:pPr>
            <w:r>
              <w:rPr>
                <w:rFonts w:ascii="Times New Roman" w:cs="Times New Roman" w:eastAsia="Times New Roman" w:hAnsi="Times New Roman"/>
                <w:sz w:val="18"/>
                <w:szCs w:val="18"/>
                <w:color w:val="auto"/>
                <w:w w:val="99"/>
              </w:rPr>
              <w:t>3,514,536</w:t>
            </w:r>
          </w:p>
        </w:tc>
        <w:tc>
          <w:tcPr>
            <w:tcW w:w="1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1,205,319</w:t>
            </w:r>
          </w:p>
        </w:tc>
        <w:tc>
          <w:tcPr>
            <w:tcW w:w="0" w:type="dxa"/>
            <w:vAlign w:val="bottom"/>
          </w:tcPr>
          <w:p>
            <w:pPr>
              <w:spacing w:after="0"/>
              <w:rPr>
                <w:sz w:val="1"/>
                <w:szCs w:val="1"/>
                <w:color w:val="auto"/>
              </w:rPr>
            </w:pPr>
          </w:p>
        </w:tc>
      </w:tr>
      <w:tr>
        <w:trPr>
          <w:trHeight w:val="200"/>
        </w:trPr>
        <w:tc>
          <w:tcPr>
            <w:tcW w:w="31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End to Applicable FY End</w:t>
            </w: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00" w:type="dxa"/>
            <w:vAlign w:val="bottom"/>
            <w:tcBorders>
              <w:left w:val="single" w:sz="8" w:color="auto"/>
              <w:right w:val="single" w:sz="8" w:color="auto"/>
            </w:tcBorders>
            <w:shd w:val="clear" w:color="auto" w:fill="CCEEFF"/>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Increase/deduction for Awards Granted during</w:t>
            </w:r>
          </w:p>
        </w:tc>
        <w:tc>
          <w:tcPr>
            <w:tcW w:w="11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380" w:type="dxa"/>
            <w:vAlign w:val="bottom"/>
            <w:tcBorders>
              <w:right w:val="single" w:sz="8" w:color="auto"/>
            </w:tcBorders>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tcBorders>
              <w:right w:val="single" w:sz="8" w:color="auto"/>
            </w:tcBorders>
            <w:shd w:val="clear" w:color="auto" w:fill="CCEEFF"/>
          </w:tcPr>
          <w:p>
            <w:pPr>
              <w:spacing w:after="0"/>
              <w:rPr>
                <w:sz w:val="11"/>
                <w:szCs w:val="11"/>
                <w:color w:val="auto"/>
              </w:rPr>
            </w:pPr>
          </w:p>
        </w:tc>
        <w:tc>
          <w:tcPr>
            <w:tcW w:w="1320" w:type="dxa"/>
            <w:vAlign w:val="bottom"/>
            <w:tcBorders>
              <w:right w:val="single" w:sz="8" w:color="auto"/>
            </w:tcBorders>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tcBorders>
              <w:right w:val="single" w:sz="8" w:color="auto"/>
            </w:tcBorders>
            <w:shd w:val="clear" w:color="auto" w:fill="CCEEFF"/>
          </w:tcPr>
          <w:p>
            <w:pPr>
              <w:spacing w:after="0"/>
              <w:rPr>
                <w:sz w:val="11"/>
                <w:szCs w:val="11"/>
                <w:color w:val="auto"/>
              </w:rPr>
            </w:pPr>
          </w:p>
        </w:tc>
        <w:tc>
          <w:tcPr>
            <w:tcW w:w="132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tcBorders>
              <w:left w:val="single" w:sz="8" w:color="auto"/>
              <w:right w:val="single" w:sz="8" w:color="auto"/>
            </w:tcBorders>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Prior FY that Vested During Applicable FY,</w:t>
            </w:r>
          </w:p>
        </w:tc>
        <w:tc>
          <w:tcPr>
            <w:tcW w:w="11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380" w:type="dxa"/>
            <w:vAlign w:val="bottom"/>
            <w:tcBorders>
              <w:right w:val="single" w:sz="8" w:color="auto"/>
            </w:tcBorders>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1320" w:type="dxa"/>
            <w:vAlign w:val="bottom"/>
            <w:tcBorders>
              <w:right w:val="single" w:sz="8" w:color="auto"/>
            </w:tcBorders>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132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00" w:type="dxa"/>
            <w:vAlign w:val="bottom"/>
            <w:tcBorders>
              <w:left w:val="single" w:sz="8" w:color="auto"/>
              <w:right w:val="single" w:sz="8" w:color="auto"/>
            </w:tcBorders>
            <w:shd w:val="clear" w:color="auto" w:fill="CCEEFF"/>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determined based on change in ASC 718 Fair</w:t>
            </w:r>
          </w:p>
        </w:tc>
        <w:tc>
          <w:tcPr>
            <w:tcW w:w="1120" w:type="dxa"/>
            <w:vAlign w:val="bottom"/>
            <w:vMerge w:val="restart"/>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(26,350)</w:t>
            </w:r>
          </w:p>
        </w:tc>
        <w:tc>
          <w:tcPr>
            <w:tcW w:w="120" w:type="dxa"/>
            <w:vAlign w:val="bottom"/>
            <w:tcBorders>
              <w:right w:val="single" w:sz="8" w:color="auto"/>
            </w:tcBorders>
            <w:shd w:val="clear" w:color="auto" w:fill="CCEEFF"/>
          </w:tcPr>
          <w:p>
            <w:pPr>
              <w:spacing w:after="0"/>
              <w:rPr>
                <w:sz w:val="12"/>
                <w:szCs w:val="12"/>
                <w:color w:val="auto"/>
              </w:rPr>
            </w:pPr>
          </w:p>
        </w:tc>
        <w:tc>
          <w:tcPr>
            <w:tcW w:w="13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57,086</w:t>
            </w:r>
          </w:p>
        </w:tc>
        <w:tc>
          <w:tcPr>
            <w:tcW w:w="1140" w:type="dxa"/>
            <w:vAlign w:val="bottom"/>
            <w:vMerge w:val="restart"/>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rPr>
              <w:t>36,087</w:t>
            </w:r>
          </w:p>
        </w:tc>
        <w:tc>
          <w:tcPr>
            <w:tcW w:w="180" w:type="dxa"/>
            <w:vAlign w:val="bottom"/>
            <w:tcBorders>
              <w:right w:val="single" w:sz="8" w:color="auto"/>
            </w:tcBorders>
            <w:shd w:val="clear" w:color="auto" w:fill="CCEEFF"/>
          </w:tcPr>
          <w:p>
            <w:pPr>
              <w:spacing w:after="0"/>
              <w:rPr>
                <w:sz w:val="12"/>
                <w:szCs w:val="12"/>
                <w:color w:val="auto"/>
              </w:rPr>
            </w:pPr>
          </w:p>
        </w:tc>
        <w:tc>
          <w:tcPr>
            <w:tcW w:w="13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8,567</w:t>
            </w:r>
          </w:p>
        </w:tc>
        <w:tc>
          <w:tcPr>
            <w:tcW w:w="1120" w:type="dxa"/>
            <w:vAlign w:val="bottom"/>
            <w:vMerge w:val="restart"/>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rPr>
              <w:t>583,589</w:t>
            </w:r>
          </w:p>
        </w:tc>
        <w:tc>
          <w:tcPr>
            <w:tcW w:w="180" w:type="dxa"/>
            <w:vAlign w:val="bottom"/>
            <w:tcBorders>
              <w:right w:val="single" w:sz="8" w:color="auto"/>
            </w:tcBorders>
            <w:shd w:val="clear" w:color="auto" w:fill="CCEEFF"/>
          </w:tcPr>
          <w:p>
            <w:pPr>
              <w:spacing w:after="0"/>
              <w:rPr>
                <w:sz w:val="12"/>
                <w:szCs w:val="12"/>
                <w:color w:val="auto"/>
              </w:rPr>
            </w:pPr>
          </w:p>
        </w:tc>
        <w:tc>
          <w:tcPr>
            <w:tcW w:w="13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259,472</w:t>
            </w:r>
          </w:p>
        </w:tc>
        <w:tc>
          <w:tcPr>
            <w:tcW w:w="0" w:type="dxa"/>
            <w:vAlign w:val="bottom"/>
          </w:tcPr>
          <w:p>
            <w:pPr>
              <w:spacing w:after="0"/>
              <w:rPr>
                <w:sz w:val="1"/>
                <w:szCs w:val="1"/>
                <w:color w:val="auto"/>
              </w:rPr>
            </w:pPr>
          </w:p>
        </w:tc>
      </w:tr>
      <w:tr>
        <w:trPr>
          <w:trHeight w:val="203"/>
        </w:trPr>
        <w:tc>
          <w:tcPr>
            <w:tcW w:w="31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Value from Prior FY End to Vesting Date</w:t>
            </w: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right w:val="single" w:sz="8" w:color="auto"/>
            </w:tcBorders>
            <w:shd w:val="clear" w:color="auto" w:fill="CCEEFF"/>
          </w:tcPr>
          <w:p>
            <w:pPr>
              <w:spacing w:after="0"/>
              <w:rPr>
                <w:sz w:val="17"/>
                <w:szCs w:val="17"/>
                <w:color w:val="auto"/>
              </w:rPr>
            </w:pPr>
          </w:p>
        </w:tc>
        <w:tc>
          <w:tcPr>
            <w:tcW w:w="138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right w:val="single" w:sz="8" w:color="auto"/>
            </w:tcBorders>
            <w:shd w:val="clear" w:color="auto" w:fill="CCEEFF"/>
          </w:tcPr>
          <w:p>
            <w:pPr>
              <w:spacing w:after="0"/>
              <w:rPr>
                <w:sz w:val="17"/>
                <w:szCs w:val="17"/>
                <w:color w:val="auto"/>
              </w:rPr>
            </w:pPr>
          </w:p>
        </w:tc>
        <w:tc>
          <w:tcPr>
            <w:tcW w:w="13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right w:val="single" w:sz="8" w:color="auto"/>
            </w:tcBorders>
            <w:shd w:val="clear" w:color="auto" w:fill="CCEEFF"/>
          </w:tcPr>
          <w:p>
            <w:pPr>
              <w:spacing w:after="0"/>
              <w:rPr>
                <w:sz w:val="17"/>
                <w:szCs w:val="17"/>
                <w:color w:val="auto"/>
              </w:rPr>
            </w:pPr>
          </w:p>
        </w:tc>
        <w:tc>
          <w:tcPr>
            <w:tcW w:w="13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00" w:type="dxa"/>
            <w:vAlign w:val="bottom"/>
            <w:tcBorders>
              <w:left w:val="single" w:sz="8" w:color="auto"/>
              <w:right w:val="single" w:sz="8" w:color="auto"/>
            </w:tcBorders>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Deduction of ASC 718 Fair Value of Awards</w:t>
            </w:r>
          </w:p>
        </w:tc>
        <w:tc>
          <w:tcPr>
            <w:tcW w:w="11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tcBorders>
              <w:left w:val="single" w:sz="8" w:color="auto"/>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Granted during Prior FY that were Forfeited</w:t>
            </w:r>
          </w:p>
        </w:tc>
        <w:tc>
          <w:tcPr>
            <w:tcW w:w="11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00" w:type="dxa"/>
            <w:vAlign w:val="bottom"/>
            <w:tcBorders>
              <w:left w:val="single" w:sz="8" w:color="auto"/>
              <w:right w:val="single" w:sz="8" w:color="auto"/>
            </w:tcBorders>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during Applicable FY, determined as of Prior FY</w:t>
            </w:r>
          </w:p>
        </w:tc>
        <w:tc>
          <w:tcPr>
            <w:tcW w:w="1120" w:type="dxa"/>
            <w:vAlign w:val="bottom"/>
            <w:vMerge w:val="restart"/>
          </w:tcPr>
          <w:p>
            <w:pPr>
              <w:jc w:val="center"/>
              <w:ind w:left="12"/>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(48,564)</w:t>
            </w:r>
          </w:p>
        </w:tc>
        <w:tc>
          <w:tcPr>
            <w:tcW w:w="1140" w:type="dxa"/>
            <w:vAlign w:val="bottom"/>
            <w:vMerge w:val="restart"/>
          </w:tcPr>
          <w:p>
            <w:pPr>
              <w:jc w:val="center"/>
              <w:ind w:left="72"/>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vMerge w:val="restart"/>
          </w:tcPr>
          <w:p>
            <w:pPr>
              <w:jc w:val="center"/>
              <w:ind w:left="52"/>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3"/>
        </w:trPr>
        <w:tc>
          <w:tcPr>
            <w:tcW w:w="31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End</w:t>
            </w: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00" w:type="dxa"/>
            <w:vAlign w:val="bottom"/>
            <w:tcBorders>
              <w:left w:val="single" w:sz="8" w:color="auto"/>
              <w:right w:val="single" w:sz="8" w:color="auto"/>
            </w:tcBorders>
            <w:shd w:val="clear" w:color="auto" w:fill="CCEEFF"/>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Increase based on Dividends or Other Earnings</w:t>
            </w:r>
          </w:p>
        </w:tc>
        <w:tc>
          <w:tcPr>
            <w:tcW w:w="1120" w:type="dxa"/>
            <w:vAlign w:val="bottom"/>
            <w:vMerge w:val="restart"/>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right w:val="single" w:sz="8" w:color="auto"/>
            </w:tcBorders>
            <w:shd w:val="clear" w:color="auto" w:fill="CCEEFF"/>
          </w:tcPr>
          <w:p>
            <w:pPr>
              <w:spacing w:after="0"/>
              <w:rPr>
                <w:sz w:val="11"/>
                <w:szCs w:val="11"/>
                <w:color w:val="auto"/>
              </w:rPr>
            </w:pPr>
          </w:p>
        </w:tc>
        <w:tc>
          <w:tcPr>
            <w:tcW w:w="13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vMerge w:val="restart"/>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right w:val="single" w:sz="8" w:color="auto"/>
            </w:tcBorders>
            <w:shd w:val="clear" w:color="auto" w:fill="CCEEFF"/>
          </w:tcPr>
          <w:p>
            <w:pPr>
              <w:spacing w:after="0"/>
              <w:rPr>
                <w:sz w:val="11"/>
                <w:szCs w:val="11"/>
                <w:color w:val="auto"/>
              </w:rPr>
            </w:pPr>
          </w:p>
        </w:tc>
        <w:tc>
          <w:tcPr>
            <w:tcW w:w="13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vMerge w:val="restart"/>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right w:val="single" w:sz="8" w:color="auto"/>
            </w:tcBorders>
            <w:shd w:val="clear" w:color="auto" w:fill="CCEEFF"/>
          </w:tcPr>
          <w:p>
            <w:pPr>
              <w:spacing w:after="0"/>
              <w:rPr>
                <w:sz w:val="11"/>
                <w:szCs w:val="11"/>
                <w:color w:val="auto"/>
              </w:rPr>
            </w:pPr>
          </w:p>
        </w:tc>
        <w:tc>
          <w:tcPr>
            <w:tcW w:w="13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0"/>
        </w:trPr>
        <w:tc>
          <w:tcPr>
            <w:tcW w:w="31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Paid during Applicable FY prior to Vesting Date</w:t>
            </w: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right w:val="single" w:sz="8" w:color="auto"/>
            </w:tcBorders>
            <w:shd w:val="clear" w:color="auto" w:fill="CCEEFF"/>
          </w:tcPr>
          <w:p>
            <w:pPr>
              <w:spacing w:after="0"/>
              <w:rPr>
                <w:sz w:val="17"/>
                <w:szCs w:val="17"/>
                <w:color w:val="auto"/>
              </w:rPr>
            </w:pPr>
          </w:p>
        </w:tc>
        <w:tc>
          <w:tcPr>
            <w:tcW w:w="138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right w:val="single" w:sz="8" w:color="auto"/>
            </w:tcBorders>
            <w:shd w:val="clear" w:color="auto" w:fill="CCEEFF"/>
          </w:tcPr>
          <w:p>
            <w:pPr>
              <w:spacing w:after="0"/>
              <w:rPr>
                <w:sz w:val="17"/>
                <w:szCs w:val="17"/>
                <w:color w:val="auto"/>
              </w:rPr>
            </w:pPr>
          </w:p>
        </w:tc>
        <w:tc>
          <w:tcPr>
            <w:tcW w:w="13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right w:val="single" w:sz="8" w:color="auto"/>
            </w:tcBorders>
            <w:shd w:val="clear" w:color="auto" w:fill="CCEEFF"/>
          </w:tcPr>
          <w:p>
            <w:pPr>
              <w:spacing w:after="0"/>
              <w:rPr>
                <w:sz w:val="17"/>
                <w:szCs w:val="17"/>
                <w:color w:val="auto"/>
              </w:rPr>
            </w:pPr>
          </w:p>
        </w:tc>
        <w:tc>
          <w:tcPr>
            <w:tcW w:w="13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00" w:type="dxa"/>
            <w:vAlign w:val="bottom"/>
            <w:tcBorders>
              <w:left w:val="single" w:sz="8" w:color="auto"/>
              <w:right w:val="single" w:sz="8" w:color="auto"/>
            </w:tcBorders>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Increase based on Incremental Fair Value of</w:t>
            </w:r>
          </w:p>
        </w:tc>
        <w:tc>
          <w:tcPr>
            <w:tcW w:w="1120" w:type="dxa"/>
            <w:vAlign w:val="bottom"/>
            <w:vMerge w:val="restart"/>
          </w:tcPr>
          <w:p>
            <w:pPr>
              <w:jc w:val="center"/>
              <w:ind w:left="12"/>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141,646</w:t>
            </w:r>
          </w:p>
        </w:tc>
        <w:tc>
          <w:tcPr>
            <w:tcW w:w="1140" w:type="dxa"/>
            <w:vAlign w:val="bottom"/>
            <w:vMerge w:val="restart"/>
          </w:tcPr>
          <w:p>
            <w:pPr>
              <w:jc w:val="center"/>
              <w:ind w:left="72"/>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vMerge w:val="restart"/>
          </w:tcPr>
          <w:p>
            <w:pPr>
              <w:jc w:val="center"/>
              <w:ind w:left="52"/>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0"/>
        </w:trPr>
        <w:tc>
          <w:tcPr>
            <w:tcW w:w="31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Options/SARs Modified during Applicable FY</w:t>
            </w: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1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TOTAL ADJUSTMENTS</w:t>
            </w:r>
          </w:p>
        </w:tc>
        <w:tc>
          <w:tcPr>
            <w:tcW w:w="1120" w:type="dxa"/>
            <w:vAlign w:val="bottom"/>
            <w:tcBorders>
              <w:bottom w:val="single" w:sz="8" w:color="auto"/>
            </w:tcBorders>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$(503,105)</w:t>
            </w:r>
          </w:p>
        </w:tc>
        <w:tc>
          <w:tcPr>
            <w:tcW w:w="120" w:type="dxa"/>
            <w:vAlign w:val="bottom"/>
            <w:tcBorders>
              <w:bottom w:val="single" w:sz="8" w:color="auto"/>
              <w:right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$(104,097)</w:t>
            </w:r>
          </w:p>
        </w:tc>
        <w:tc>
          <w:tcPr>
            <w:tcW w:w="1140" w:type="dxa"/>
            <w:vAlign w:val="bottom"/>
            <w:tcBorders>
              <w:bottom w:val="single" w:sz="8" w:color="auto"/>
            </w:tcBorders>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8"/>
              </w:rPr>
              <w:t>$(145,711)</w:t>
            </w:r>
          </w:p>
        </w:tc>
        <w:tc>
          <w:tcPr>
            <w:tcW w:w="180" w:type="dxa"/>
            <w:vAlign w:val="bottom"/>
            <w:tcBorders>
              <w:bottom w:val="single" w:sz="8" w:color="auto"/>
              <w:right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$(56,172)</w:t>
            </w:r>
          </w:p>
        </w:tc>
        <w:tc>
          <w:tcPr>
            <w:tcW w:w="1120" w:type="dxa"/>
            <w:vAlign w:val="bottom"/>
            <w:tcBorders>
              <w:bottom w:val="single" w:sz="8" w:color="auto"/>
            </w:tcBorders>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8"/>
              </w:rPr>
              <w:t>$6,901,849</w:t>
            </w:r>
          </w:p>
        </w:tc>
        <w:tc>
          <w:tcPr>
            <w:tcW w:w="180" w:type="dxa"/>
            <w:vAlign w:val="bottom"/>
            <w:tcBorders>
              <w:bottom w:val="single" w:sz="8" w:color="auto"/>
              <w:right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$2,566,254</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980" w:hanging="324"/>
        <w:spacing w:after="0" w:line="261"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stock options reported for CAP purposes in the Adjustments table is estimated using a Black-Scholes and Monte Carlo option pricing models. These models use both historical data and current market data to estimate the fair value of options and requires several assumptions. The assumptions used in estimating fair value for options (other than Mr. Hasnain’s performance-based options) included in the adjustments calculation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20"/>
                <w:szCs w:val="20"/>
                <w:color w:val="auto"/>
              </w:rPr>
            </w:pPr>
          </w:p>
        </w:tc>
        <w:tc>
          <w:tcPr>
            <w:tcW w:w="220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23"/>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62.34 - 131.17%</w:t>
            </w:r>
          </w:p>
        </w:tc>
        <w:tc>
          <w:tcPr>
            <w:tcW w:w="1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101.12</w:t>
            </w:r>
          </w:p>
        </w:tc>
        <w:tc>
          <w:tcPr>
            <w:tcW w:w="1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- 134.90%</w:t>
            </w:r>
          </w:p>
        </w:tc>
        <w:tc>
          <w:tcPr>
            <w:tcW w:w="16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86.34 - 134.90%</w:t>
            </w:r>
          </w:p>
        </w:tc>
      </w:tr>
      <w:tr>
        <w:trPr>
          <w:trHeight w:val="22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23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1.96 - 6.01 years</w:t>
            </w:r>
          </w:p>
        </w:tc>
        <w:tc>
          <w:tcPr>
            <w:tcW w:w="23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2.08 - 5.08 years</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2.08 - 5.08 years</w:t>
            </w:r>
          </w:p>
        </w:tc>
      </w:tr>
      <w:tr>
        <w:trPr>
          <w:trHeight w:val="230"/>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3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6"/>
              </w:rPr>
              <w:t>—%</w:t>
            </w:r>
          </w:p>
        </w:tc>
        <w:tc>
          <w:tcPr>
            <w:tcW w:w="236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6"/>
              </w:rPr>
              <w:t>—%</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34"/>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3.37 - 5.04%</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- 4.85%</w:t>
            </w:r>
          </w:p>
        </w:tc>
        <w:tc>
          <w:tcPr>
            <w:tcW w:w="16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3.47 - 4.42%</w:t>
            </w:r>
          </w:p>
        </w:tc>
      </w:tr>
    </w:tbl>
    <w:p>
      <w:pPr>
        <w:spacing w:after="0" w:line="179" w:lineRule="exact"/>
        <w:rPr>
          <w:sz w:val="20"/>
          <w:szCs w:val="20"/>
          <w:color w:val="auto"/>
        </w:rPr>
      </w:pPr>
    </w:p>
    <w:p>
      <w:pPr>
        <w:ind w:left="1140" w:right="40"/>
        <w:spacing w:after="0" w:line="256" w:lineRule="auto"/>
        <w:rPr>
          <w:sz w:val="20"/>
          <w:szCs w:val="20"/>
          <w:color w:val="auto"/>
        </w:rPr>
      </w:pPr>
      <w:r>
        <w:rPr>
          <w:rFonts w:ascii="Times New Roman" w:cs="Times New Roman" w:eastAsia="Times New Roman" w:hAnsi="Times New Roman"/>
          <w:sz w:val="18"/>
          <w:szCs w:val="18"/>
          <w:color w:val="auto"/>
        </w:rPr>
        <w:t>The assumptions used in estimating the fair value of Mr. Hasnain’s performance-based options granted in May 2023, which contain both service-based and market-based vesting conditions, as of the last day of 2025, was determined using the Geometric Brownian Motion/Monte Carlo model and the following assumptions: the company’s Common Stock price as of December 31, 2025 of $3.10; a four-year continuously compounded equivalent risk-free rate of 3.64%; an expected stock price volatility of 110.21%; a dividend yield of 0%; and an expected term of approximately 4 years. The assumptions used in estimating the fair value of Mr. Hasnain’s performance-based options granted in May 2023, which contain both service-based and market-based vesting</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7" w:right="379" w:bottom="1440" w:gutter="0" w:footer="0" w:header="0"/>
        </w:sectPr>
      </w:pPr>
    </w:p>
    <w:bookmarkStart w:id="62" w:name="page63"/>
    <w:bookmarkEnd w:id="62"/>
    <w:p>
      <w:pPr>
        <w:ind w:left="1140"/>
        <w:spacing w:after="0" w:line="254" w:lineRule="auto"/>
        <w:rPr>
          <w:sz w:val="20"/>
          <w:szCs w:val="20"/>
          <w:color w:val="auto"/>
        </w:rPr>
      </w:pPr>
      <w:r>
        <w:rPr>
          <w:rFonts w:ascii="Times New Roman" w:cs="Times New Roman" w:eastAsia="Times New Roman" w:hAnsi="Times New Roman"/>
          <w:sz w:val="18"/>
          <w:szCs w:val="18"/>
          <w:color w:val="auto"/>
        </w:rPr>
        <w:t>conditions, as of the last day of 2024, was determined using the Geometric Brownian Motion/Monte Carlo model and the following assumptions: the company’s Common Stock price as of December 31, 2024 of $0.90; a five-year continuously compounded equivalent risk-free rate of 4.38%; an expected stock price volatility of 101.19%; a dividend yield of 0%; and an expected term of approximately five years. The assumptions used in estimating the fair value of Mr. Hasnain’s performance-based options granted in May 2023, which contain both service-based and market-based vesting conditions, as of the last day of 2023, was determined using the Geometric Brownian Motion/Monte Carlo model and the following assumptions: the company’s Common Stock price as of December 31, 2023 of $0.91; a six-year continuously compounded equivalent risk-free rate of 3.86%; an expected stock price volatility of 103.89%; a dividend yield of 0%; and an expected term of approximately six years.</w:t>
      </w:r>
    </w:p>
    <w:p>
      <w:pPr>
        <w:spacing w:after="0" w:line="138" w:lineRule="exact"/>
        <w:rPr>
          <w:sz w:val="20"/>
          <w:szCs w:val="20"/>
          <w:color w:val="auto"/>
        </w:rPr>
      </w:pPr>
    </w:p>
    <w:p>
      <w:pPr>
        <w:ind w:left="1140" w:right="180"/>
        <w:spacing w:after="0" w:line="282" w:lineRule="auto"/>
        <w:rPr>
          <w:sz w:val="20"/>
          <w:szCs w:val="20"/>
          <w:color w:val="auto"/>
        </w:rPr>
      </w:pPr>
      <w:r>
        <w:rPr>
          <w:rFonts w:ascii="Times New Roman" w:cs="Times New Roman" w:eastAsia="Times New Roman" w:hAnsi="Times New Roman"/>
          <w:sz w:val="18"/>
          <w:szCs w:val="18"/>
          <w:color w:val="auto"/>
        </w:rPr>
        <w:t>The fair value of RSUs reported for CAP purposes in the Adjustments table is estimated using the closing price per share of our Common Stock on the applicable measurement date.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Pay Versus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CAP and TSR</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graphs below reflect the relationship between the PEO and Average Non-PEO NEO CAP and the company’s cumulative indexed Total Shareholder Return (“</w:t>
      </w:r>
      <w:r>
        <w:rPr>
          <w:rFonts w:ascii="Times New Roman" w:cs="Times New Roman" w:eastAsia="Times New Roman" w:hAnsi="Times New Roman"/>
          <w:sz w:val="18"/>
          <w:szCs w:val="18"/>
          <w:b w:val="1"/>
          <w:bCs w:val="1"/>
          <w:i w:val="1"/>
          <w:iCs w:val="1"/>
          <w:color w:val="auto"/>
        </w:rPr>
        <w:t>TSR</w:t>
      </w:r>
      <w:r>
        <w:rPr>
          <w:rFonts w:ascii="Times New Roman" w:cs="Times New Roman" w:eastAsia="Times New Roman" w:hAnsi="Times New Roman"/>
          <w:sz w:val="18"/>
          <w:szCs w:val="18"/>
          <w:color w:val="auto"/>
        </w:rPr>
        <w:t>”), (assuming an initial fixed investment of $100) for the fiscal years ended December 31, 2023,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5863590" cy="27343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6359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CAP and Net Income (Loss)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graph below reflects the relationship between the PEO and Average Non-PEO NEO CAP and the company’s Net Income (Loss) for the fiscal years ended December 31, 2023, 2024 and 2025:</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5863590" cy="28460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5863590"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securities available under our equity compensation plans as of December 31, 2025.</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60" w:right="1940" w:hanging="134"/>
        <w:spacing w:after="0" w:line="276" w:lineRule="auto"/>
        <w:rPr>
          <w:sz w:val="20"/>
          <w:szCs w:val="20"/>
          <w:color w:val="auto"/>
        </w:rPr>
      </w:pPr>
      <w:r>
        <w:rPr>
          <w:rFonts w:ascii="Times New Roman" w:cs="Times New Roman" w:eastAsia="Times New Roman" w:hAnsi="Times New Roman"/>
          <w:sz w:val="18"/>
          <w:szCs w:val="18"/>
          <w:b w:val="1"/>
          <w:bCs w:val="1"/>
          <w:color w:val="auto"/>
        </w:rPr>
        <w:t>Equity compensation plans approved by security holders:</w:t>
      </w:r>
    </w:p>
    <w:p>
      <w:pPr>
        <w:ind w:left="280"/>
        <w:spacing w:after="0"/>
        <w:rPr>
          <w:sz w:val="20"/>
          <w:szCs w:val="20"/>
          <w:color w:val="auto"/>
        </w:rPr>
      </w:pPr>
      <w:r>
        <w:rPr>
          <w:rFonts w:ascii="Times New Roman" w:cs="Times New Roman" w:eastAsia="Times New Roman" w:hAnsi="Times New Roman"/>
          <w:sz w:val="18"/>
          <w:szCs w:val="18"/>
          <w:color w:val="auto"/>
        </w:rPr>
        <w:t>2017 Equity Incentive Plan</w:t>
      </w:r>
    </w:p>
    <w:p>
      <w:pPr>
        <w:spacing w:after="0" w:line="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2019 Equity Incentive Plan</w:t>
      </w:r>
    </w:p>
    <w:p>
      <w:pPr>
        <w:spacing w:after="0" w:line="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2019 Employee Stock Purchase Plan</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Equity compensation plans not approved by security holders:</w:t>
      </w:r>
    </w:p>
    <w:p>
      <w:pPr>
        <w:spacing w:after="0" w:line="67" w:lineRule="exact"/>
        <w:rPr>
          <w:sz w:val="20"/>
          <w:szCs w:val="20"/>
          <w:color w:val="auto"/>
        </w:rPr>
      </w:pPr>
    </w:p>
    <w:p>
      <w:pPr>
        <w:ind w:left="20" w:right="960" w:firstLine="247"/>
        <w:spacing w:after="0" w:line="344" w:lineRule="auto"/>
        <w:rPr>
          <w:sz w:val="20"/>
          <w:szCs w:val="20"/>
          <w:color w:val="auto"/>
        </w:rPr>
      </w:pPr>
      <w:r>
        <w:rPr>
          <w:rFonts w:ascii="Times New Roman" w:cs="Times New Roman" w:eastAsia="Times New Roman" w:hAnsi="Times New Roman"/>
          <w:sz w:val="18"/>
          <w:szCs w:val="18"/>
          <w:color w:val="auto"/>
        </w:rPr>
        <w:t xml:space="preserve">2023 Employment Inducement Incentive Award Plan </w:t>
      </w:r>
      <w:r>
        <w:rPr>
          <w:rFonts w:ascii="Times New Roman" w:cs="Times New Roman" w:eastAsia="Times New Roman" w:hAnsi="Times New Roman"/>
          <w:sz w:val="18"/>
          <w:szCs w:val="18"/>
          <w:b w:val="1"/>
          <w:bCs w:val="1"/>
          <w:color w:val="auto"/>
        </w:rPr>
        <w:t>Total (1)</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 Number of</w:t>
            </w:r>
          </w:p>
        </w:tc>
      </w:tr>
      <w:tr>
        <w:trPr>
          <w:trHeight w:val="162"/>
        </w:trPr>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 Number of</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 Weighted</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r>
      <w:tr>
        <w:trPr>
          <w:trHeight w:val="175"/>
        </w:trPr>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securities to be</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per</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175"/>
        </w:trPr>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issued upon</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 exercise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available under</w:t>
            </w:r>
          </w:p>
        </w:tc>
      </w:tr>
      <w:tr>
        <w:trPr>
          <w:trHeight w:val="175"/>
        </w:trPr>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 of</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price of</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compensation</w:t>
            </w:r>
          </w:p>
        </w:tc>
      </w:tr>
      <w:tr>
        <w:trPr>
          <w:trHeight w:val="175"/>
        </w:trPr>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(excluding</w:t>
            </w:r>
          </w:p>
        </w:tc>
      </w:tr>
      <w:tr>
        <w:trPr>
          <w:trHeight w:val="162"/>
        </w:trPr>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 warrants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 warrants</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reflected</w:t>
            </w:r>
          </w:p>
        </w:tc>
      </w:tr>
      <w:tr>
        <w:trPr>
          <w:trHeight w:val="204"/>
        </w:trPr>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rights (2)</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column (A)) (3)</w:t>
            </w:r>
          </w:p>
        </w:tc>
      </w:tr>
      <w:tr>
        <w:trPr>
          <w:trHeight w:val="37"/>
        </w:trPr>
        <w:tc>
          <w:tcPr>
            <w:tcW w:w="1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-7620</wp:posOffset>
            </wp:positionV>
            <wp:extent cx="7132320" cy="3086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1,955,471</w:t>
            </w:r>
          </w:p>
        </w:tc>
        <w:tc>
          <w:tcPr>
            <w:tcW w:w="100" w:type="dxa"/>
            <w:vAlign w:val="bottom"/>
          </w:tcPr>
          <w:p>
            <w:pPr>
              <w:spacing w:after="0"/>
              <w:rPr>
                <w:sz w:val="20"/>
                <w:szCs w:val="20"/>
                <w:color w:val="auto"/>
              </w:rPr>
            </w:pP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44,796,989</w:t>
            </w:r>
          </w:p>
        </w:tc>
        <w:tc>
          <w:tcPr>
            <w:tcW w:w="100" w:type="dxa"/>
            <w:vAlign w:val="bottom"/>
          </w:tcPr>
          <w:p>
            <w:pPr>
              <w:spacing w:after="0"/>
              <w:rPr>
                <w:sz w:val="23"/>
                <w:szCs w:val="23"/>
                <w:color w:val="auto"/>
              </w:rPr>
            </w:pP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8,445,734</w:t>
            </w:r>
          </w:p>
        </w:tc>
      </w:tr>
      <w:tr>
        <w:trPr>
          <w:trHeight w:val="270"/>
        </w:trPr>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1,089,883</w:t>
            </w:r>
          </w:p>
        </w:tc>
        <w:tc>
          <w:tcPr>
            <w:tcW w:w="100" w:type="dxa"/>
            <w:vAlign w:val="bottom"/>
          </w:tcPr>
          <w:p>
            <w:pPr>
              <w:spacing w:after="0"/>
              <w:rPr>
                <w:sz w:val="23"/>
                <w:szCs w:val="23"/>
                <w:color w:val="auto"/>
              </w:rPr>
            </w:pP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5,721,970</w:t>
            </w:r>
          </w:p>
        </w:tc>
      </w:tr>
      <w:tr>
        <w:trPr>
          <w:trHeight w:val="540"/>
        </w:trPr>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4,811,455</w:t>
            </w:r>
          </w:p>
        </w:tc>
        <w:tc>
          <w:tcPr>
            <w:tcW w:w="100" w:type="dxa"/>
            <w:vAlign w:val="bottom"/>
          </w:tcPr>
          <w:p>
            <w:pPr>
              <w:spacing w:after="0"/>
              <w:rPr>
                <w:sz w:val="24"/>
                <w:szCs w:val="24"/>
                <w:color w:val="auto"/>
              </w:rPr>
            </w:pPr>
          </w:p>
        </w:tc>
        <w:tc>
          <w:tcPr>
            <w:tcW w:w="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1,856,658</w:t>
            </w:r>
          </w:p>
        </w:tc>
      </w:tr>
      <w:tr>
        <w:trPr>
          <w:trHeight w:val="250"/>
        </w:trPr>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52,653,798</w:t>
            </w:r>
          </w:p>
        </w:tc>
        <w:tc>
          <w:tcPr>
            <w:tcW w:w="10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16,024,362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-856615</wp:posOffset>
            </wp:positionV>
            <wp:extent cx="71323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-513715</wp:posOffset>
            </wp:positionV>
            <wp:extent cx="71323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-170815</wp:posOffset>
            </wp:positionV>
            <wp:extent cx="71323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2">
            <w:col w:w="5060" w:space="720"/>
            <w:col w:w="5460"/>
          </w:cols>
          <w:pgMar w:left="320" w:top="1440" w:right="339" w:bottom="1440" w:gutter="0" w:footer="0" w:header="0"/>
          <w:type w:val="continuous"/>
        </w:sectPr>
      </w:pPr>
    </w:p>
    <w:p>
      <w:pPr>
        <w:spacing w:after="0"/>
        <w:rPr>
          <w:sz w:val="20"/>
          <w:szCs w:val="20"/>
          <w:color w:val="auto"/>
        </w:rPr>
      </w:pPr>
      <w:r>
        <w:rPr>
          <w:rFonts w:ascii="Arial" w:cs="Arial" w:eastAsia="Arial" w:hAnsi="Arial"/>
          <w:sz w:val="22"/>
          <w:szCs w:val="22"/>
          <w:color w:val="auto"/>
        </w:rPr>
        <w:t>____________________</w:t>
      </w:r>
    </w:p>
    <w:p>
      <w:pPr>
        <w:spacing w:after="0" w:line="31" w:lineRule="exact"/>
        <w:rPr>
          <w:sz w:val="20"/>
          <w:szCs w:val="20"/>
          <w:color w:val="auto"/>
        </w:rPr>
      </w:pPr>
    </w:p>
    <w:p>
      <w:pPr>
        <w:ind w:left="660" w:right="400" w:hanging="652"/>
        <w:spacing w:after="0" w:line="250" w:lineRule="auto"/>
        <w:tabs>
          <w:tab w:leader="none" w:pos="65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features of our equity incentive plans are more fully described in Note 9 to our consolidated financial statements included in our Annual Report on Form 10-K for the year ended December 31, 2025 filed with the SEC on March 17, 2026.</w:t>
      </w:r>
    </w:p>
    <w:p>
      <w:pPr>
        <w:ind w:left="640" w:hanging="632"/>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subject to outstanding options granted under our equity compensation plans.</w:t>
      </w:r>
    </w:p>
    <w:p>
      <w:pPr>
        <w:spacing w:after="0" w:line="9" w:lineRule="exact"/>
        <w:rPr>
          <w:rFonts w:ascii="Times New Roman" w:cs="Times New Roman" w:eastAsia="Times New Roman" w:hAnsi="Times New Roman"/>
          <w:sz w:val="18"/>
          <w:szCs w:val="18"/>
          <w:color w:val="auto"/>
        </w:rPr>
      </w:pPr>
    </w:p>
    <w:p>
      <w:pPr>
        <w:ind w:left="660" w:right="80" w:hanging="652"/>
        <w:spacing w:after="0" w:line="239" w:lineRule="auto"/>
        <w:tabs>
          <w:tab w:leader="none" w:pos="65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5,721,970 shares available for issuance under the 2019 Employee Stock Purchase Plan as of December 31, 2025, 5,721,970 of which were eligible to be purchased during the offering period in effect on such date, no shares available for future issuance under our 2017 Equity Incentive Plan, 8,445,734 shares available for issuance under our 2019 Equity Incentive Plan and 1,856,658 shares available for issuance under our 2023 Employment Inducement Incentive Award Plan. These amounts do not include any additional shares that may become available for future issuance under the 2019 Incentive Award Plan or the 2019 Employee Stock Purchase Plan pursuant to the automatic increases to the share reserves thereunder on each January 1 during the term of the applicable plan pursuant to the evergreen provisions of such plans, or pursuant to the Restated Plan assuming approval of Proposal 2.</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Russell Cox (chairperson), Thomas Daniel, M.D. and Sandra Milligan, M.D., J.D. served on our compensation committee during the 2025 fiscal year. None of the members of our compensation committee during the 2025 fiscal year has ever been one of our officers or employees. None of our executive officers currently serves, or has served during the last completed fiscal year, as a member of the board of directors or compensation committee of any entity that has one or more executive officers serving as a member of the Board or compensation committee.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non-employee director compensation program provides for annual retainer fees and/or long-term equity awards for our non-employee directors.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non-employee director receives an annual retainer of $40,000. Our chairperson of the board receives an additional annual retainer of $30,000, and our lead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director receives an additional annual retainer of $25,000. Non-employee directors serving as the chairs of the audit, compensation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nominating and corporate governance committees receive additional annual retainers of $15,000, $12,000 and $8,000, respectively. Non-employee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serving as members of the audit, compensation and nominating and corporate governance committees receive additional annual retainers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 $6,000 and $4,000, respectively. In addition, our non-employee directors are eligible to receive initial grants of options to purchase 230,000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Common Stock, vesting monthly over three years, upon election to the Board, and thereafter annual grants of options to purchase 115,000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vesting on the first to occur of (1) the first anniversary of the grant date or (2) the next occurring annual meeting of our 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Awards granted to our non-employee directors will vest upon a change in control.</w:t>
      </w:r>
    </w:p>
    <w:p>
      <w:pPr>
        <w:spacing w:after="0" w:line="23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February 2025, our board amended and restated the non-employee director compensation program to (1) increase the annual retainers that the non-employee directors serving as the chairs of the audit, compensation and nominating and corporate governance committees receive to $20,000, $15,000, and $10,000, respectively; and (2) increase the annual retainers that the non-employee directors serving as members of the audit, compensation and nominating and corporate governance committees receive to $10,000, $7,500, and $5,000, respectively.</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Compensation under our non-employee director compensation policy is subject to the annual limits on non-employee director compensation set forth in the 2019 Plan. As provided in the 2019 Plan, the Board or its authorized committee may make exceptions to this limit for individual non-employee directors in extraordinary circumstances, as the Board or its authorized committee may determine in its discretion, provided that the non-employee director receiving such additional compensation may not participate in the decision to award such compensation or in other compensation decisions involving non-employee directors.</w:t>
      </w:r>
    </w:p>
    <w:p>
      <w:pPr>
        <w:spacing w:after="0" w:line="21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have reimbursed and will continue to reimburse all of our non-employee directors for their travel, lodging and other reasonable expenses incurred in attending meetings of the Board and committees of the Board.</w:t>
      </w:r>
    </w:p>
    <w:p>
      <w:pPr>
        <w:spacing w:after="0" w:line="189"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8"/>
          <w:szCs w:val="18"/>
          <w:color w:val="auto"/>
        </w:rPr>
        <w:t>The following table sets forth the compensation that we paid or awarded during the year ended December 31, 2025 to each of our non-employee directors who served on the board during 2025. Mr. Hasnain is not included in the following table as he served as an executive officer during 2025 and his compensation is included in the Summary Compensation Table in the “Executive Compensation and Other Information” section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2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14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or Paid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in Cash ($)</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10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29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2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Steven Nathan, M.D.</w:t>
            </w:r>
          </w:p>
        </w:tc>
        <w:tc>
          <w:tcPr>
            <w:tcW w:w="8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44,750</w:t>
            </w:r>
          </w:p>
        </w:tc>
        <w:tc>
          <w:tcPr>
            <w:tcW w:w="16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122,694</w:t>
            </w:r>
          </w:p>
        </w:tc>
        <w:tc>
          <w:tcPr>
            <w:tcW w:w="100" w:type="dxa"/>
            <w:vAlign w:val="bottom"/>
            <w:tcBorders>
              <w:bottom w:val="single" w:sz="8" w:color="CFF0FC"/>
            </w:tcBorders>
            <w:shd w:val="clear" w:color="auto" w:fill="CFF0FC"/>
          </w:tcPr>
          <w:p>
            <w:pPr>
              <w:spacing w:after="0"/>
              <w:rPr>
                <w:sz w:val="20"/>
                <w:szCs w:val="20"/>
                <w:color w:val="auto"/>
              </w:rPr>
            </w:pPr>
          </w:p>
        </w:tc>
        <w:tc>
          <w:tcPr>
            <w:tcW w:w="1800" w:type="dxa"/>
            <w:vAlign w:val="bottom"/>
            <w:tcBorders>
              <w:bottom w:val="single" w:sz="8" w:color="CFF0FC"/>
            </w:tcBorders>
            <w:shd w:val="clear" w:color="auto" w:fill="CFF0FC"/>
          </w:tcPr>
          <w:p>
            <w:pPr>
              <w:ind w:left="16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167,444</w:t>
            </w:r>
          </w:p>
        </w:tc>
      </w:tr>
      <w:tr>
        <w:trPr>
          <w:trHeight w:val="234"/>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Skye Drynan</w:t>
            </w:r>
          </w:p>
        </w:tc>
        <w:tc>
          <w:tcPr>
            <w:tcW w:w="17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58,750</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122,694</w:t>
            </w:r>
          </w:p>
        </w:tc>
        <w:tc>
          <w:tcPr>
            <w:tcW w:w="100" w:type="dxa"/>
            <w:vAlign w:val="bottom"/>
          </w:tcPr>
          <w:p>
            <w:pPr>
              <w:spacing w:after="0"/>
              <w:rPr>
                <w:sz w:val="20"/>
                <w:szCs w:val="20"/>
                <w:color w:val="auto"/>
              </w:rPr>
            </w:pPr>
          </w:p>
        </w:tc>
        <w:tc>
          <w:tcPr>
            <w:tcW w:w="190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181,444</w:t>
            </w:r>
          </w:p>
        </w:tc>
      </w:tr>
      <w:tr>
        <w:trPr>
          <w:trHeight w:val="22"/>
        </w:trPr>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7"/>
        </w:trPr>
        <w:tc>
          <w:tcPr>
            <w:tcW w:w="30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Russell Cox</w:t>
            </w:r>
          </w:p>
        </w:tc>
        <w:tc>
          <w:tcPr>
            <w:tcW w:w="172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63,625</w:t>
            </w:r>
          </w:p>
        </w:tc>
        <w:tc>
          <w:tcPr>
            <w:tcW w:w="16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122,694</w:t>
            </w:r>
          </w:p>
        </w:tc>
        <w:tc>
          <w:tcPr>
            <w:tcW w:w="100" w:type="dxa"/>
            <w:vAlign w:val="bottom"/>
            <w:tcBorders>
              <w:bottom w:val="single" w:sz="8" w:color="CFF0FC"/>
            </w:tcBorders>
            <w:shd w:val="clear" w:color="auto" w:fill="CFF0FC"/>
          </w:tcPr>
          <w:p>
            <w:pPr>
              <w:spacing w:after="0"/>
              <w:rPr>
                <w:sz w:val="20"/>
                <w:szCs w:val="20"/>
                <w:color w:val="auto"/>
              </w:rPr>
            </w:pPr>
          </w:p>
        </w:tc>
        <w:tc>
          <w:tcPr>
            <w:tcW w:w="1900" w:type="dxa"/>
            <w:vAlign w:val="bottom"/>
            <w:tcBorders>
              <w:bottom w:val="single" w:sz="8" w:color="CFF0FC"/>
            </w:tcBorders>
            <w:gridSpan w:val="2"/>
            <w:shd w:val="clear" w:color="auto" w:fill="CFF0FC"/>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186,319</w:t>
            </w:r>
          </w:p>
        </w:tc>
      </w:tr>
      <w:tr>
        <w:trPr>
          <w:trHeight w:val="234"/>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Thomas Daniel, M.D.</w:t>
            </w:r>
          </w:p>
        </w:tc>
        <w:tc>
          <w:tcPr>
            <w:tcW w:w="17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76,875</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122,694</w:t>
            </w:r>
          </w:p>
        </w:tc>
        <w:tc>
          <w:tcPr>
            <w:tcW w:w="100" w:type="dxa"/>
            <w:vAlign w:val="bottom"/>
          </w:tcPr>
          <w:p>
            <w:pPr>
              <w:spacing w:after="0"/>
              <w:rPr>
                <w:sz w:val="20"/>
                <w:szCs w:val="20"/>
                <w:color w:val="auto"/>
              </w:rPr>
            </w:pPr>
          </w:p>
        </w:tc>
        <w:tc>
          <w:tcPr>
            <w:tcW w:w="190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199,569</w:t>
            </w:r>
          </w:p>
        </w:tc>
      </w:tr>
      <w:tr>
        <w:trPr>
          <w:trHeight w:val="22"/>
        </w:trPr>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7"/>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Sandra Milligan, M.D., J.D.</w:t>
            </w:r>
          </w:p>
        </w:tc>
        <w:tc>
          <w:tcPr>
            <w:tcW w:w="17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56,625</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122,694</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179,319</w:t>
            </w:r>
          </w:p>
        </w:tc>
      </w:tr>
      <w:tr>
        <w:trPr>
          <w:trHeight w:val="234"/>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Quisel, Ph.D., J.D.</w:t>
            </w:r>
          </w:p>
        </w:tc>
        <w:tc>
          <w:tcPr>
            <w:tcW w:w="17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49,375</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122,694</w:t>
            </w:r>
          </w:p>
        </w:tc>
        <w:tc>
          <w:tcPr>
            <w:tcW w:w="100" w:type="dxa"/>
            <w:vAlign w:val="bottom"/>
          </w:tcPr>
          <w:p>
            <w:pPr>
              <w:spacing w:after="0"/>
              <w:rPr>
                <w:sz w:val="20"/>
                <w:szCs w:val="20"/>
                <w:color w:val="auto"/>
              </w:rPr>
            </w:pPr>
          </w:p>
        </w:tc>
        <w:tc>
          <w:tcPr>
            <w:tcW w:w="190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172,069</w:t>
            </w:r>
          </w:p>
        </w:tc>
      </w:tr>
    </w:tbl>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660" w:right="40" w:hanging="328"/>
        <w:spacing w:after="0" w:line="253" w:lineRule="auto"/>
        <w:tabs>
          <w:tab w:leader="none" w:pos="65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the grant date fair value of the option awards granted to the non-employee directors in 2025. In accordance with SEC rules, this column reflects the aggregate fair value of the option awards granted to the non-employee directors during 2025 computed as of the grant date in accordance with Financial Accounting Standards, Standard Board Accounting Codification Topic 718 for stock-based compensation transactions (ASC 718).</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5" w:name="page66"/>
    <w:bookmarkEnd w:id="65"/>
    <w:p>
      <w:pPr>
        <w:ind w:left="660"/>
        <w:spacing w:after="0" w:line="220" w:lineRule="exact"/>
        <w:rPr>
          <w:sz w:val="20"/>
          <w:szCs w:val="20"/>
          <w:color w:val="auto"/>
        </w:rPr>
      </w:pPr>
      <w:r>
        <w:rPr>
          <w:rFonts w:ascii="Times New Roman" w:cs="Times New Roman" w:eastAsia="Times New Roman" w:hAnsi="Times New Roman"/>
          <w:sz w:val="18"/>
          <w:szCs w:val="18"/>
          <w:color w:val="auto"/>
        </w:rPr>
        <w:t>Assumptions used in the calculation of this amount are included in Note 9 to our consolidated financial statements included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2025, which was filed with the SEC on March 17, 2026. This amount does not reflect the actual economic value that will be realized by the non-employee directors upon the vesting or exercise of the awards or the sale of the Common Stock underlying such awards.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number of shares subject to stock options outstanding at December 31, 2025 for each non-employee director is set forth in the table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non-employee directors do not hold outstanding stock awards.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 Securities Underlying Options Outstanding</w:t>
            </w:r>
          </w:p>
        </w:tc>
      </w:tr>
      <w:tr>
        <w:trPr>
          <w:trHeight w:val="212"/>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00" w:type="dxa"/>
            <w:vAlign w:val="bottom"/>
          </w:tcPr>
          <w:p>
            <w:pPr>
              <w:jc w:val="right"/>
              <w:ind w:right="1112"/>
              <w:spacing w:after="0"/>
              <w:rPr>
                <w:sz w:val="20"/>
                <w:szCs w:val="20"/>
                <w:color w:val="auto"/>
              </w:rPr>
            </w:pPr>
            <w:r>
              <w:rPr>
                <w:rFonts w:ascii="Times New Roman" w:cs="Times New Roman" w:eastAsia="Times New Roman" w:hAnsi="Times New Roman"/>
                <w:sz w:val="16"/>
                <w:szCs w:val="16"/>
                <w:b w:val="1"/>
                <w:bCs w:val="1"/>
                <w:color w:val="auto"/>
              </w:rPr>
              <w:t>at December 31, 2025</w:t>
            </w:r>
          </w:p>
        </w:tc>
      </w:tr>
      <w:tr>
        <w:trPr>
          <w:trHeight w:val="33"/>
        </w:trPr>
        <w:tc>
          <w:tcPr>
            <w:tcW w:w="45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r>
        <w:trPr>
          <w:trHeight w:val="230"/>
        </w:trPr>
        <w:tc>
          <w:tcPr>
            <w:tcW w:w="4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Steven Nathan, M.D.</w:t>
            </w:r>
          </w:p>
        </w:tc>
        <w:tc>
          <w:tcPr>
            <w:tcW w:w="100" w:type="dxa"/>
            <w:vAlign w:val="bottom"/>
            <w:tcBorders>
              <w:bottom w:val="single" w:sz="8" w:color="CFF0FC"/>
            </w:tcBorders>
            <w:shd w:val="clear" w:color="auto" w:fill="CFF0FC"/>
          </w:tcPr>
          <w:p>
            <w:pPr>
              <w:spacing w:after="0"/>
              <w:rPr>
                <w:sz w:val="20"/>
                <w:szCs w:val="20"/>
                <w:color w:val="auto"/>
              </w:rPr>
            </w:pPr>
          </w:p>
        </w:tc>
        <w:tc>
          <w:tcPr>
            <w:tcW w:w="3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345,000</w:t>
            </w:r>
          </w:p>
        </w:tc>
      </w:tr>
      <w:tr>
        <w:trPr>
          <w:trHeight w:val="234"/>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Skye Drynan</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345,000</w:t>
            </w:r>
          </w:p>
        </w:tc>
      </w:tr>
      <w:tr>
        <w:trPr>
          <w:trHeight w:val="22"/>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237"/>
        </w:trPr>
        <w:tc>
          <w:tcPr>
            <w:tcW w:w="46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Russell Cox</w:t>
            </w:r>
          </w:p>
        </w:tc>
        <w:tc>
          <w:tcPr>
            <w:tcW w:w="3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412,166</w:t>
            </w:r>
          </w:p>
        </w:tc>
      </w:tr>
      <w:tr>
        <w:trPr>
          <w:trHeight w:val="234"/>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Thomas Daniel, M.D.</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496,611</w:t>
            </w:r>
          </w:p>
        </w:tc>
      </w:tr>
      <w:tr>
        <w:trPr>
          <w:trHeight w:val="22"/>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237"/>
        </w:trPr>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Sandra Milligan, M.D., J.D.</w:t>
            </w:r>
          </w:p>
        </w:tc>
        <w:tc>
          <w:tcPr>
            <w:tcW w:w="3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342,000</w:t>
            </w:r>
          </w:p>
        </w:tc>
      </w:tr>
      <w:tr>
        <w:trPr>
          <w:trHeight w:val="234"/>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Quisel, Ph.D., J.D.</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31" w:right="45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 AND MANAGEMENT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our Common Stock as of June 5, 2026, by:</w:t>
      </w:r>
    </w:p>
    <w:p>
      <w:pPr>
        <w:spacing w:after="0" w:line="117" w:lineRule="exact"/>
        <w:rPr>
          <w:sz w:val="20"/>
          <w:szCs w:val="20"/>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as a group;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488,846,722 shares of Common Stock outstanding on June 5, 2026. In computing the number of shares beneficially owned by a person and the percentage ownership of that person, shares of Common Stock subject to options or other rights held by such person that are currently exercisable or will become exercisable within 60 days of June 5, 2026 are considered outstanding, although these shares are not considered outstanding for purposes of computing the percentage ownership of any other person.</w:t>
      </w:r>
    </w:p>
    <w:p>
      <w:pPr>
        <w:spacing w:after="0" w:line="18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below is c/o Gossamer Bio, Inc., 3115 Merryfield Row, Suite 120, San Diego, California 92121.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76"/>
        </w:trPr>
        <w:tc>
          <w:tcPr>
            <w:tcW w:w="8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r>
      <w:tr>
        <w:trPr>
          <w:trHeight w:val="162"/>
        </w:trPr>
        <w:tc>
          <w:tcPr>
            <w:tcW w:w="8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w:t>
            </w:r>
          </w:p>
        </w:tc>
      </w:tr>
      <w:tr>
        <w:trPr>
          <w:trHeight w:val="204"/>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r>
      <w:tr>
        <w:trPr>
          <w:trHeight w:val="23"/>
        </w:trPr>
        <w:tc>
          <w:tcPr>
            <w:tcW w:w="80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8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5% or Greater Stockholders</w:t>
            </w:r>
          </w:p>
        </w:tc>
        <w:tc>
          <w:tcPr>
            <w:tcW w:w="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r>
      <w:tr>
        <w:trPr>
          <w:trHeight w:val="230"/>
        </w:trPr>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Context Funds (1)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48,835,788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9.99 %</w:t>
            </w:r>
          </w:p>
        </w:tc>
      </w:tr>
      <w:tr>
        <w:trPr>
          <w:trHeight w:val="230"/>
        </w:trPr>
        <w:tc>
          <w:tcPr>
            <w:tcW w:w="81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683 Capital Partners, LP (2)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48,835,788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9.99 %</w:t>
            </w:r>
          </w:p>
        </w:tc>
      </w:tr>
      <w:tr>
        <w:trPr>
          <w:trHeight w:val="175"/>
        </w:trPr>
        <w:tc>
          <w:tcPr>
            <w:tcW w:w="8140" w:type="dxa"/>
            <w:vAlign w:val="bottom"/>
            <w:gridSpan w:val="2"/>
          </w:tcPr>
          <w:p>
            <w:pPr>
              <w:ind w:left="280"/>
              <w:spacing w:after="0" w:line="176" w:lineRule="exact"/>
              <w:rPr>
                <w:sz w:val="20"/>
                <w:szCs w:val="20"/>
                <w:color w:val="auto"/>
              </w:rPr>
            </w:pPr>
            <w:r>
              <w:rPr>
                <w:rFonts w:ascii="Times New Roman" w:cs="Times New Roman" w:eastAsia="Times New Roman" w:hAnsi="Times New Roman"/>
                <w:sz w:val="18"/>
                <w:szCs w:val="18"/>
                <w:color w:val="auto"/>
              </w:rPr>
              <w:t>D.E. Shaw Valence Portfolios, L.L.C., D.E. Shaw Cogence Portfolios, L.L.C., and certain entities that may</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43"/>
        </w:trPr>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be deemed affiliates (3)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48,497,075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9.92 %</w:t>
            </w:r>
          </w:p>
        </w:tc>
      </w:tr>
      <w:tr>
        <w:trPr>
          <w:trHeight w:val="230"/>
        </w:trPr>
        <w:tc>
          <w:tcPr>
            <w:tcW w:w="81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Wolverine (4)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34,959,649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7.15 %</w:t>
            </w:r>
          </w:p>
        </w:tc>
      </w:tr>
      <w:tr>
        <w:trPr>
          <w:trHeight w:val="229"/>
        </w:trPr>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DCIG Capital Master Fund LP (5)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30,151,058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6.17 %</w:t>
            </w:r>
          </w:p>
        </w:tc>
      </w:tr>
      <w:tr>
        <w:trPr>
          <w:trHeight w:val="230"/>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Faheem Hasnain (6)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9,411,898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1.91 %</w:t>
            </w:r>
          </w:p>
        </w:tc>
      </w:tr>
      <w:tr>
        <w:trPr>
          <w:trHeight w:val="230"/>
        </w:trPr>
        <w:tc>
          <w:tcPr>
            <w:tcW w:w="81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Bryan Giraudo (7)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2,714,205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Robert Smith (8)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1,245,138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Russell Cox (9)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419,366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Thomas Daniel, M.D. (10)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534,706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Skye Drynan (11)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293,888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Sandra Milligan, M.D., J.D. (12)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400,050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Steven Nathan, M.D. (13)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293,888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John Quisel, Ph.D., J.D. (14)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434,444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140" w:type="dxa"/>
            <w:vAlign w:val="bottom"/>
            <w:gridSpan w:val="2"/>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All current directors and executive officers</w:t>
            </w: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43"/>
        </w:trPr>
        <w:tc>
          <w:tcPr>
            <w:tcW w:w="81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as a group (11 persons)(15)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18,728,750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3.74 %</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106"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113" w:lineRule="exact"/>
        <w:rPr>
          <w:sz w:val="20"/>
          <w:szCs w:val="20"/>
          <w:color w:val="auto"/>
        </w:rPr>
      </w:pPr>
    </w:p>
    <w:p>
      <w:pPr>
        <w:ind w:left="660" w:right="100" w:hanging="652"/>
        <w:spacing w:after="0" w:line="259" w:lineRule="auto"/>
        <w:tabs>
          <w:tab w:leader="none" w:pos="65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48,835,788 shares of Common Stock held by Context Partners Master Fund, L.P. (“</w:t>
      </w:r>
      <w:r>
        <w:rPr>
          <w:rFonts w:ascii="Times New Roman" w:cs="Times New Roman" w:eastAsia="Times New Roman" w:hAnsi="Times New Roman"/>
          <w:sz w:val="18"/>
          <w:szCs w:val="18"/>
          <w:b w:val="1"/>
          <w:bCs w:val="1"/>
          <w:i w:val="1"/>
          <w:iCs w:val="1"/>
          <w:color w:val="auto"/>
        </w:rPr>
        <w:t>Context Partners</w:t>
      </w:r>
      <w:r>
        <w:rPr>
          <w:rFonts w:ascii="Times New Roman" w:cs="Times New Roman" w:eastAsia="Times New Roman" w:hAnsi="Times New Roman"/>
          <w:sz w:val="18"/>
          <w:szCs w:val="18"/>
          <w:color w:val="auto"/>
        </w:rPr>
        <w:t>”). Excludes Prefunded Warrants exercisable for 28,631,976 shares of Common Stock that are presently not exercisable due to a 9.99% beneficial ownership limitation. Context Capital Management, LLC (“</w:t>
      </w:r>
      <w:r>
        <w:rPr>
          <w:rFonts w:ascii="Times New Roman" w:cs="Times New Roman" w:eastAsia="Times New Roman" w:hAnsi="Times New Roman"/>
          <w:sz w:val="18"/>
          <w:szCs w:val="18"/>
          <w:b w:val="1"/>
          <w:bCs w:val="1"/>
          <w:i w:val="1"/>
          <w:iCs w:val="1"/>
          <w:color w:val="auto"/>
        </w:rPr>
        <w:t>Context Capital</w:t>
      </w:r>
      <w:r>
        <w:rPr>
          <w:rFonts w:ascii="Times New Roman" w:cs="Times New Roman" w:eastAsia="Times New Roman" w:hAnsi="Times New Roman"/>
          <w:sz w:val="18"/>
          <w:szCs w:val="18"/>
          <w:color w:val="auto"/>
        </w:rPr>
        <w:t>”) is the general partner and investment adviser of Context Partners and holds shared voting and dispositive power with respect to the securities held by Context Partners. Michael S. Rosen, William D. Fertig and Charles E. Carnegie are the control</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67" w:name="page68"/>
    <w:bookmarkEnd w:id="67"/>
    <w:p>
      <w:pPr>
        <w:jc w:val="both"/>
        <w:ind w:left="652" w:right="200"/>
        <w:spacing w:after="0" w:line="257" w:lineRule="auto"/>
        <w:rPr>
          <w:sz w:val="20"/>
          <w:szCs w:val="20"/>
          <w:color w:val="auto"/>
        </w:rPr>
      </w:pPr>
      <w:r>
        <w:rPr>
          <w:rFonts w:ascii="Times New Roman" w:cs="Times New Roman" w:eastAsia="Times New Roman" w:hAnsi="Times New Roman"/>
          <w:sz w:val="18"/>
          <w:szCs w:val="18"/>
          <w:color w:val="auto"/>
        </w:rPr>
        <w:t>persons of Context Capital and hold shared voting and dispositive power with respect to the securities held by Context Partners. Each reporting person disclaims beneficial ownership of the securities except to the extent of such person’s pecuniary interest therein. The business address for each of the foregoing is 7724 Girard Avenue, Suite 300, La Jolla, California 92037.</w:t>
      </w:r>
    </w:p>
    <w:p>
      <w:pPr>
        <w:spacing w:after="0" w:line="1" w:lineRule="exact"/>
        <w:rPr>
          <w:sz w:val="20"/>
          <w:szCs w:val="20"/>
          <w:color w:val="auto"/>
        </w:rPr>
      </w:pPr>
    </w:p>
    <w:p>
      <w:pPr>
        <w:ind w:left="652" w:right="80" w:hanging="652"/>
        <w:spacing w:after="0" w:line="250" w:lineRule="auto"/>
        <w:tabs>
          <w:tab w:leader="none" w:pos="6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44,504,484 shares of Common Stock beneficially owned by 683 Capital Partners, LP (“</w:t>
      </w:r>
      <w:r>
        <w:rPr>
          <w:rFonts w:ascii="Times New Roman" w:cs="Times New Roman" w:eastAsia="Times New Roman" w:hAnsi="Times New Roman"/>
          <w:sz w:val="18"/>
          <w:szCs w:val="18"/>
          <w:b w:val="1"/>
          <w:bCs w:val="1"/>
          <w:i w:val="1"/>
          <w:iCs w:val="1"/>
          <w:color w:val="auto"/>
        </w:rPr>
        <w:t>683 Capital Partners</w:t>
      </w:r>
      <w:r>
        <w:rPr>
          <w:rFonts w:ascii="Times New Roman" w:cs="Times New Roman" w:eastAsia="Times New Roman" w:hAnsi="Times New Roman"/>
          <w:sz w:val="18"/>
          <w:szCs w:val="18"/>
          <w:color w:val="auto"/>
        </w:rPr>
        <w:t>”) and (ii) warrants exercisable for 4,331,304 shares of common stock. Excludes Prefunded Warrants exercisable for 4,770,751 shares of Common Stock that are presently not exercisable due to a 9.99% beneficial ownership limitation. 683 Capital Management, LLC (“</w:t>
      </w:r>
      <w:r>
        <w:rPr>
          <w:rFonts w:ascii="Times New Roman" w:cs="Times New Roman" w:eastAsia="Times New Roman" w:hAnsi="Times New Roman"/>
          <w:sz w:val="18"/>
          <w:szCs w:val="18"/>
          <w:b w:val="1"/>
          <w:bCs w:val="1"/>
          <w:i w:val="1"/>
          <w:iCs w:val="1"/>
          <w:color w:val="auto"/>
        </w:rPr>
        <w:t>683 Capital Management</w:t>
      </w:r>
      <w:r>
        <w:rPr>
          <w:rFonts w:ascii="Times New Roman" w:cs="Times New Roman" w:eastAsia="Times New Roman" w:hAnsi="Times New Roman"/>
          <w:sz w:val="18"/>
          <w:szCs w:val="18"/>
          <w:color w:val="auto"/>
        </w:rPr>
        <w:t>”), as the investment manager of 683 Capital Partners, may be deemed to have beneficially owned the 48,835,788 shares of Common Stock beneficially owned by 683 Capital Partners. Ari Zweiman, as the Managing Member of 683 Capital Management, may be deemed to have beneficially owned the 48,835,788 shares of Common Stock beneficially owned by 683 Capital Management. Each of 683 Capital Management and Mr. Zweiman disclaims beneficial ownership of such shares except to the extent of his or its pecuniary interest therein. The business address for each of the foregoing is 1700 Broadway, Suite 4200, New York, New York 10019.</w:t>
      </w:r>
    </w:p>
    <w:p>
      <w:pPr>
        <w:spacing w:after="0" w:line="3" w:lineRule="exact"/>
        <w:rPr>
          <w:rFonts w:ascii="Times New Roman" w:cs="Times New Roman" w:eastAsia="Times New Roman" w:hAnsi="Times New Roman"/>
          <w:sz w:val="18"/>
          <w:szCs w:val="18"/>
          <w:color w:val="auto"/>
        </w:rPr>
      </w:pPr>
    </w:p>
    <w:p>
      <w:pPr>
        <w:ind w:left="652" w:hanging="652"/>
        <w:spacing w:after="0" w:line="250" w:lineRule="auto"/>
        <w:tabs>
          <w:tab w:leader="none" w:pos="6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5, 2026, D. E. Shaw Valence Portfolios, L.L.C. (“</w:t>
      </w:r>
      <w:r>
        <w:rPr>
          <w:rFonts w:ascii="Times New Roman" w:cs="Times New Roman" w:eastAsia="Times New Roman" w:hAnsi="Times New Roman"/>
          <w:sz w:val="18"/>
          <w:szCs w:val="18"/>
          <w:b w:val="1"/>
          <w:bCs w:val="1"/>
          <w:i w:val="1"/>
          <w:iCs w:val="1"/>
          <w:color w:val="auto"/>
        </w:rPr>
        <w:t>Valence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beneficially owned 45,745,939 shares of Common Stock, D. E. Shaw Cogence Portfolios, L.L.C. (“</w:t>
      </w:r>
      <w:r>
        <w:rPr>
          <w:rFonts w:ascii="Times New Roman" w:cs="Times New Roman" w:eastAsia="Times New Roman" w:hAnsi="Times New Roman"/>
          <w:sz w:val="18"/>
          <w:szCs w:val="18"/>
          <w:b w:val="1"/>
          <w:bCs w:val="1"/>
          <w:i w:val="1"/>
          <w:iCs w:val="1"/>
          <w:color w:val="auto"/>
        </w:rPr>
        <w:t>Cogence</w:t>
      </w:r>
      <w:r>
        <w:rPr>
          <w:rFonts w:ascii="Times New Roman" w:cs="Times New Roman" w:eastAsia="Times New Roman" w:hAnsi="Times New Roman"/>
          <w:sz w:val="18"/>
          <w:szCs w:val="18"/>
          <w:color w:val="auto"/>
        </w:rPr>
        <w:t>“) beneficially owned 2,361,705 shares of Common Stock, and other entities that may be deemed affiliates of Valence and Cogence (“</w:t>
      </w:r>
      <w:r>
        <w:rPr>
          <w:rFonts w:ascii="Times New Roman" w:cs="Times New Roman" w:eastAsia="Times New Roman" w:hAnsi="Times New Roman"/>
          <w:sz w:val="18"/>
          <w:szCs w:val="18"/>
          <w:b w:val="1"/>
          <w:bCs w:val="1"/>
          <w:i w:val="1"/>
          <w:iCs w:val="1"/>
          <w:color w:val="auto"/>
        </w:rPr>
        <w:t>Affiliates</w:t>
      </w:r>
      <w:r>
        <w:rPr>
          <w:rFonts w:ascii="Times New Roman" w:cs="Times New Roman" w:eastAsia="Times New Roman" w:hAnsi="Times New Roman"/>
          <w:sz w:val="18"/>
          <w:szCs w:val="18"/>
          <w:color w:val="auto"/>
        </w:rPr>
        <w:t>”) beneficially owned an aggregate of 389,431 shares of Common Stock (collectively, the “</w:t>
      </w:r>
      <w:r>
        <w:rPr>
          <w:rFonts w:ascii="Times New Roman" w:cs="Times New Roman" w:eastAsia="Times New Roman" w:hAnsi="Times New Roman"/>
          <w:sz w:val="18"/>
          <w:szCs w:val="18"/>
          <w:b w:val="1"/>
          <w:bCs w:val="1"/>
          <w:i w:val="1"/>
          <w:iCs w:val="1"/>
          <w:color w:val="auto"/>
        </w:rPr>
        <w:t>Subject Shares</w:t>
      </w:r>
      <w:r>
        <w:rPr>
          <w:rFonts w:ascii="Times New Roman" w:cs="Times New Roman" w:eastAsia="Times New Roman" w:hAnsi="Times New Roman"/>
          <w:sz w:val="18"/>
          <w:szCs w:val="18"/>
          <w:color w:val="auto"/>
        </w:rPr>
        <w:t>“). Each of Valence, Cogence, and Affiliates has the power to vote or to direct the vote of (and the power to dispose or direct the disposition of) the Subject Shares directly owned by each of them. D. E. Shaw &amp; Co., L.P. (“</w:t>
      </w:r>
      <w:r>
        <w:rPr>
          <w:rFonts w:ascii="Times New Roman" w:cs="Times New Roman" w:eastAsia="Times New Roman" w:hAnsi="Times New Roman"/>
          <w:sz w:val="18"/>
          <w:szCs w:val="18"/>
          <w:b w:val="1"/>
          <w:bCs w:val="1"/>
          <w:i w:val="1"/>
          <w:iCs w:val="1"/>
          <w:color w:val="auto"/>
        </w:rPr>
        <w:t>DESCO LP</w:t>
      </w:r>
      <w:r>
        <w:rPr>
          <w:rFonts w:ascii="Times New Roman" w:cs="Times New Roman" w:eastAsia="Times New Roman" w:hAnsi="Times New Roman"/>
          <w:sz w:val="18"/>
          <w:szCs w:val="18"/>
          <w:color w:val="auto"/>
        </w:rPr>
        <w:t>“), as the investment adviser of each of Valence and Cogence and the managing member of the investment adviser or manager of certain such Affiliates, may be deemed to have the shared power to vote or direct the vote of (and the shared power to dispose or direct the disposition of) the Subject Shares. D. E. Shaw &amp; Co., L.L.C. (“</w:t>
      </w:r>
      <w:r>
        <w:rPr>
          <w:rFonts w:ascii="Times New Roman" w:cs="Times New Roman" w:eastAsia="Times New Roman" w:hAnsi="Times New Roman"/>
          <w:sz w:val="18"/>
          <w:szCs w:val="18"/>
          <w:b w:val="1"/>
          <w:bCs w:val="1"/>
          <w:i w:val="1"/>
          <w:iCs w:val="1"/>
          <w:color w:val="auto"/>
        </w:rPr>
        <w:t>DESCO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LLC</w:t>
      </w:r>
      <w:r>
        <w:rPr>
          <w:rFonts w:ascii="Times New Roman" w:cs="Times New Roman" w:eastAsia="Times New Roman" w:hAnsi="Times New Roman"/>
          <w:sz w:val="18"/>
          <w:szCs w:val="18"/>
          <w:color w:val="auto"/>
        </w:rPr>
        <w:t>“), as the manager of each of Valence, Cogence, and certain such Affiliates may be deemed to have the shared power to vote or direct the vote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(and the shared power to dispose or direct the disposition of) 48,108,844 of the Subject Shares. Edwin Jager, Maximilian Stone, Adam Deaton and Anoop Prasad, or their designees, exercise voting and investment control over the Subject Shares on DESCO LP's and DESCO LLC's behalf. D. E. Shaw &amp; Co., Inc. (“</w:t>
      </w:r>
      <w:r>
        <w:rPr>
          <w:rFonts w:ascii="Times New Roman" w:cs="Times New Roman" w:eastAsia="Times New Roman" w:hAnsi="Times New Roman"/>
          <w:sz w:val="18"/>
          <w:szCs w:val="18"/>
          <w:b w:val="1"/>
          <w:bCs w:val="1"/>
          <w:i w:val="1"/>
          <w:iCs w:val="1"/>
          <w:color w:val="auto"/>
        </w:rPr>
        <w:t>DESCO Inc.</w:t>
      </w:r>
      <w:r>
        <w:rPr>
          <w:rFonts w:ascii="Times New Roman" w:cs="Times New Roman" w:eastAsia="Times New Roman" w:hAnsi="Times New Roman"/>
          <w:sz w:val="18"/>
          <w:szCs w:val="18"/>
          <w:color w:val="auto"/>
        </w:rPr>
        <w:t>“), as general partner of DESCO LP, may be deemed to have the shared power to vote or direct the vote of (and the shared power to dispose or direct the disposition of) the Subject Shares. D. E. Shaw &amp; Co. II, Inc. (“</w:t>
      </w:r>
      <w:r>
        <w:rPr>
          <w:rFonts w:ascii="Times New Roman" w:cs="Times New Roman" w:eastAsia="Times New Roman" w:hAnsi="Times New Roman"/>
          <w:sz w:val="18"/>
          <w:szCs w:val="18"/>
          <w:b w:val="1"/>
          <w:bCs w:val="1"/>
          <w:i w:val="1"/>
          <w:iCs w:val="1"/>
          <w:color w:val="auto"/>
        </w:rPr>
        <w:t>DESCO II Inc.</w:t>
      </w:r>
      <w:r>
        <w:rPr>
          <w:rFonts w:ascii="Times New Roman" w:cs="Times New Roman" w:eastAsia="Times New Roman" w:hAnsi="Times New Roman"/>
          <w:sz w:val="18"/>
          <w:szCs w:val="18"/>
          <w:color w:val="auto"/>
        </w:rPr>
        <w:t>“), as managing member of DESCO LLC, may be deemed to have the shared power to vote or direct the vote of (and the shared power to dispose or direct the disposition of) 48,108,844 of the Subject Shares. None of DESCO LP, DESCO LLC, DESCO Inc., or DESCO II Inc. owns any shares of the Company directly, and each such entity disclaims beneficial ownership of the Subject Shares. Dr. David E. Shaw (“</w:t>
      </w:r>
      <w:r>
        <w:rPr>
          <w:rFonts w:ascii="Times New Roman" w:cs="Times New Roman" w:eastAsia="Times New Roman" w:hAnsi="Times New Roman"/>
          <w:sz w:val="18"/>
          <w:szCs w:val="18"/>
          <w:b w:val="1"/>
          <w:bCs w:val="1"/>
          <w:i w:val="1"/>
          <w:iCs w:val="1"/>
          <w:color w:val="auto"/>
        </w:rPr>
        <w:t>Dr. Shaw</w:t>
      </w:r>
      <w:r>
        <w:rPr>
          <w:rFonts w:ascii="Times New Roman" w:cs="Times New Roman" w:eastAsia="Times New Roman" w:hAnsi="Times New Roman"/>
          <w:sz w:val="18"/>
          <w:szCs w:val="18"/>
          <w:color w:val="auto"/>
        </w:rPr>
        <w:t>”) does not own any shares of the Company directly. By virtue of Dr. Shaw's position as President and sole shareholder of DESCO Inc., which is the general partner of DESCO LP, and by virtue of Dr. Shaw's position as President and sole shareholder of DESCO II Inc., which is the managing member of DESCO LLC, Dr. Shaw may be deemed to have the shared power to vote or direct the vote of (and the shared power to dispose or direct the disposition of) the Subject Shares and, therefore, Dr. Shaw may be deemed to be the beneficial owner of the Subject Shares. Dr. Shaw disclaims beneficial ownership of the Subject Shares. The business address of each of the named entities and natural persons is c/o D. E. Shaw &amp; Co., L.P., Two Manhattan West, 375 Ninth Avenue, 52nd Floor, New York, NY 10001.</w:t>
      </w:r>
    </w:p>
    <w:p>
      <w:pPr>
        <w:spacing w:after="0" w:line="8" w:lineRule="exact"/>
        <w:rPr>
          <w:rFonts w:ascii="Times New Roman" w:cs="Times New Roman" w:eastAsia="Times New Roman" w:hAnsi="Times New Roman"/>
          <w:sz w:val="18"/>
          <w:szCs w:val="18"/>
          <w:color w:val="auto"/>
        </w:rPr>
      </w:pPr>
    </w:p>
    <w:p>
      <w:pPr>
        <w:ind w:left="652" w:right="40" w:hanging="652"/>
        <w:spacing w:after="0" w:line="250" w:lineRule="auto"/>
        <w:tabs>
          <w:tab w:leader="none" w:pos="6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Wolverine Asset Management, LLC (“</w:t>
      </w:r>
      <w:r>
        <w:rPr>
          <w:rFonts w:ascii="Times New Roman" w:cs="Times New Roman" w:eastAsia="Times New Roman" w:hAnsi="Times New Roman"/>
          <w:sz w:val="18"/>
          <w:szCs w:val="18"/>
          <w:b w:val="1"/>
          <w:bCs w:val="1"/>
          <w:i w:val="1"/>
          <w:iCs w:val="1"/>
          <w:color w:val="auto"/>
        </w:rPr>
        <w:t>WAM</w:t>
      </w:r>
      <w:r>
        <w:rPr>
          <w:rFonts w:ascii="Times New Roman" w:cs="Times New Roman" w:eastAsia="Times New Roman" w:hAnsi="Times New Roman"/>
          <w:sz w:val="18"/>
          <w:szCs w:val="18"/>
          <w:color w:val="auto"/>
        </w:rPr>
        <w:t>”) is an investment adviser and has voting and dispositive power over 34,934,823 shares of Common Stock. The sole member and manager of WAM is Wolverine Holdings, LLC (“</w:t>
      </w:r>
      <w:r>
        <w:rPr>
          <w:rFonts w:ascii="Times New Roman" w:cs="Times New Roman" w:eastAsia="Times New Roman" w:hAnsi="Times New Roman"/>
          <w:sz w:val="18"/>
          <w:szCs w:val="18"/>
          <w:b w:val="1"/>
          <w:bCs w:val="1"/>
          <w:i w:val="1"/>
          <w:iCs w:val="1"/>
          <w:color w:val="auto"/>
        </w:rPr>
        <w:t>Wolverine Holdings</w:t>
      </w:r>
      <w:r>
        <w:rPr>
          <w:rFonts w:ascii="Times New Roman" w:cs="Times New Roman" w:eastAsia="Times New Roman" w:hAnsi="Times New Roman"/>
          <w:sz w:val="18"/>
          <w:szCs w:val="18"/>
          <w:color w:val="auto"/>
        </w:rPr>
        <w:t>”). Robert R. Bellick and Christopher L. Gust may be deemed to control Wolverine Holdings in their roles as Managers of Wolverine Holdings. Each of Wolverine Holdings, Mr. Bellick, and Mr. Gust have voting and disposition power over 34,959,649 shares of the Common Stock. WAM may be deemed the beneficial owner of 7.14% of the Common Stock, and each of Wolverine Holdings, Mr. Bellick, and Mr. Gust may be deemed the beneficial owner of 7.15% of the Common Stock. Wolverine Flagship Fund Trading Limited is known to have the right to receive dividends from, or the proceeds from the sale of, the Common Stock covered by this statement that may be deemed to be beneficially owned by WAM. The business address of Wolverine Asset Management, LLC is 175 W. Jackson Blvd., Suite 340, Chicago, IL 60604.</w:t>
      </w:r>
    </w:p>
    <w:p>
      <w:pPr>
        <w:spacing w:after="0" w:line="3" w:lineRule="exact"/>
        <w:rPr>
          <w:rFonts w:ascii="Times New Roman" w:cs="Times New Roman" w:eastAsia="Times New Roman" w:hAnsi="Times New Roman"/>
          <w:sz w:val="18"/>
          <w:szCs w:val="18"/>
          <w:color w:val="auto"/>
        </w:rPr>
      </w:pPr>
    </w:p>
    <w:p>
      <w:pPr>
        <w:ind w:left="652" w:right="320" w:hanging="652"/>
        <w:spacing w:after="0" w:line="250" w:lineRule="auto"/>
        <w:tabs>
          <w:tab w:leader="none" w:pos="6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DeepCurrents Investment Group LLC, as the investment manager of DCIG Capital Master Fund LP, may be deemed to have voting rights and investment control over 30,151,058 shares of Common Stock. Steve Zheng, through ownership of the general partner of the sole member of DeepCurrents Investment Group LLC may be deemed to have voting and investment control with respect to the securities. DeepCurrents Investment Group LLC and Mr. Zheng disclaim beneficial interest over these securities except to the extent of their actual pecuniary interests therein. The business address for each of the foregoing is 575 5th Avenue, 21st Floor, New York, 10017.</w:t>
      </w:r>
    </w:p>
    <w:p>
      <w:pPr>
        <w:spacing w:after="0" w:line="1" w:lineRule="exact"/>
        <w:rPr>
          <w:rFonts w:ascii="Times New Roman" w:cs="Times New Roman" w:eastAsia="Times New Roman" w:hAnsi="Times New Roman"/>
          <w:sz w:val="18"/>
          <w:szCs w:val="18"/>
          <w:color w:val="auto"/>
        </w:rPr>
      </w:pPr>
    </w:p>
    <w:p>
      <w:pPr>
        <w:ind w:left="652" w:right="140" w:hanging="652"/>
        <w:spacing w:after="0" w:line="260" w:lineRule="auto"/>
        <w:tabs>
          <w:tab w:leader="none" w:pos="6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5,528,366 shares of Common Stock consisting of 5,408,073 shares held by a family trust, and 120,293 shares held directly by Mr. Hasnain, (ii) 3,748,488 shares of Common Stock underlying options held by Mr. Hasnain</w:t>
      </w:r>
    </w:p>
    <w:p>
      <w:pPr>
        <w:spacing w:after="0" w:line="200" w:lineRule="exact"/>
        <w:rPr>
          <w:sz w:val="20"/>
          <w:szCs w:val="20"/>
          <w:color w:val="auto"/>
        </w:rPr>
      </w:pPr>
    </w:p>
    <w:p>
      <w:pPr>
        <w:spacing w:after="0" w:line="35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931" w:right="379" w:bottom="1440" w:gutter="0" w:footer="0" w:header="0"/>
        </w:sectPr>
      </w:pPr>
    </w:p>
    <w:bookmarkStart w:id="68" w:name="page69"/>
    <w:bookmarkEnd w:id="68"/>
    <w:p>
      <w:pPr>
        <w:ind w:left="660"/>
        <w:spacing w:after="0" w:line="257" w:lineRule="auto"/>
        <w:rPr>
          <w:sz w:val="20"/>
          <w:szCs w:val="20"/>
          <w:color w:val="auto"/>
        </w:rPr>
      </w:pPr>
      <w:r>
        <w:rPr>
          <w:rFonts w:ascii="Times New Roman" w:cs="Times New Roman" w:eastAsia="Times New Roman" w:hAnsi="Times New Roman"/>
          <w:sz w:val="18"/>
          <w:szCs w:val="18"/>
          <w:color w:val="auto"/>
        </w:rPr>
        <w:t>that are exercisable as of June 5, 2026 or that will become exercisable within 60 days after such date and (iii) 135,044 shares of Common Stock underlying warrants held by Mr. Hasnain that are exercisable as of June 5, 2026 or that will become exercisable within 60 days after such date. Mr. Hasnain is the trustee of such family trust and in such capacity has the sole power to vote and dispose of such shares.</w:t>
      </w:r>
    </w:p>
    <w:p>
      <w:pPr>
        <w:spacing w:after="0" w:line="1" w:lineRule="exact"/>
        <w:rPr>
          <w:sz w:val="20"/>
          <w:szCs w:val="20"/>
          <w:color w:val="auto"/>
        </w:rPr>
      </w:pPr>
    </w:p>
    <w:p>
      <w:pPr>
        <w:ind w:left="640" w:hanging="632"/>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572,747 shares of Common Stock, including 480,010 shares held by a family trust and 92,737 shares held directly by Mr. Giraudo,</w:t>
      </w:r>
    </w:p>
    <w:p>
      <w:pPr>
        <w:spacing w:after="0" w:line="9" w:lineRule="exact"/>
        <w:rPr>
          <w:rFonts w:ascii="Times New Roman" w:cs="Times New Roman" w:eastAsia="Times New Roman" w:hAnsi="Times New Roman"/>
          <w:sz w:val="18"/>
          <w:szCs w:val="18"/>
          <w:color w:val="auto"/>
        </w:rPr>
      </w:pPr>
    </w:p>
    <w:p>
      <w:pPr>
        <w:ind w:left="660" w:right="40" w:hanging="4"/>
        <w:spacing w:after="0" w:line="250" w:lineRule="auto"/>
        <w:tabs>
          <w:tab w:leader="none" w:pos="92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2,127,953 shares of Common Stock underlying options held by Mr. Giraudo that are exercisable as of June 5, 2026 or that will become exercisable within 60 days after such date and (iii) 13,505 shares of Common Stock underlying warrants held by Mr. Giraudo that are exercisable as of June 5, 2026 or that will become exercisable within 60 days after such date. Mr. Giraudo is a trustee of such family trust and in such capacity has the power to vote and dispose of such shares.</w:t>
      </w:r>
    </w:p>
    <w:p>
      <w:pPr>
        <w:spacing w:after="0" w:line="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42,555 shares of Common Stock, including 25,000 shares held by a family trust and 17,555 shares held directly by Mr. Smith and</w:t>
      </w:r>
    </w:p>
    <w:p>
      <w:pPr>
        <w:spacing w:after="0" w:line="9" w:lineRule="exact"/>
        <w:rPr>
          <w:rFonts w:ascii="Times New Roman" w:cs="Times New Roman" w:eastAsia="Times New Roman" w:hAnsi="Times New Roman"/>
          <w:sz w:val="18"/>
          <w:szCs w:val="18"/>
          <w:color w:val="auto"/>
        </w:rPr>
      </w:pPr>
    </w:p>
    <w:p>
      <w:pPr>
        <w:ind w:left="660" w:right="320" w:hanging="4"/>
        <w:spacing w:after="0" w:line="250" w:lineRule="auto"/>
        <w:tabs>
          <w:tab w:leader="none" w:pos="92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1,202,583 shares of Common Stock underlying options held by Mr. Smith that are exercisable as of June 5, 2026 or that will become exercisable within 60 days after such date. Mr. Smith is a trustee of such family trust and in such capacity has the power to vote and dispose of such shares.</w:t>
      </w:r>
    </w:p>
    <w:p>
      <w:pPr>
        <w:spacing w:after="0" w:line="1" w:lineRule="exact"/>
        <w:rPr>
          <w:rFonts w:ascii="Times New Roman" w:cs="Times New Roman" w:eastAsia="Times New Roman" w:hAnsi="Times New Roman"/>
          <w:sz w:val="18"/>
          <w:szCs w:val="18"/>
          <w:color w:val="auto"/>
        </w:rPr>
      </w:pPr>
    </w:p>
    <w:p>
      <w:pPr>
        <w:ind w:left="660" w:right="240" w:hanging="652"/>
        <w:spacing w:after="0" w:line="250" w:lineRule="auto"/>
        <w:tabs>
          <w:tab w:leader="none" w:pos="65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7,200 shares of Common Stock held directly by Mr. Cox and 412,166 shares of Common Stock underlying options held by Mr. Cox that are exercisable as of June 5, 2026 or that will become exercisable within 60 days after such date.</w:t>
      </w:r>
    </w:p>
    <w:p>
      <w:pPr>
        <w:ind w:left="660" w:right="80" w:hanging="652"/>
        <w:spacing w:after="0" w:line="250" w:lineRule="auto"/>
        <w:tabs>
          <w:tab w:leader="none" w:pos="64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38,095 shares of Common Stock held by the Thomas Oran Daniel Living Trust (the “Daniel Trust”), and 496,611 shares of Common Stock underlying options held by Dr. Daniel that are exercisable as of June 5, 2026 or that will become exercisable within 60 days after such date. Dr. Daniel is the trustee of the Daniel Trust and in such capacity has the sole power to vote and dispose of such shares.</w:t>
      </w:r>
    </w:p>
    <w:p>
      <w:pPr>
        <w:spacing w:after="0" w:line="1" w:lineRule="exact"/>
        <w:rPr>
          <w:rFonts w:ascii="Times New Roman" w:cs="Times New Roman" w:eastAsia="Times New Roman" w:hAnsi="Times New Roman"/>
          <w:sz w:val="18"/>
          <w:szCs w:val="18"/>
          <w:color w:val="auto"/>
        </w:rPr>
      </w:pPr>
    </w:p>
    <w:p>
      <w:pPr>
        <w:ind w:left="660" w:right="200" w:hanging="652"/>
        <w:spacing w:after="0" w:line="250" w:lineRule="auto"/>
        <w:tabs>
          <w:tab w:leader="none" w:pos="64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293,888 shares of Common Stock underlying options held by Ms. Drynan that are exercisable as of June 5, 2026 or that will become exercisable within 60 days after such date.</w:t>
      </w:r>
    </w:p>
    <w:p>
      <w:pPr>
        <w:ind w:left="660" w:right="200" w:hanging="652"/>
        <w:spacing w:after="0" w:line="250" w:lineRule="auto"/>
        <w:tabs>
          <w:tab w:leader="none" w:pos="64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58,050 shares held by a family trust and (ii) 342,000 shares of Common Stock underlying options held by Dr. Milligan that are exercisable as of June 5, 2026 or that will become exercisable within 60 days after such date. Dr. Milligan is a trustee of such family trust and in such capacity has the power to vote and dispose of such shares.</w:t>
      </w:r>
    </w:p>
    <w:p>
      <w:pPr>
        <w:spacing w:after="0" w:line="1" w:lineRule="exact"/>
        <w:rPr>
          <w:rFonts w:ascii="Times New Roman" w:cs="Times New Roman" w:eastAsia="Times New Roman" w:hAnsi="Times New Roman"/>
          <w:sz w:val="18"/>
          <w:szCs w:val="18"/>
          <w:color w:val="auto"/>
        </w:rPr>
      </w:pPr>
    </w:p>
    <w:p>
      <w:pPr>
        <w:ind w:left="660" w:right="260" w:hanging="652"/>
        <w:spacing w:after="0" w:line="250" w:lineRule="auto"/>
        <w:tabs>
          <w:tab w:leader="none" w:pos="64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293,888 shares of Common Stock underlying options held by Dr. Nathan that are exercisable as of June 5, 2026 or that will become exercisable within 60 days after such date.</w:t>
      </w:r>
    </w:p>
    <w:p>
      <w:pPr>
        <w:ind w:left="660" w:right="320" w:hanging="652"/>
        <w:spacing w:after="0" w:line="243" w:lineRule="auto"/>
        <w:tabs>
          <w:tab w:leader="none" w:pos="64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434,444 shares of Common Stock underlying options held by Dr. Quisel that are exercisable as of June 5, 2026 or that will become exercisable within 60 days after such date.</w:t>
      </w:r>
    </w:p>
    <w:p>
      <w:pPr>
        <w:spacing w:after="0" w:line="1" w:lineRule="exact"/>
        <w:rPr>
          <w:rFonts w:ascii="Times New Roman" w:cs="Times New Roman" w:eastAsia="Times New Roman" w:hAnsi="Times New Roman"/>
          <w:sz w:val="18"/>
          <w:szCs w:val="18"/>
          <w:color w:val="auto"/>
        </w:rPr>
      </w:pPr>
    </w:p>
    <w:p>
      <w:pPr>
        <w:ind w:left="660" w:right="120" w:hanging="652"/>
        <w:spacing w:after="0" w:line="237" w:lineRule="auto"/>
        <w:tabs>
          <w:tab w:leader="none" w:pos="64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the shares described in notes 6 through 14 above; (ii) 49,833 shares held directly by Ms. Caryn Peterson, and 1,136,392 shares of Common Stock underlying options held by Ms. Peterson that are exercisable as of June 5, 2026 or that will become exercisable within 60 days after such date; and (iii) 672,675 shares held directly by Mr. Christian Waage or family trusts, 1,118,891 shares of Common Stock underlying options held by Mr. Waage that are exercisable as of June 5, 2026 or that will become exercisable within 60 days after such date and 3,376 shares of Common Stock underlying warrants held by Mr. Waage that are exercisable as of June 5, 2026 or that will become exercisable within 60 days after such date.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Proposals of stockholders intended to be presented at our annual meeting of stockholders to be held in 2027, including nominations of any person for election to the Board, must be received by us no later than December 25, 2026, which is 120 days prior to the one-year anniversary of the mailing date of the proxy statement for the 2026 annual meeting, in order to be included in our proxy statement and form of proxy card relating to that meeting, unless the date of the 2027 annual meeting of stockholders is changed by more than 30 days from the anniversary of our 2026 annual meeting, in which case the deadline for such proposals will be a reasonable time before we begin to print and send our proxy materials. These proposals must comply with the requirements as to form and substance established by the SEC in Rule 14a-8 of the Exchange Act for such proposals in order to be included in the proxy statement.</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our Bylaws establish an advance notice procedure with regard to certain matters, including stockholder proposals and nominations of any person for election to the Board not included in our proxy statement, to be brought before an annual meeting of stockholders. In general, notice that meets the requirements set forth in the Bylaws must be received at our principal executive offices not less than 90 calendar days nor more than 120 calendar days prior to the first anniversary of the preceding year’s annual meeting. Therefore, to be presented at our 2027 annual meeting of stockholders, such a proposal must be received by us no earlier than February 4, 2027 and no later than March 19, 2027. However, if the date of the annual meeting is more than 30 days before or more than 60 days after such anniversary date, notice must be received no earlier than the 120th day prior to such annual meeting and not later than the 90th calendar day prior to such annual meeting or, if later, the tenth day following the day on which public disclosure of the date of such annual meeting was first made. If the stockholder fails to give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9" w:name="page70"/>
    <w:bookmarkEnd w:id="69"/>
    <w:p>
      <w:pPr>
        <w:ind w:right="100"/>
        <w:spacing w:after="0" w:line="266" w:lineRule="auto"/>
        <w:rPr>
          <w:sz w:val="20"/>
          <w:szCs w:val="20"/>
          <w:color w:val="auto"/>
        </w:rPr>
      </w:pPr>
      <w:r>
        <w:rPr>
          <w:rFonts w:ascii="Times New Roman" w:cs="Times New Roman" w:eastAsia="Times New Roman" w:hAnsi="Times New Roman"/>
          <w:sz w:val="18"/>
          <w:szCs w:val="18"/>
          <w:color w:val="auto"/>
        </w:rPr>
        <w:t>notice by these dates, then the persons named as proxies in the proxies solicited by the Board for the 2027 annual meeting may exercise discretionary voting power regarding any such proposal. Stockholders are advised to review our Bylaws which also specify requirements as to the form and content of a stockholder’s notice.</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stockholders who intend to solicit proxies in support of director nominees other than the Company’s nominees must provide notice that sets forth the information required by Rule 14a-19 under the Exchange Act no later than April 5, 2027.</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STOCKHOLDERS SHARING THE SAME ADDRESS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rules promulgated by the SEC permit companies, brokers, banks or other intermediaries to deliver a single copy of proxy materials, or, where applicable, a Notice of Internet Availability of Proxy Materials, to households at which two or more stockholders reside. Each stockholder, however, still receives a separate proxy card if he or she receives paper copies. This practice, known as “householding,” is designed to reduce duplicate mailings and save significant printing and postage costs as well as natural resources. Stockholders sharing an address who have been previously notified by their broker, bank or other intermediary and have consented to householding will receive only one copy of our proxy statement and Notice of Internet Availability of Proxy Materials. If you would like to opt out of this practice for future mailings and receive a separate proxy statement or Notice of Internet Availability of Proxy Materials for each stockholder sharing the same address, please contact your broker, bank or other intermediary. You may also obtain a separate proxy statement or Notice of Internet Availability of Proxy Materials without charge by sending a written request to Gossamer Bio, Inc., 3115 Merryfield Row, Suite 120, San Diego, CA 92121, Attention: Corporate Secretary or by calling (858) 684-1300. We will promptly send additional copies of the proxy statement or Notice of Internet Availability of Proxy Materials upon receipt of such request. Stockholders sharing an address that are receiving multiple copies of the proxy statement or Notice of Internet Availability of Proxy Materials can request delivery of a single copy of the proxy statement or Notice of Internet Availability of Proxy Materials by contacting their broker, bank or other intermediary or sending a written request to Gossamer Bio, Inc. at the address above or by calling (858) 684-1300.</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do not know of any business other than that described in this proxy statement that will be presented for consideration or action by the stockholders at the Special Meeting. If, however, any other business is properly brought before the meeting, shares represented by proxies will be voted in accordance with the best judgment of the persons named in the proxies or their substitutes. All stockholders are urged to vote via the Internet, by telephone or to complete, sign and return a completed proxy card as soon as possible.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5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proxy statement contains forward-looking statements within the meaning of Section 21E of the Exchange Act and Section 27A of the Securities Act. All statements other than statements of historical facts contained in this proxy statement, including statements regarding our future results of operations and financial position, business strategies and plans, and our research and development,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proxy statement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risks, uncertainties and assumptions, including those described in Part I, Item 1A, “Risk Factors” of our Annual Report on Form 10-K for the year ended December 31, 2025.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70" w:name="page71"/>
    <w:bookmarkEnd w:id="70"/>
    <w:p>
      <w:pPr>
        <w:ind w:left="56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Faheem Hasnain</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Faheem Hasnain</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i w:val="1"/>
          <w:iCs w:val="1"/>
          <w:color w:val="auto"/>
        </w:rPr>
        <w:t>Chairman, President and Chief Executive Officer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9, 2026</w:t>
      </w:r>
    </w:p>
    <w:p>
      <w:pPr>
        <w:spacing w:after="0" w:line="200" w:lineRule="exact"/>
        <w:rPr>
          <w:sz w:val="20"/>
          <w:szCs w:val="20"/>
          <w:color w:val="auto"/>
        </w:rPr>
      </w:pPr>
    </w:p>
    <w:p>
      <w:pPr>
        <w:spacing w:after="0" w:line="3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5" w:right="1440"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40575" cy="9175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0575" cy="917575"/>
                    </a:xfrm>
                    <a:prstGeom prst="rect">
                      <a:avLst/>
                    </a:prstGeom>
                    <a:noFill/>
                  </pic:spPr>
                </pic:pic>
              </a:graphicData>
            </a:graphic>
          </wp:anchor>
        </w:drawing>
      </w:r>
    </w:p>
    <w:p>
      <w:pPr>
        <w:spacing w:after="0" w:line="30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GOSSAMER BIO, INC.</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2019 INCENTIVE AWARD PLAN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(As Amended and Restated Effective May 18, 2026)</w:t>
      </w:r>
    </w:p>
    <w:p>
      <w:pPr>
        <w:spacing w:after="0" w:line="336" w:lineRule="exact"/>
        <w:rPr>
          <w:sz w:val="20"/>
          <w:szCs w:val="20"/>
          <w:color w:val="auto"/>
        </w:rPr>
      </w:pPr>
    </w:p>
    <w:p>
      <w:pPr>
        <w:jc w:val="right"/>
        <w:ind w:right="5180"/>
        <w:spacing w:after="0"/>
        <w:rPr>
          <w:sz w:val="20"/>
          <w:szCs w:val="20"/>
          <w:color w:val="auto"/>
        </w:rPr>
      </w:pPr>
      <w:r>
        <w:rPr>
          <w:rFonts w:ascii="Times New Roman" w:cs="Times New Roman" w:eastAsia="Times New Roman" w:hAnsi="Times New Roman"/>
          <w:sz w:val="20"/>
          <w:szCs w:val="20"/>
          <w:b w:val="1"/>
          <w:bCs w:val="1"/>
          <w:color w:val="auto"/>
        </w:rPr>
        <w:t>ARTICLE I.</w:t>
      </w:r>
    </w:p>
    <w:p>
      <w:pPr>
        <w:jc w:val="right"/>
        <w:ind w:right="5160"/>
        <w:spacing w:after="0"/>
        <w:rPr>
          <w:sz w:val="20"/>
          <w:szCs w:val="20"/>
          <w:color w:val="auto"/>
        </w:rPr>
      </w:pPr>
      <w:r>
        <w:rPr>
          <w:rFonts w:ascii="Times New Roman" w:cs="Times New Roman" w:eastAsia="Times New Roman" w:hAnsi="Times New Roman"/>
          <w:sz w:val="20"/>
          <w:szCs w:val="20"/>
          <w:b w:val="1"/>
          <w:bCs w:val="1"/>
          <w:color w:val="auto"/>
        </w:rPr>
        <w:t>PURPOSE</w:t>
      </w:r>
    </w:p>
    <w:p>
      <w:pPr>
        <w:spacing w:after="0" w:line="16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The purpose of this amended and restated Plan is to enhance the Company’s ability to attract, retain and motivate persons who make (or are expected to make) important contributions to the Company by providing these individuals with equity ownership opportunities.</w:t>
      </w:r>
    </w:p>
    <w:p>
      <w:pPr>
        <w:spacing w:after="0" w:line="211" w:lineRule="auto"/>
        <w:rPr>
          <w:sz w:val="20"/>
          <w:szCs w:val="20"/>
          <w:color w:val="auto"/>
        </w:rPr>
      </w:pPr>
      <w:r>
        <w:rPr>
          <w:rFonts w:ascii="Times New Roman" w:cs="Times New Roman" w:eastAsia="Times New Roman" w:hAnsi="Times New Roman"/>
          <w:sz w:val="20"/>
          <w:szCs w:val="20"/>
          <w:color w:val="auto"/>
        </w:rPr>
        <w:t>Capitalized terms used in the Plan are defined in Article XI. This Plan constitutes an amendment and restatement of the Gossamer Bio, Inc.</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2019 Incentive Award Plan (the “</w:t>
      </w:r>
      <w:r>
        <w:rPr>
          <w:rFonts w:ascii="Times New Roman" w:cs="Times New Roman" w:eastAsia="Times New Roman" w:hAnsi="Times New Roman"/>
          <w:sz w:val="19"/>
          <w:szCs w:val="19"/>
          <w:b w:val="1"/>
          <w:bCs w:val="1"/>
          <w:i w:val="1"/>
          <w:iCs w:val="1"/>
          <w:color w:val="auto"/>
        </w:rPr>
        <w:t>Existing Plan</w:t>
      </w:r>
      <w:r>
        <w:rPr>
          <w:rFonts w:ascii="Times New Roman" w:cs="Times New Roman" w:eastAsia="Times New Roman" w:hAnsi="Times New Roman"/>
          <w:sz w:val="19"/>
          <w:szCs w:val="19"/>
          <w:color w:val="auto"/>
        </w:rPr>
        <w:t>”), effective as of the Restatement Effective Date (as defined below). The Plan was first adopted by the Board on January 12, 2019, and approved by the stockholders of the Company on January 15, 2019, and effective on February</w:t>
      </w:r>
    </w:p>
    <w:p>
      <w:pPr>
        <w:spacing w:after="0" w:line="228" w:lineRule="auto"/>
        <w:rPr>
          <w:sz w:val="20"/>
          <w:szCs w:val="20"/>
          <w:color w:val="auto"/>
        </w:rPr>
      </w:pPr>
      <w:r>
        <w:rPr>
          <w:rFonts w:ascii="Times New Roman" w:cs="Times New Roman" w:eastAsia="Times New Roman" w:hAnsi="Times New Roman"/>
          <w:sz w:val="20"/>
          <w:szCs w:val="20"/>
          <w:color w:val="auto"/>
        </w:rPr>
        <w:t>7, 2019 (the “</w:t>
      </w:r>
      <w:r>
        <w:rPr>
          <w:rFonts w:ascii="Times New Roman" w:cs="Times New Roman" w:eastAsia="Times New Roman" w:hAnsi="Times New Roman"/>
          <w:sz w:val="20"/>
          <w:szCs w:val="20"/>
          <w:b w:val="1"/>
          <w:bCs w:val="1"/>
          <w:i w:val="1"/>
          <w:iCs w:val="1"/>
          <w:color w:val="auto"/>
        </w:rPr>
        <w:t>Original Effective Date</w:t>
      </w:r>
      <w:r>
        <w:rPr>
          <w:rFonts w:ascii="Times New Roman" w:cs="Times New Roman" w:eastAsia="Times New Roman" w:hAnsi="Times New Roman"/>
          <w:sz w:val="20"/>
          <w:szCs w:val="20"/>
          <w:color w:val="auto"/>
        </w:rPr>
        <w:t>”), and was most recently amended and restated by the Board on March 24, 2025 and approved by the stockholders of the Company on June 25, 2025.</w:t>
      </w:r>
    </w:p>
    <w:p>
      <w:pPr>
        <w:spacing w:after="0" w:line="1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II.</w:t>
      </w:r>
    </w:p>
    <w:p>
      <w:pPr>
        <w:ind w:left="5000"/>
        <w:spacing w:after="0"/>
        <w:rPr>
          <w:sz w:val="20"/>
          <w:szCs w:val="20"/>
          <w:color w:val="auto"/>
        </w:rPr>
      </w:pPr>
      <w:r>
        <w:rPr>
          <w:rFonts w:ascii="Times New Roman" w:cs="Times New Roman" w:eastAsia="Times New Roman" w:hAnsi="Times New Roman"/>
          <w:sz w:val="20"/>
          <w:szCs w:val="20"/>
          <w:b w:val="1"/>
          <w:bCs w:val="1"/>
          <w:color w:val="auto"/>
        </w:rPr>
        <w:t>ELIGIBILITY</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Service Providers are eligible to be granted Awards under the Plan, subject to the limitations described herein.</w:t>
      </w:r>
    </w:p>
    <w:p>
      <w:pPr>
        <w:spacing w:after="0" w:line="18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III.</w:t>
      </w:r>
    </w:p>
    <w:p>
      <w:pPr>
        <w:jc w:val="center"/>
        <w:spacing w:after="0"/>
        <w:rPr>
          <w:sz w:val="20"/>
          <w:szCs w:val="20"/>
          <w:color w:val="auto"/>
        </w:rPr>
      </w:pPr>
      <w:r>
        <w:rPr>
          <w:rFonts w:ascii="Times New Roman" w:cs="Times New Roman" w:eastAsia="Times New Roman" w:hAnsi="Times New Roman"/>
          <w:sz w:val="20"/>
          <w:szCs w:val="20"/>
          <w:b w:val="1"/>
          <w:bCs w:val="1"/>
          <w:color w:val="auto"/>
        </w:rPr>
        <w:t>ADMINISTRATION AND DELEGATION</w:t>
      </w:r>
    </w:p>
    <w:p>
      <w:pPr>
        <w:spacing w:after="0" w:line="153"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The Plan is administered by the Administrator. The Administrator has authority to determine which Service Providers receive Awards, grant Awards and set Award terms and conditions, subject to the conditions and limitations in the Plan. The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Administrator also has the authority to take all actions and make all determinations under the Plan, to interpret the Plan and Award Agreements and to adopt, amend and repeal Plan administrative rules, guidelines and practices as it deems advisable. The Administrator may</w:t>
      </w:r>
    </w:p>
    <w:p>
      <w:pPr>
        <w:spacing w:after="0" w:line="222" w:lineRule="auto"/>
        <w:rPr>
          <w:sz w:val="20"/>
          <w:szCs w:val="20"/>
          <w:color w:val="auto"/>
        </w:rPr>
      </w:pPr>
      <w:r>
        <w:rPr>
          <w:rFonts w:ascii="Times New Roman" w:cs="Times New Roman" w:eastAsia="Times New Roman" w:hAnsi="Times New Roman"/>
          <w:sz w:val="19"/>
          <w:szCs w:val="19"/>
          <w:color w:val="auto"/>
        </w:rPr>
        <w:t>correct defects and ambiguities, supply omissions and reconcile inconsistencies in the Plan or any Award as it deems necessary or appropriate</w:t>
      </w:r>
    </w:p>
    <w:p>
      <w:pPr>
        <w:ind w:right="20"/>
        <w:spacing w:after="0" w:line="221" w:lineRule="auto"/>
        <w:rPr>
          <w:sz w:val="20"/>
          <w:szCs w:val="20"/>
          <w:color w:val="auto"/>
        </w:rPr>
      </w:pPr>
      <w:r>
        <w:rPr>
          <w:rFonts w:ascii="Times New Roman" w:cs="Times New Roman" w:eastAsia="Times New Roman" w:hAnsi="Times New Roman"/>
          <w:sz w:val="20"/>
          <w:szCs w:val="20"/>
          <w:color w:val="auto"/>
        </w:rPr>
        <w:t>to administer the Plan and any Awards. The Administrator’s determinations under the Plan are in its sole discretion and will be final and binding on all persons having or claiming any interest in the Plan or any Award.</w:t>
      </w:r>
    </w:p>
    <w:p>
      <w:pPr>
        <w:spacing w:after="0" w:line="39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u w:val="single" w:color="auto"/>
          <w:color w:val="auto"/>
        </w:rPr>
        <w:t>Appointment of Committees</w:t>
      </w:r>
      <w:r>
        <w:rPr>
          <w:rFonts w:ascii="Times New Roman" w:cs="Times New Roman" w:eastAsia="Times New Roman" w:hAnsi="Times New Roman"/>
          <w:sz w:val="20"/>
          <w:szCs w:val="20"/>
          <w:color w:val="auto"/>
        </w:rPr>
        <w:t>. To the extent Applicable Laws permit, the Board may delegate any or all of its powers under</w:t>
      </w:r>
    </w:p>
    <w:p>
      <w:pPr>
        <w:spacing w:after="0" w:line="221" w:lineRule="auto"/>
        <w:rPr>
          <w:sz w:val="20"/>
          <w:szCs w:val="20"/>
          <w:color w:val="auto"/>
        </w:rPr>
      </w:pPr>
      <w:r>
        <w:rPr>
          <w:rFonts w:ascii="Times New Roman" w:cs="Times New Roman" w:eastAsia="Times New Roman" w:hAnsi="Times New Roman"/>
          <w:sz w:val="20"/>
          <w:szCs w:val="20"/>
          <w:color w:val="auto"/>
        </w:rPr>
        <w:t>the Plan to one or more Committees or officers of the Company or any of its Subsidiaries. The Board may abolish any Committee or re-vest in itself any previously delegated authority at any time.</w:t>
      </w:r>
    </w:p>
    <w:p>
      <w:pPr>
        <w:spacing w:after="0" w:line="39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ARTICLE IV.</w:t>
      </w:r>
    </w:p>
    <w:p>
      <w:pPr>
        <w:jc w:val="center"/>
        <w:spacing w:after="0"/>
        <w:rPr>
          <w:sz w:val="20"/>
          <w:szCs w:val="20"/>
          <w:color w:val="auto"/>
        </w:rPr>
      </w:pPr>
      <w:r>
        <w:rPr>
          <w:rFonts w:ascii="Times New Roman" w:cs="Times New Roman" w:eastAsia="Times New Roman" w:hAnsi="Times New Roman"/>
          <w:sz w:val="20"/>
          <w:szCs w:val="20"/>
          <w:b w:val="1"/>
          <w:bCs w:val="1"/>
          <w:color w:val="auto"/>
        </w:rPr>
        <w:t>STOCK AVAILABLE FOR AWARDS</w:t>
      </w:r>
    </w:p>
    <w:p>
      <w:pPr>
        <w:spacing w:after="0" w:line="15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Number of Shares</w:t>
      </w:r>
      <w:r>
        <w:rPr>
          <w:rFonts w:ascii="Times New Roman" w:cs="Times New Roman" w:eastAsia="Times New Roman" w:hAnsi="Times New Roman"/>
          <w:sz w:val="20"/>
          <w:szCs w:val="20"/>
          <w:color w:val="auto"/>
        </w:rPr>
        <w:t>. Subject to adjustment under Article VIII and the terms of this Article IV, Awards may be made under the Plan covering up to the Overall Share Limit. As of the Original Effective Date, the Company ceased granting awards under the Prior Plan;</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however, Prior Plan Awards remain subject to the terms of the applicable Prior Plan. Shares issued under the Plan may consist of authorized but unissued Shares, Shares purchased on the open market or treasury Shares. As of the Restatement Effective Date, the Company ceased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granting awards under the Company’s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2" w:name="page73"/>
    <w:bookmarkEnd w:id="72"/>
    <w:p>
      <w:pPr>
        <w:spacing w:after="0" w:line="245" w:lineRule="auto"/>
        <w:rPr>
          <w:sz w:val="20"/>
          <w:szCs w:val="20"/>
          <w:color w:val="auto"/>
        </w:rPr>
      </w:pPr>
      <w:r>
        <w:rPr>
          <w:rFonts w:ascii="Times New Roman" w:cs="Times New Roman" w:eastAsia="Times New Roman" w:hAnsi="Times New Roman"/>
          <w:sz w:val="20"/>
          <w:szCs w:val="20"/>
          <w:color w:val="auto"/>
        </w:rPr>
        <w:t>Employment Inducement Incentive Award Plan (the “</w:t>
      </w:r>
      <w:r>
        <w:rPr>
          <w:rFonts w:ascii="Times New Roman" w:cs="Times New Roman" w:eastAsia="Times New Roman" w:hAnsi="Times New Roman"/>
          <w:sz w:val="20"/>
          <w:szCs w:val="20"/>
          <w:b w:val="1"/>
          <w:bCs w:val="1"/>
          <w:i w:val="1"/>
          <w:iCs w:val="1"/>
          <w:color w:val="auto"/>
        </w:rPr>
        <w:t>Inducement Plan</w:t>
      </w:r>
      <w:r>
        <w:rPr>
          <w:rFonts w:ascii="Times New Roman" w:cs="Times New Roman" w:eastAsia="Times New Roman" w:hAnsi="Times New Roman"/>
          <w:sz w:val="20"/>
          <w:szCs w:val="20"/>
          <w:color w:val="auto"/>
        </w:rPr>
        <w:t>”); however, outstanding awards under the Inducement Plan remain subject to the terms of the Inducement Plan.</w:t>
      </w:r>
    </w:p>
    <w:p>
      <w:pPr>
        <w:spacing w:after="0" w:line="38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Share Recycling</w:t>
      </w:r>
      <w:r>
        <w:rPr>
          <w:rFonts w:ascii="Times New Roman" w:cs="Times New Roman" w:eastAsia="Times New Roman" w:hAnsi="Times New Roman"/>
          <w:sz w:val="20"/>
          <w:szCs w:val="20"/>
          <w:color w:val="auto"/>
        </w:rPr>
        <w:t>. If all or any part of an Award or Prior Plan Award expires, lapses or is terminated, exchanged for cash, surrendered, repurchased, canceled without having been fully exercised or forfeited, in any case, in a manner that results in the Company</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acquiring Shares covered by the Award or Prior Plan Award at a price not greater than the price (as adjusted to reflect any Equity Restructuring) paid by the Participant for such Shares or not issuing any Shares covered by the Award or Prior Plan Award, the unused Shares</w:t>
      </w:r>
    </w:p>
    <w:p>
      <w:pPr>
        <w:spacing w:after="0" w:line="222" w:lineRule="auto"/>
        <w:rPr>
          <w:sz w:val="20"/>
          <w:szCs w:val="20"/>
          <w:color w:val="auto"/>
        </w:rPr>
      </w:pPr>
      <w:r>
        <w:rPr>
          <w:rFonts w:ascii="Times New Roman" w:cs="Times New Roman" w:eastAsia="Times New Roman" w:hAnsi="Times New Roman"/>
          <w:sz w:val="19"/>
          <w:szCs w:val="19"/>
          <w:color w:val="auto"/>
        </w:rPr>
        <w:t>covered by the Award or Prior Plan Award will, as applicable, become or again be available for Award grants under the Plan. Further, Shares</w:t>
      </w:r>
    </w:p>
    <w:p>
      <w:pPr>
        <w:spacing w:after="0" w:line="204" w:lineRule="auto"/>
        <w:rPr>
          <w:sz w:val="20"/>
          <w:szCs w:val="20"/>
          <w:color w:val="auto"/>
        </w:rPr>
      </w:pPr>
      <w:r>
        <w:rPr>
          <w:rFonts w:ascii="Times New Roman" w:cs="Times New Roman" w:eastAsia="Times New Roman" w:hAnsi="Times New Roman"/>
          <w:sz w:val="20"/>
          <w:szCs w:val="20"/>
          <w:color w:val="auto"/>
        </w:rPr>
        <w:t>delivered (either by actual delivery or attestation) to the Company by a Participant to satisfy the applicable exercise or purchase price of an Award or Prior Plan Award and/or to satisfy any applicable tax withholding obligation (including Shares retained by the Company from the</w:t>
      </w:r>
    </w:p>
    <w:p>
      <w:pPr>
        <w:spacing w:after="0" w:line="223" w:lineRule="auto"/>
        <w:rPr>
          <w:sz w:val="20"/>
          <w:szCs w:val="20"/>
          <w:color w:val="auto"/>
        </w:rPr>
      </w:pPr>
      <w:r>
        <w:rPr>
          <w:rFonts w:ascii="Times New Roman" w:cs="Times New Roman" w:eastAsia="Times New Roman" w:hAnsi="Times New Roman"/>
          <w:sz w:val="19"/>
          <w:szCs w:val="19"/>
          <w:color w:val="auto"/>
        </w:rPr>
        <w:t>Award or Prior Plan Award being exercised or purchased and/or creating the tax obligation) will, as applicable, become or again be available</w:t>
      </w:r>
    </w:p>
    <w:p>
      <w:pPr>
        <w:ind w:right="20"/>
        <w:spacing w:after="0" w:line="221" w:lineRule="auto"/>
        <w:rPr>
          <w:sz w:val="20"/>
          <w:szCs w:val="20"/>
          <w:color w:val="auto"/>
        </w:rPr>
      </w:pPr>
      <w:r>
        <w:rPr>
          <w:rFonts w:ascii="Times New Roman" w:cs="Times New Roman" w:eastAsia="Times New Roman" w:hAnsi="Times New Roman"/>
          <w:sz w:val="20"/>
          <w:szCs w:val="20"/>
          <w:color w:val="auto"/>
        </w:rPr>
        <w:t>for Award grants under the Plan. The payment of Dividend Equivalents in cash in conjunction with any outstanding Awards or Prior Plan Awards shall not count against the Overall Share Limit.</w:t>
      </w:r>
    </w:p>
    <w:p>
      <w:pPr>
        <w:spacing w:after="0" w:line="200" w:lineRule="exact"/>
        <w:rPr>
          <w:sz w:val="20"/>
          <w:szCs w:val="20"/>
          <w:color w:val="auto"/>
        </w:rPr>
      </w:pPr>
    </w:p>
    <w:p>
      <w:pPr>
        <w:spacing w:after="0" w:line="205"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Incentive Stock Option Limitations</w:t>
      </w:r>
      <w:r>
        <w:rPr>
          <w:rFonts w:ascii="Times New Roman" w:cs="Times New Roman" w:eastAsia="Times New Roman" w:hAnsi="Times New Roman"/>
          <w:sz w:val="20"/>
          <w:szCs w:val="20"/>
          <w:color w:val="auto"/>
        </w:rPr>
        <w:t>. Notwithstanding anything to the contrary herein, no more than 2,000,000,000 Shares may be issued pursuant to the exercise of Incentive Stock Options.</w:t>
      </w:r>
    </w:p>
    <w:p>
      <w:pPr>
        <w:spacing w:after="0" w:line="391"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4.4 </w:t>
      </w:r>
      <w:r>
        <w:rPr>
          <w:rFonts w:ascii="Times New Roman" w:cs="Times New Roman" w:eastAsia="Times New Roman" w:hAnsi="Times New Roman"/>
          <w:sz w:val="19"/>
          <w:szCs w:val="19"/>
          <w:u w:val="single" w:color="auto"/>
          <w:color w:val="auto"/>
        </w:rPr>
        <w:t>Substitute Awards</w:t>
      </w:r>
      <w:r>
        <w:rPr>
          <w:rFonts w:ascii="Times New Roman" w:cs="Times New Roman" w:eastAsia="Times New Roman" w:hAnsi="Times New Roman"/>
          <w:sz w:val="19"/>
          <w:szCs w:val="19"/>
          <w:color w:val="auto"/>
        </w:rPr>
        <w:t>. In connection with an entity’s merger or consolidation with the Company or the Company’s acquisition of an entity’s property or stock, the Administrator may grant Awards in substitution for any options or other stock or stock-based awards granted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before such merger or consolidation by such entity or its affiliate. Substitute Awards may be granted on such terms as the Administrator deems appropriate, notwithstanding limitations on Awards in the Plan. Substitute Awards will not count against the Overall Share Limit (nor</w:t>
      </w:r>
    </w:p>
    <w:p>
      <w:pPr>
        <w:spacing w:after="0" w:line="215" w:lineRule="auto"/>
        <w:rPr>
          <w:sz w:val="20"/>
          <w:szCs w:val="20"/>
          <w:color w:val="auto"/>
        </w:rPr>
      </w:pPr>
      <w:r>
        <w:rPr>
          <w:rFonts w:ascii="Times New Roman" w:cs="Times New Roman" w:eastAsia="Times New Roman" w:hAnsi="Times New Roman"/>
          <w:sz w:val="19"/>
          <w:szCs w:val="19"/>
          <w:color w:val="auto"/>
        </w:rPr>
        <w:t>shall Shares subject to a Substitute Award be added to the Shares available for Awards under the Plan as provided above), except that Shares acquired by exercise of substitute Incentive Stock Options will count against the maximum number of Shares that may be issued pursuant to</w:t>
      </w:r>
    </w:p>
    <w:p>
      <w:pPr>
        <w:spacing w:after="0" w:line="222" w:lineRule="auto"/>
        <w:rPr>
          <w:sz w:val="20"/>
          <w:szCs w:val="20"/>
          <w:color w:val="auto"/>
        </w:rPr>
      </w:pPr>
      <w:r>
        <w:rPr>
          <w:rFonts w:ascii="Times New Roman" w:cs="Times New Roman" w:eastAsia="Times New Roman" w:hAnsi="Times New Roman"/>
          <w:sz w:val="19"/>
          <w:szCs w:val="19"/>
          <w:color w:val="auto"/>
        </w:rPr>
        <w:t>the exercise of Incentive Stock Options under the Plan. Additionally, in the event that a company acquired by the Company or any Subsidiary</w:t>
      </w:r>
    </w:p>
    <w:p>
      <w:pPr>
        <w:spacing w:after="0" w:line="215" w:lineRule="auto"/>
        <w:rPr>
          <w:sz w:val="20"/>
          <w:szCs w:val="20"/>
          <w:color w:val="auto"/>
        </w:rPr>
      </w:pPr>
      <w:r>
        <w:rPr>
          <w:rFonts w:ascii="Times New Roman" w:cs="Times New Roman" w:eastAsia="Times New Roman" w:hAnsi="Times New Roman"/>
          <w:sz w:val="19"/>
          <w:szCs w:val="19"/>
          <w:color w:val="auto"/>
        </w:rPr>
        <w:t>or with which the Company or any Subsidiary combines has shares available under a pre-existing plan approved by stockholders and not adopted in contemplation of such acquisition or combination, the shares available for grant pursuant to the terms of such pre-existing plan (as</w:t>
      </w:r>
    </w:p>
    <w:p>
      <w:pPr>
        <w:spacing w:after="0" w:line="211" w:lineRule="auto"/>
        <w:rPr>
          <w:sz w:val="20"/>
          <w:szCs w:val="20"/>
          <w:color w:val="auto"/>
        </w:rPr>
      </w:pPr>
      <w:r>
        <w:rPr>
          <w:rFonts w:ascii="Times New Roman" w:cs="Times New Roman" w:eastAsia="Times New Roman" w:hAnsi="Times New Roman"/>
          <w:sz w:val="20"/>
          <w:szCs w:val="20"/>
          <w:color w:val="auto"/>
        </w:rPr>
        <w:t>adjusted, to the extent appropriate, using the exchange ratio or other adjustment or valuation ratio or formula used in such acquisition or</w:t>
      </w:r>
    </w:p>
    <w:p>
      <w:pPr>
        <w:spacing w:after="0" w:line="204" w:lineRule="auto"/>
        <w:rPr>
          <w:sz w:val="20"/>
          <w:szCs w:val="20"/>
          <w:color w:val="auto"/>
        </w:rPr>
      </w:pPr>
      <w:r>
        <w:rPr>
          <w:rFonts w:ascii="Times New Roman" w:cs="Times New Roman" w:eastAsia="Times New Roman" w:hAnsi="Times New Roman"/>
          <w:sz w:val="20"/>
          <w:szCs w:val="20"/>
          <w:color w:val="auto"/>
        </w:rPr>
        <w:t>combination to determine the consideration payable to the holders of common stock of the entities party to such acquisition or combination) may be used for Awards under the Plan and shall not reduce the Shares authorized for grant under the Plan (and Shares subject to such</w:t>
      </w:r>
    </w:p>
    <w:p>
      <w:pPr>
        <w:spacing w:after="0" w:line="211" w:lineRule="auto"/>
        <w:rPr>
          <w:sz w:val="20"/>
          <w:szCs w:val="20"/>
          <w:color w:val="auto"/>
        </w:rPr>
      </w:pPr>
      <w:r>
        <w:rPr>
          <w:rFonts w:ascii="Times New Roman" w:cs="Times New Roman" w:eastAsia="Times New Roman" w:hAnsi="Times New Roman"/>
          <w:sz w:val="20"/>
          <w:szCs w:val="20"/>
          <w:color w:val="auto"/>
        </w:rPr>
        <w:t>Awards shall not be added to the Shares available for Awards under the Plan as provided above); provided that Awards using such available</w:t>
      </w:r>
    </w:p>
    <w:p>
      <w:pPr>
        <w:spacing w:after="0" w:line="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9"/>
          <w:szCs w:val="19"/>
          <w:color w:val="auto"/>
        </w:rPr>
        <w:t>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39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20"/>
          <w:szCs w:val="20"/>
          <w:u w:val="single" w:color="auto"/>
          <w:color w:val="auto"/>
        </w:rPr>
        <w:t>Non-Employee Director Compensation</w:t>
      </w:r>
      <w:r>
        <w:rPr>
          <w:rFonts w:ascii="Times New Roman" w:cs="Times New Roman" w:eastAsia="Times New Roman" w:hAnsi="Times New Roman"/>
          <w:sz w:val="20"/>
          <w:szCs w:val="20"/>
          <w:color w:val="auto"/>
        </w:rPr>
        <w:t>. Notwithstanding any provision to the contrary in the Plan, the Administrator may</w:t>
      </w:r>
    </w:p>
    <w:p>
      <w:pPr>
        <w:spacing w:after="0" w:line="215" w:lineRule="auto"/>
        <w:rPr>
          <w:sz w:val="20"/>
          <w:szCs w:val="20"/>
          <w:color w:val="auto"/>
        </w:rPr>
      </w:pPr>
      <w:r>
        <w:rPr>
          <w:rFonts w:ascii="Times New Roman" w:cs="Times New Roman" w:eastAsia="Times New Roman" w:hAnsi="Times New Roman"/>
          <w:sz w:val="19"/>
          <w:szCs w:val="19"/>
          <w:color w:val="auto"/>
        </w:rPr>
        <w:t>establish compensation for non-employee Directors from time to time, subject to the limitations in the Plan. The Administrator will from time to time determine the terms, conditions and amounts of all such non-employee Director compensation in its discretion and pursuant to the</w:t>
      </w:r>
    </w:p>
    <w:p>
      <w:pPr>
        <w:spacing w:after="0" w:line="211" w:lineRule="auto"/>
        <w:rPr>
          <w:sz w:val="20"/>
          <w:szCs w:val="20"/>
          <w:color w:val="auto"/>
        </w:rPr>
      </w:pPr>
      <w:r>
        <w:rPr>
          <w:rFonts w:ascii="Times New Roman" w:cs="Times New Roman" w:eastAsia="Times New Roman" w:hAnsi="Times New Roman"/>
          <w:sz w:val="20"/>
          <w:szCs w:val="20"/>
          <w:color w:val="auto"/>
        </w:rPr>
        <w:t>exercise of its business judgment, taking into account such factors, circumstances and considerations as it shall deem relevant from time to</w:t>
      </w:r>
    </w:p>
    <w:p>
      <w:pPr>
        <w:spacing w:after="0" w:line="204" w:lineRule="auto"/>
        <w:rPr>
          <w:sz w:val="20"/>
          <w:szCs w:val="20"/>
          <w:color w:val="auto"/>
        </w:rPr>
      </w:pPr>
      <w:r>
        <w:rPr>
          <w:rFonts w:ascii="Times New Roman" w:cs="Times New Roman" w:eastAsia="Times New Roman" w:hAnsi="Times New Roman"/>
          <w:sz w:val="20"/>
          <w:szCs w:val="20"/>
          <w:color w:val="auto"/>
        </w:rPr>
        <w:t>time, provided that the sum of any cash compensation, or other compensation, and the value (determined as of the grant date in accordance with Financial Accounting Standards Board Accounting Standards Codification Topic 718, or any successor thereto) of Awards granted to a</w:t>
      </w:r>
    </w:p>
    <w:p>
      <w:pPr>
        <w:spacing w:after="0" w:line="211" w:lineRule="auto"/>
        <w:rPr>
          <w:sz w:val="20"/>
          <w:szCs w:val="20"/>
          <w:color w:val="auto"/>
        </w:rPr>
      </w:pPr>
      <w:r>
        <w:rPr>
          <w:rFonts w:ascii="Times New Roman" w:cs="Times New Roman" w:eastAsia="Times New Roman" w:hAnsi="Times New Roman"/>
          <w:sz w:val="20"/>
          <w:szCs w:val="20"/>
          <w:color w:val="auto"/>
        </w:rPr>
        <w:t>non-employee Director as compensation for services as a non-employee Director during any fiscal year of the Company may not exceed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$750,000 increased to $1,000,000 in the fiscal year of a non-employee Director’s initial service as a non-employee Director, which limits shall not apply to the compensation for any non-employee Director of the Company who serves in any capacity in addition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0"/>
          <w:szCs w:val="20"/>
          <w:color w:val="auto"/>
        </w:rPr>
        <w:t>that of a non-employee Director for which he or she receives additional compensation. The Administrator may make exceptions to this limit for individual non-employee Directors in extraordinary circumstances, as the Administrator may determine in its discretion.</w:t>
      </w:r>
    </w:p>
    <w:p>
      <w:pPr>
        <w:spacing w:after="0" w:line="38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ARTICLE V.</w:t>
      </w:r>
    </w:p>
    <w:p>
      <w:pPr>
        <w:jc w:val="center"/>
        <w:spacing w:after="0"/>
        <w:rPr>
          <w:sz w:val="20"/>
          <w:szCs w:val="20"/>
          <w:color w:val="auto"/>
        </w:rPr>
      </w:pPr>
      <w:r>
        <w:rPr>
          <w:rFonts w:ascii="Times New Roman" w:cs="Times New Roman" w:eastAsia="Times New Roman" w:hAnsi="Times New Roman"/>
          <w:sz w:val="20"/>
          <w:szCs w:val="20"/>
          <w:b w:val="1"/>
          <w:bCs w:val="1"/>
          <w:color w:val="auto"/>
        </w:rPr>
        <w:t>STOCK OPTIONS AND STOCK APPRECIATION RIGHTS</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The Administrator may grant Options or Stock Appreciation Rights to Service Providers subject to the limitations in the Plan, including any limitations in the Plan that apply to Incentive Stock Options. The Administrator will determine the number of Shares</w:t>
      </w:r>
    </w:p>
    <w:p>
      <w:pPr>
        <w:spacing w:after="0" w:line="212" w:lineRule="auto"/>
        <w:rPr>
          <w:sz w:val="20"/>
          <w:szCs w:val="20"/>
          <w:color w:val="auto"/>
        </w:rPr>
      </w:pPr>
      <w:r>
        <w:rPr>
          <w:rFonts w:ascii="Times New Roman" w:cs="Times New Roman" w:eastAsia="Times New Roman" w:hAnsi="Times New Roman"/>
          <w:sz w:val="20"/>
          <w:szCs w:val="20"/>
          <w:color w:val="auto"/>
        </w:rPr>
        <w:t>covered by each Option and Stock Appreciation Right, the exercise price of each Option and Stock Appreciation Right and the conditions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and limitations applicable to the exercise of each Option and Stock Appreciation Right. A Stock Appreciation Right will entitle the Participant (or other person entitled to exercise the Stock Appreciation Right) to receive from the Company upon exercise of the exercisable</w:t>
      </w:r>
    </w:p>
    <w:p>
      <w:pPr>
        <w:spacing w:after="0" w:line="223" w:lineRule="auto"/>
        <w:rPr>
          <w:sz w:val="20"/>
          <w:szCs w:val="20"/>
          <w:color w:val="auto"/>
        </w:rPr>
      </w:pPr>
      <w:r>
        <w:rPr>
          <w:rFonts w:ascii="Times New Roman" w:cs="Times New Roman" w:eastAsia="Times New Roman" w:hAnsi="Times New Roman"/>
          <w:sz w:val="19"/>
          <w:szCs w:val="19"/>
          <w:color w:val="auto"/>
        </w:rPr>
        <w:t>portion of the Stock Appreciation Right an amount determined by multiplying the excess, if any, of the Fair Market Value of one Share on the</w:t>
      </w:r>
    </w:p>
    <w:p>
      <w:pPr>
        <w:spacing w:after="0" w:line="204" w:lineRule="auto"/>
        <w:rPr>
          <w:sz w:val="20"/>
          <w:szCs w:val="20"/>
          <w:color w:val="auto"/>
        </w:rPr>
      </w:pPr>
      <w:r>
        <w:rPr>
          <w:rFonts w:ascii="Times New Roman" w:cs="Times New Roman" w:eastAsia="Times New Roman" w:hAnsi="Times New Roman"/>
          <w:sz w:val="20"/>
          <w:szCs w:val="20"/>
          <w:color w:val="auto"/>
        </w:rPr>
        <w:t>date of exercise over the exercise price per Share of the Stock Appreciation Right by the number of Shares with respect to which the Stock Appreciation Right is exercised, subject to any limitations of the Plan or that the Administrator may impose and payable in cash, 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valued at Fair Market Value or a combination of the two as the Administrator may determine or provide in the Award Agreement.</w:t>
      </w:r>
    </w:p>
    <w:p>
      <w:pPr>
        <w:spacing w:after="0" w:line="200" w:lineRule="exact"/>
        <w:rPr>
          <w:sz w:val="20"/>
          <w:szCs w:val="20"/>
          <w:color w:val="auto"/>
        </w:rPr>
      </w:pPr>
    </w:p>
    <w:p>
      <w:pPr>
        <w:spacing w:after="0" w:line="210"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The Administrator will establish each Option’s and Stock Appreciation Right’s exercise price and specify the exercise price in the Award Agreement. The exercise price will not be less than 100% of the Fair Market Value on the grant date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Option or Stock Appreciation Right.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Duration</w:t>
      </w:r>
      <w:r>
        <w:rPr>
          <w:rFonts w:ascii="Times New Roman" w:cs="Times New Roman" w:eastAsia="Times New Roman" w:hAnsi="Times New Roman"/>
          <w:sz w:val="20"/>
          <w:szCs w:val="20"/>
          <w:color w:val="auto"/>
        </w:rPr>
        <w:t>. Each Option or Stock Appreciation Right will be exercisable at such times and as specified in the Award Agreement, provided that the term of an Option or Stock Appreciation Right will not exceed ten years. Notwithstanding the foregoing and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unless determined otherwise by the Company, in the event that on the last business day of the term of an Option or Stock Appreciation Right (other than an Incentive Stock Option) (i) the exercise of the Option or Stock Appreciation Right is prohibited by Applicable Law, as</w:t>
      </w:r>
    </w:p>
    <w:p>
      <w:pPr>
        <w:spacing w:after="0" w:line="211" w:lineRule="auto"/>
        <w:rPr>
          <w:sz w:val="20"/>
          <w:szCs w:val="20"/>
          <w:color w:val="auto"/>
        </w:rPr>
      </w:pPr>
      <w:r>
        <w:rPr>
          <w:rFonts w:ascii="Times New Roman" w:cs="Times New Roman" w:eastAsia="Times New Roman" w:hAnsi="Times New Roman"/>
          <w:sz w:val="20"/>
          <w:szCs w:val="20"/>
          <w:color w:val="auto"/>
        </w:rPr>
        <w:t>determined by the Company, or (ii) Shares may not be purchased or sold by the applicable Participant due to any Company insider trading</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policy (including blackout periods) or a “lock-up” agreement undertaken in connection with an issuance of securities by the Company, the term of the Option or Stock Appreciation Right shall be extended until the date that is thirty (30) days after the end of the legal prohibition,</w:t>
      </w:r>
    </w:p>
    <w:p>
      <w:pPr>
        <w:spacing w:after="0" w:line="223" w:lineRule="auto"/>
        <w:rPr>
          <w:sz w:val="20"/>
          <w:szCs w:val="20"/>
          <w:color w:val="auto"/>
        </w:rPr>
      </w:pPr>
      <w:r>
        <w:rPr>
          <w:rFonts w:ascii="Times New Roman" w:cs="Times New Roman" w:eastAsia="Times New Roman" w:hAnsi="Times New Roman"/>
          <w:sz w:val="19"/>
          <w:szCs w:val="19"/>
          <w:color w:val="auto"/>
        </w:rPr>
        <w:t>black-out period or lock-up agreement, as determined by the Company; provided, however, in no event shall the extension last beyond the ten</w:t>
      </w:r>
    </w:p>
    <w:p>
      <w:pPr>
        <w:spacing w:after="0" w:line="215" w:lineRule="auto"/>
        <w:rPr>
          <w:sz w:val="20"/>
          <w:szCs w:val="20"/>
          <w:color w:val="auto"/>
        </w:rPr>
      </w:pPr>
      <w:r>
        <w:rPr>
          <w:rFonts w:ascii="Times New Roman" w:cs="Times New Roman" w:eastAsia="Times New Roman" w:hAnsi="Times New Roman"/>
          <w:sz w:val="19"/>
          <w:szCs w:val="19"/>
          <w:color w:val="auto"/>
        </w:rPr>
        <w:t>year term of the applicable Option or Stock Appreciation Right. Notwithstanding the foregoing, if the Participant, prior to the end of the term of an Option or Stock Appreciation Right, violates the non-competition, non-solicitation, confidentiality or other similar restrictive covenant</w:t>
      </w:r>
    </w:p>
    <w:p>
      <w:pPr>
        <w:spacing w:after="0" w:line="211" w:lineRule="auto"/>
        <w:rPr>
          <w:sz w:val="20"/>
          <w:szCs w:val="20"/>
          <w:color w:val="auto"/>
        </w:rPr>
      </w:pPr>
      <w:r>
        <w:rPr>
          <w:rFonts w:ascii="Times New Roman" w:cs="Times New Roman" w:eastAsia="Times New Roman" w:hAnsi="Times New Roman"/>
          <w:sz w:val="20"/>
          <w:szCs w:val="20"/>
          <w:color w:val="auto"/>
        </w:rPr>
        <w:t>provisions of any employment contract, confidentiality and nondisclosure agreement or other agreement between the Participant and the</w:t>
      </w: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Company or any of its Subsidiaries, the right of the Participant and the Participant’s transferees to exercise any Option or Stock Appreciation Right issued to the Participant shall terminate immediately upon such violation, unless the Company otherwise determines. In addition, if,</w:t>
      </w:r>
    </w:p>
    <w:p>
      <w:pPr>
        <w:spacing w:after="0" w:line="211" w:lineRule="auto"/>
        <w:rPr>
          <w:sz w:val="20"/>
          <w:szCs w:val="20"/>
          <w:color w:val="auto"/>
        </w:rPr>
      </w:pPr>
      <w:r>
        <w:rPr>
          <w:rFonts w:ascii="Times New Roman" w:cs="Times New Roman" w:eastAsia="Times New Roman" w:hAnsi="Times New Roman"/>
          <w:sz w:val="20"/>
          <w:szCs w:val="20"/>
          <w:color w:val="auto"/>
        </w:rPr>
        <w:t>prior to the end of the term of an Option or Stock Appreciation Right, the Participant is given notice by the Company or any of its</w:t>
      </w:r>
    </w:p>
    <w:p>
      <w:pPr>
        <w:spacing w:after="0" w:line="215" w:lineRule="auto"/>
        <w:rPr>
          <w:sz w:val="20"/>
          <w:szCs w:val="20"/>
          <w:color w:val="auto"/>
        </w:rPr>
      </w:pPr>
      <w:r>
        <w:rPr>
          <w:rFonts w:ascii="Times New Roman" w:cs="Times New Roman" w:eastAsia="Times New Roman" w:hAnsi="Times New Roman"/>
          <w:sz w:val="19"/>
          <w:szCs w:val="19"/>
          <w:color w:val="auto"/>
        </w:rPr>
        <w:t>Subsidiaries of the Participant’s Termination of Service by the Company or any of its Subsidiaries for Cause, and the effective date of such Termination of Service is subsequent to the date of the delivery of such notice, the right of the Participant and the Participant’s transferees to</w:t>
      </w:r>
    </w:p>
    <w:p>
      <w:pPr>
        <w:spacing w:after="0" w:line="211" w:lineRule="auto"/>
        <w:rPr>
          <w:sz w:val="20"/>
          <w:szCs w:val="20"/>
          <w:color w:val="auto"/>
        </w:rPr>
      </w:pPr>
      <w:r>
        <w:rPr>
          <w:rFonts w:ascii="Times New Roman" w:cs="Times New Roman" w:eastAsia="Times New Roman" w:hAnsi="Times New Roman"/>
          <w:sz w:val="20"/>
          <w:szCs w:val="20"/>
          <w:color w:val="auto"/>
        </w:rPr>
        <w:t>exercise any Option or Stock Appreciation Right issued to the Participant shall be suspended from the time of the delivery of such notice</w:t>
      </w:r>
    </w:p>
    <w:p>
      <w:pPr>
        <w:spacing w:after="0" w:line="215" w:lineRule="auto"/>
        <w:rPr>
          <w:sz w:val="20"/>
          <w:szCs w:val="20"/>
          <w:color w:val="auto"/>
        </w:rPr>
      </w:pPr>
      <w:r>
        <w:rPr>
          <w:rFonts w:ascii="Times New Roman" w:cs="Times New Roman" w:eastAsia="Times New Roman" w:hAnsi="Times New Roman"/>
          <w:sz w:val="19"/>
          <w:szCs w:val="19"/>
          <w:color w:val="auto"/>
        </w:rPr>
        <w:t>until the earlier of (i) such time as it is determined or otherwise agreed that the Participant’s service as a Service Provider will not be terminated for Cause as provided in such notice or (ii) the effective date of the Participant’s Termination of Service by the Company or any of</w:t>
      </w:r>
    </w:p>
    <w:p>
      <w:pPr>
        <w:spacing w:after="0" w:line="228" w:lineRule="auto"/>
        <w:rPr>
          <w:sz w:val="20"/>
          <w:szCs w:val="20"/>
          <w:color w:val="auto"/>
        </w:rPr>
      </w:pPr>
      <w:r>
        <w:rPr>
          <w:rFonts w:ascii="Times New Roman" w:cs="Times New Roman" w:eastAsia="Times New Roman" w:hAnsi="Times New Roman"/>
          <w:sz w:val="20"/>
          <w:szCs w:val="20"/>
          <w:color w:val="auto"/>
        </w:rPr>
        <w:t>its Subsidiaries for Cause (in which case the right of the Participant and the Participant’s transferees to exercise any Option or Stock Appreciation Right issued to the Participant will terminate immediately upon the effective date of such termination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74" w:name="page75"/>
    <w:bookmarkEnd w:id="74"/>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20"/>
          <w:szCs w:val="20"/>
          <w:u w:val="single" w:color="auto"/>
          <w:color w:val="auto"/>
        </w:rPr>
        <w:t>Exercise</w:t>
      </w:r>
      <w:r>
        <w:rPr>
          <w:rFonts w:ascii="Times New Roman" w:cs="Times New Roman" w:eastAsia="Times New Roman" w:hAnsi="Times New Roman"/>
          <w:sz w:val="20"/>
          <w:szCs w:val="20"/>
          <w:color w:val="auto"/>
        </w:rPr>
        <w:t>. Options and Stock Appreciation Rights may be exercised by delivering to the Company a written notice of</w:t>
      </w:r>
    </w:p>
    <w:p>
      <w:pPr>
        <w:spacing w:after="0" w:line="215" w:lineRule="auto"/>
        <w:rPr>
          <w:sz w:val="20"/>
          <w:szCs w:val="20"/>
          <w:color w:val="auto"/>
        </w:rPr>
      </w:pPr>
      <w:r>
        <w:rPr>
          <w:rFonts w:ascii="Times New Roman" w:cs="Times New Roman" w:eastAsia="Times New Roman" w:hAnsi="Times New Roman"/>
          <w:sz w:val="19"/>
          <w:szCs w:val="19"/>
          <w:color w:val="auto"/>
        </w:rPr>
        <w:t>exercise, in a form the Administrator approves (which may be electronic), signed by the person authorized to exercise the Option or Stock Appreciation Right, together with, as applicable, payment in full (i) as specified in Section 5.5 for the number of Shares for which the Award</w:t>
      </w:r>
    </w:p>
    <w:p>
      <w:pPr>
        <w:spacing w:after="0" w:line="228" w:lineRule="auto"/>
        <w:rPr>
          <w:sz w:val="20"/>
          <w:szCs w:val="20"/>
          <w:color w:val="auto"/>
        </w:rPr>
      </w:pPr>
      <w:r>
        <w:rPr>
          <w:rFonts w:ascii="Times New Roman" w:cs="Times New Roman" w:eastAsia="Times New Roman" w:hAnsi="Times New Roman"/>
          <w:sz w:val="20"/>
          <w:szCs w:val="20"/>
          <w:color w:val="auto"/>
        </w:rPr>
        <w:t>is exercised and (ii) as specified in Section 9.5 for any applicable taxes. Unless the Administrator otherwise determines, an Option or Stock Appreciation Right may not be exercised for a fraction of a Share.</w:t>
      </w:r>
    </w:p>
    <w:p>
      <w:pPr>
        <w:spacing w:after="0" w:line="38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20"/>
          <w:szCs w:val="20"/>
          <w:u w:val="single" w:color="auto"/>
          <w:color w:val="auto"/>
        </w:rPr>
        <w:t>Payment Upon Exercise</w:t>
      </w:r>
      <w:r>
        <w:rPr>
          <w:rFonts w:ascii="Times New Roman" w:cs="Times New Roman" w:eastAsia="Times New Roman" w:hAnsi="Times New Roman"/>
          <w:sz w:val="20"/>
          <w:szCs w:val="20"/>
          <w:color w:val="auto"/>
        </w:rPr>
        <w:t>. Subject to Section 10.8, any Company insider trading policy (including blackout periods) and</w:t>
      </w:r>
    </w:p>
    <w:p>
      <w:pPr>
        <w:spacing w:after="0" w:line="211" w:lineRule="auto"/>
        <w:rPr>
          <w:sz w:val="20"/>
          <w:szCs w:val="20"/>
          <w:color w:val="auto"/>
        </w:rPr>
      </w:pPr>
      <w:r>
        <w:rPr>
          <w:rFonts w:ascii="Times New Roman" w:cs="Times New Roman" w:eastAsia="Times New Roman" w:hAnsi="Times New Roman"/>
          <w:sz w:val="20"/>
          <w:szCs w:val="20"/>
          <w:color w:val="auto"/>
        </w:rPr>
        <w:t>Applicable Laws, the exercise price of an Option must be paid by:</w:t>
      </w:r>
    </w:p>
    <w:p>
      <w:pPr>
        <w:ind w:firstLine="1304"/>
        <w:spacing w:after="0" w:line="221" w:lineRule="auto"/>
        <w:tabs>
          <w:tab w:leader="none" w:pos="193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wire transfer of immediately available funds or by check payable to the order of the Company, provided that the Company may limit the use of one of the foregoing payment forms if one or more of the payment forms below is permitted;</w:t>
      </w:r>
    </w:p>
    <w:p>
      <w:pPr>
        <w:spacing w:after="0" w:line="161"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2"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there is a public market for Shares at the time of exercise, unless the Company otherwise determines, (A) delivery (including electronically or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162" w:lineRule="exact"/>
        <w:rPr>
          <w:rFonts w:ascii="Times New Roman" w:cs="Times New Roman" w:eastAsia="Times New Roman" w:hAnsi="Times New Roman"/>
          <w:sz w:val="20"/>
          <w:szCs w:val="20"/>
          <w:color w:val="auto"/>
        </w:rPr>
      </w:pPr>
    </w:p>
    <w:p>
      <w:pPr>
        <w:ind w:firstLine="1304"/>
        <w:spacing w:after="0"/>
        <w:tabs>
          <w:tab w:leader="none" w:pos="193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delivery (either by actual delivery or attestation) of Shares owned by the Participant valued at their Fair Market Value;</w:t>
      </w:r>
    </w:p>
    <w:p>
      <w:pPr>
        <w:spacing w:after="0" w:line="147" w:lineRule="exact"/>
        <w:rPr>
          <w:rFonts w:ascii="Times New Roman" w:cs="Times New Roman" w:eastAsia="Times New Roman" w:hAnsi="Times New Roman"/>
          <w:sz w:val="20"/>
          <w:szCs w:val="20"/>
          <w:color w:val="auto"/>
        </w:rPr>
      </w:pPr>
    </w:p>
    <w:p>
      <w:pPr>
        <w:ind w:firstLine="1304"/>
        <w:spacing w:after="0"/>
        <w:tabs>
          <w:tab w:leader="none" w:pos="1932"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surrendering Shares then issuable upon the Option’s exercise valued at their Fair Market Value on the exercise date;</w:t>
      </w:r>
    </w:p>
    <w:p>
      <w:pPr>
        <w:spacing w:after="0" w:line="147" w:lineRule="exact"/>
        <w:rPr>
          <w:rFonts w:ascii="Times New Roman" w:cs="Times New Roman" w:eastAsia="Times New Roman" w:hAnsi="Times New Roman"/>
          <w:sz w:val="20"/>
          <w:szCs w:val="20"/>
          <w:color w:val="auto"/>
        </w:rPr>
      </w:pPr>
    </w:p>
    <w:p>
      <w:pPr>
        <w:ind w:firstLine="1304"/>
        <w:spacing w:after="0"/>
        <w:tabs>
          <w:tab w:leader="none" w:pos="193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delivery of a promissory note or any other property that the Administrator determines is good and valuable consideration; or</w:t>
      </w:r>
    </w:p>
    <w:p>
      <w:pPr>
        <w:spacing w:after="0" w:line="14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Company, any combination of the above payment forms approved by the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Administrator.</w:t>
      </w:r>
    </w:p>
    <w:p>
      <w:pPr>
        <w:spacing w:after="0" w:line="16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ARTICLE VI.</w:t>
      </w: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RESTRICTED STOCK UNITS</w:t>
      </w:r>
    </w:p>
    <w:p>
      <w:pPr>
        <w:spacing w:after="0" w:line="153"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6.1 </w:t>
      </w: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The Administrator may grant Restricted Stock, or the right to purchase Restricted Stock, to any Service Provider, subject to the Company’s right to repurchase all or part of such shares at their issue price or other stated or formula price from the Participant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(or to require forfeiture of such shares) if conditions the Administrator specifies in the Award Agreement are not satisfied before the end of the applicable restriction period or periods that the Administrator establishes for such Award. In addition, the Administrator may grant to</w:t>
      </w:r>
    </w:p>
    <w:p>
      <w:pPr>
        <w:spacing w:after="0" w:line="223" w:lineRule="auto"/>
        <w:rPr>
          <w:sz w:val="20"/>
          <w:szCs w:val="20"/>
          <w:color w:val="auto"/>
        </w:rPr>
      </w:pPr>
      <w:r>
        <w:rPr>
          <w:rFonts w:ascii="Times New Roman" w:cs="Times New Roman" w:eastAsia="Times New Roman" w:hAnsi="Times New Roman"/>
          <w:sz w:val="19"/>
          <w:szCs w:val="19"/>
          <w:color w:val="auto"/>
        </w:rPr>
        <w:t>Service Providers Restricted Stock Units, which may be subject to vesting and forfeiture conditions during the applicable restriction period or</w:t>
      </w:r>
    </w:p>
    <w:p>
      <w:pPr>
        <w:ind w:right="20"/>
        <w:spacing w:after="0" w:line="221" w:lineRule="auto"/>
        <w:rPr>
          <w:sz w:val="20"/>
          <w:szCs w:val="20"/>
          <w:color w:val="auto"/>
        </w:rPr>
      </w:pPr>
      <w:r>
        <w:rPr>
          <w:rFonts w:ascii="Times New Roman" w:cs="Times New Roman" w:eastAsia="Times New Roman" w:hAnsi="Times New Roman"/>
          <w:sz w:val="20"/>
          <w:szCs w:val="20"/>
          <w:color w:val="auto"/>
        </w:rPr>
        <w:t>periods, as set forth in an Award Agreement. The Administrator will determine and set forth in the Award Agreement the terms and conditions for each Restricted Stock and Restricted Stock Unit Award, subject to the conditions and limitations contained in the Plan.</w:t>
      </w:r>
    </w:p>
    <w:p>
      <w:pPr>
        <w:spacing w:after="0" w:line="200" w:lineRule="exact"/>
        <w:rPr>
          <w:sz w:val="20"/>
          <w:szCs w:val="20"/>
          <w:color w:val="auto"/>
        </w:rPr>
      </w:pPr>
    </w:p>
    <w:p>
      <w:pPr>
        <w:spacing w:after="0" w:line="20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u w:val="single" w:color="auto"/>
          <w:color w:val="auto"/>
        </w:rPr>
        <w:t>Restricted Stock</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22" w:lineRule="auto"/>
        <w:tabs>
          <w:tab w:leader="none" w:pos="193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Dividends</w:t>
      </w:r>
      <w:r>
        <w:rPr>
          <w:rFonts w:ascii="Times New Roman" w:cs="Times New Roman" w:eastAsia="Times New Roman" w:hAnsi="Times New Roman"/>
          <w:sz w:val="20"/>
          <w:szCs w:val="20"/>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0"/>
          <w:szCs w:val="20"/>
          <w:color w:val="auto"/>
        </w:rPr>
        <w:t>restrictions on transferability and forfeitability as the shares of Restricted Stock with respect to which they were paid.</w:t>
      </w:r>
    </w:p>
    <w:p>
      <w:pPr>
        <w:spacing w:after="0" w:line="189" w:lineRule="exact"/>
        <w:rPr>
          <w:sz w:val="20"/>
          <w:szCs w:val="20"/>
          <w:color w:val="auto"/>
        </w:rPr>
      </w:pPr>
    </w:p>
    <w:p>
      <w:pPr>
        <w:ind w:firstLine="1304"/>
        <w:spacing w:after="0" w:line="233" w:lineRule="auto"/>
        <w:tabs>
          <w:tab w:leader="none" w:pos="1932"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Certificates</w:t>
      </w:r>
      <w:r>
        <w:rPr>
          <w:rFonts w:ascii="Times New Roman" w:cs="Times New Roman" w:eastAsia="Times New Roman" w:hAnsi="Times New Roman"/>
          <w:sz w:val="20"/>
          <w:szCs w:val="20"/>
          <w:color w:val="auto"/>
        </w:rPr>
        <w:t>. The Company may require that the Participant deposit in escrow with the Company (or its designee) any stock certificates issued in respect of shares of Restricted Stock, together with a stock power endorsed in blank.</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19"/>
          <w:szCs w:val="19"/>
          <w:u w:val="single" w:color="auto"/>
          <w:color w:val="auto"/>
        </w:rPr>
        <w:t>Restricted Stock Units.</w:t>
      </w:r>
    </w:p>
    <w:p>
      <w:pPr>
        <w:spacing w:after="0" w:line="189" w:lineRule="exact"/>
        <w:rPr>
          <w:sz w:val="20"/>
          <w:szCs w:val="20"/>
          <w:color w:val="auto"/>
        </w:rPr>
      </w:pPr>
    </w:p>
    <w:p>
      <w:pPr>
        <w:jc w:val="both"/>
        <w:ind w:firstLine="1304"/>
        <w:spacing w:after="0" w:line="226" w:lineRule="auto"/>
        <w:tabs>
          <w:tab w:leader="none" w:pos="193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Settlement</w:t>
      </w:r>
      <w:r>
        <w:rPr>
          <w:rFonts w:ascii="Times New Roman" w:cs="Times New Roman" w:eastAsia="Times New Roman" w:hAnsi="Times New Roman"/>
          <w:sz w:val="20"/>
          <w:szCs w:val="20"/>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160" w:lineRule="exact"/>
        <w:rPr>
          <w:rFonts w:ascii="Times New Roman" w:cs="Times New Roman" w:eastAsia="Times New Roman" w:hAnsi="Times New Roman"/>
          <w:sz w:val="20"/>
          <w:szCs w:val="20"/>
          <w:color w:val="auto"/>
        </w:rPr>
      </w:pPr>
    </w:p>
    <w:p>
      <w:pPr>
        <w:ind w:firstLine="1304"/>
        <w:spacing w:after="0" w:line="233" w:lineRule="auto"/>
        <w:tabs>
          <w:tab w:leader="none" w:pos="1932"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Stockholder Rights</w:t>
      </w:r>
      <w:r>
        <w:rPr>
          <w:rFonts w:ascii="Times New Roman" w:cs="Times New Roman" w:eastAsia="Times New Roman" w:hAnsi="Times New Roman"/>
          <w:sz w:val="20"/>
          <w:szCs w:val="20"/>
          <w:color w:val="auto"/>
        </w:rPr>
        <w:t>. A Participant will have no rights of a stockholder with respect to Shares subject to any Restricted Stock Unit unless and until the Shares are delivered in settlement of the Restricted Stock Unit.</w:t>
      </w:r>
    </w:p>
    <w:p>
      <w:pPr>
        <w:spacing w:after="0" w:line="16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 If the Administrator provides, a grant of Restricted Stock Units may provide a Participant with the right to receive Dividend Equivalents. Dividend Equivalents may be paid currently or credited to an account for the Participant, settled in cash or Shares and subject to the same restrictions on transferability and forfeitability as the Restricted Stock Units with respect to which the Dividend Equivalents are granted and subject to other terms and conditions as set forth in the Award Agreement.</w:t>
      </w:r>
    </w:p>
    <w:p>
      <w:pPr>
        <w:spacing w:after="0" w:line="1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ARTICLE VII.</w:t>
      </w:r>
    </w:p>
    <w:p>
      <w:pPr>
        <w:ind w:left="3620"/>
        <w:spacing w:after="0"/>
        <w:rPr>
          <w:sz w:val="20"/>
          <w:szCs w:val="20"/>
          <w:color w:val="auto"/>
        </w:rPr>
      </w:pPr>
      <w:r>
        <w:rPr>
          <w:rFonts w:ascii="Times New Roman" w:cs="Times New Roman" w:eastAsia="Times New Roman" w:hAnsi="Times New Roman"/>
          <w:sz w:val="20"/>
          <w:szCs w:val="20"/>
          <w:b w:val="1"/>
          <w:bCs w:val="1"/>
          <w:color w:val="auto"/>
        </w:rPr>
        <w:t>OTHER STOCK OR CASH BASED AWARDS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Other Stock or Cash Based Awards may be granted to Participants, including Awards entitling Participants to receive Shares to be</w:t>
      </w:r>
    </w:p>
    <w:p>
      <w:pPr>
        <w:spacing w:after="0" w:line="215" w:lineRule="auto"/>
        <w:rPr>
          <w:sz w:val="20"/>
          <w:szCs w:val="20"/>
          <w:color w:val="auto"/>
        </w:rPr>
      </w:pPr>
      <w:r>
        <w:rPr>
          <w:rFonts w:ascii="Times New Roman" w:cs="Times New Roman" w:eastAsia="Times New Roman" w:hAnsi="Times New Roman"/>
          <w:sz w:val="19"/>
          <w:szCs w:val="19"/>
          <w:color w:val="auto"/>
        </w:rPr>
        <w:t>delivered in the future and including annual or other periodic or long-term cash bonus awards (whether based on specified Performance Criteria or otherwise), in each case subject to any conditions and limitations in the Plan. Such Other Stock or Cash Based Awards will also be</w:t>
      </w:r>
    </w:p>
    <w:p>
      <w:pPr>
        <w:spacing w:after="0" w:line="204" w:lineRule="auto"/>
        <w:rPr>
          <w:sz w:val="20"/>
          <w:szCs w:val="20"/>
          <w:color w:val="auto"/>
        </w:rPr>
      </w:pPr>
      <w:r>
        <w:rPr>
          <w:rFonts w:ascii="Times New Roman" w:cs="Times New Roman" w:eastAsia="Times New Roman" w:hAnsi="Times New Roman"/>
          <w:sz w:val="20"/>
          <w:szCs w:val="20"/>
          <w:color w:val="auto"/>
        </w:rPr>
        <w:t>available as a payment form in the settlement of other Awards, as standalone payments and as payment in lieu of compensation to which a Participant is otherwise entitled. Other Stock or Cash Based Awards may be paid in Shares, cash or other property, as the Administrator</w:t>
      </w:r>
    </w:p>
    <w:p>
      <w:pPr>
        <w:spacing w:after="0" w:line="211" w:lineRule="auto"/>
        <w:rPr>
          <w:sz w:val="20"/>
          <w:szCs w:val="20"/>
          <w:color w:val="auto"/>
        </w:rPr>
      </w:pPr>
      <w:r>
        <w:rPr>
          <w:rFonts w:ascii="Times New Roman" w:cs="Times New Roman" w:eastAsia="Times New Roman" w:hAnsi="Times New Roman"/>
          <w:sz w:val="20"/>
          <w:szCs w:val="20"/>
          <w:color w:val="auto"/>
        </w:rPr>
        <w:t>determines. Subject to the provisions of the Plan, the Administrator will determine the terms and conditions of each Other Stock or Cash</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Based Award, including any purchase price, performance goal (which may be based on the Performance Criteria), transfer restrictions, and vesting conditions, which will be set forth in the applicable Award Agreement.</w:t>
      </w:r>
    </w:p>
    <w:p>
      <w:pPr>
        <w:spacing w:after="0" w:line="15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ARTICLE VIII.</w:t>
      </w:r>
    </w:p>
    <w:p>
      <w:pPr>
        <w:ind w:left="3100"/>
        <w:spacing w:after="0" w:line="197" w:lineRule="auto"/>
        <w:rPr>
          <w:sz w:val="20"/>
          <w:szCs w:val="20"/>
          <w:color w:val="auto"/>
        </w:rPr>
      </w:pPr>
      <w:r>
        <w:rPr>
          <w:rFonts w:ascii="Times New Roman" w:cs="Times New Roman" w:eastAsia="Times New Roman" w:hAnsi="Times New Roman"/>
          <w:sz w:val="20"/>
          <w:szCs w:val="20"/>
          <w:b w:val="1"/>
          <w:bCs w:val="1"/>
          <w:color w:val="auto"/>
        </w:rPr>
        <w:t>ADJUSTMENTS FOR CHANGES IN COMMON STOCK</w:t>
      </w:r>
    </w:p>
    <w:p>
      <w:pPr>
        <w:ind w:left="4140"/>
        <w:spacing w:after="0"/>
        <w:rPr>
          <w:sz w:val="20"/>
          <w:szCs w:val="20"/>
          <w:color w:val="auto"/>
        </w:rPr>
      </w:pPr>
      <w:r>
        <w:rPr>
          <w:rFonts w:ascii="Times New Roman" w:cs="Times New Roman" w:eastAsia="Times New Roman" w:hAnsi="Times New Roman"/>
          <w:sz w:val="20"/>
          <w:szCs w:val="20"/>
          <w:b w:val="1"/>
          <w:bCs w:val="1"/>
          <w:color w:val="auto"/>
        </w:rPr>
        <w:t>AND CERTAIN OTHER EVENTS</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20"/>
          <w:szCs w:val="20"/>
          <w:u w:val="single" w:color="auto"/>
          <w:color w:val="auto"/>
        </w:rPr>
        <w:t>Equity Restructuring</w:t>
      </w:r>
      <w:r>
        <w:rPr>
          <w:rFonts w:ascii="Times New Roman" w:cs="Times New Roman" w:eastAsia="Times New Roman" w:hAnsi="Times New Roman"/>
          <w:sz w:val="20"/>
          <w:szCs w:val="20"/>
          <w:color w:val="auto"/>
        </w:rPr>
        <w:t>. In connection with any Equity Restructuring, notwithstanding anything to the contrary in this</w:t>
      </w:r>
    </w:p>
    <w:p>
      <w:pPr>
        <w:spacing w:after="0" w:line="215" w:lineRule="auto"/>
        <w:rPr>
          <w:sz w:val="20"/>
          <w:szCs w:val="20"/>
          <w:color w:val="auto"/>
        </w:rPr>
      </w:pPr>
      <w:r>
        <w:rPr>
          <w:rFonts w:ascii="Times New Roman" w:cs="Times New Roman" w:eastAsia="Times New Roman" w:hAnsi="Times New Roman"/>
          <w:sz w:val="19"/>
          <w:szCs w:val="19"/>
          <w:color w:val="auto"/>
        </w:rPr>
        <w:t>Article VIII, the Administrator will equitably adjust each outstanding Award as it deems appropriate to reflect the Equity Restructuring, which may include adjusting the number and type of securities subject to each outstanding Award and/or the Award’s exercise price or grant</w:t>
      </w:r>
    </w:p>
    <w:p>
      <w:pPr>
        <w:spacing w:after="0" w:line="211" w:lineRule="auto"/>
        <w:rPr>
          <w:sz w:val="20"/>
          <w:szCs w:val="20"/>
          <w:color w:val="auto"/>
        </w:rPr>
      </w:pPr>
      <w:r>
        <w:rPr>
          <w:rFonts w:ascii="Times New Roman" w:cs="Times New Roman" w:eastAsia="Times New Roman" w:hAnsi="Times New Roman"/>
          <w:sz w:val="20"/>
          <w:szCs w:val="20"/>
          <w:color w:val="auto"/>
        </w:rPr>
        <w:t>price (if applicable), granting new Awards to Participants, and making a cash payment to Participants. The adjustments provided under this</w:t>
      </w:r>
    </w:p>
    <w:p>
      <w:pPr>
        <w:spacing w:after="0" w:line="221" w:lineRule="auto"/>
        <w:rPr>
          <w:sz w:val="20"/>
          <w:szCs w:val="20"/>
          <w:color w:val="auto"/>
        </w:rPr>
      </w:pPr>
      <w:r>
        <w:rPr>
          <w:rFonts w:ascii="Times New Roman" w:cs="Times New Roman" w:eastAsia="Times New Roman" w:hAnsi="Times New Roman"/>
          <w:sz w:val="20"/>
          <w:szCs w:val="20"/>
          <w:color w:val="auto"/>
        </w:rPr>
        <w:t>Section 8.1 will be nondiscretionary and final and binding on the affected Participant and the Company; provided that the Administrator will determine whether an adjustment is equitable.</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8.2</w:t>
      </w:r>
      <w:r>
        <w:rPr>
          <w:sz w:val="20"/>
          <w:szCs w:val="20"/>
          <w:color w:val="auto"/>
        </w:rPr>
        <w:tab/>
      </w:r>
      <w:r>
        <w:rPr>
          <w:rFonts w:ascii="Times New Roman" w:cs="Times New Roman" w:eastAsia="Times New Roman" w:hAnsi="Times New Roman"/>
          <w:sz w:val="20"/>
          <w:szCs w:val="20"/>
          <w:u w:val="single" w:color="auto"/>
          <w:color w:val="auto"/>
        </w:rPr>
        <w:t>Corporate Transactions</w:t>
      </w:r>
      <w:r>
        <w:rPr>
          <w:rFonts w:ascii="Times New Roman" w:cs="Times New Roman" w:eastAsia="Times New Roman" w:hAnsi="Times New Roman"/>
          <w:sz w:val="20"/>
          <w:szCs w:val="20"/>
          <w:color w:val="auto"/>
        </w:rPr>
        <w:t>. In the event of any dividend or other distribution (whether in the form of cash, Common Stock,</w:t>
      </w:r>
    </w:p>
    <w:p>
      <w:pPr>
        <w:spacing w:after="0" w:line="204" w:lineRule="auto"/>
        <w:rPr>
          <w:sz w:val="20"/>
          <w:szCs w:val="20"/>
          <w:color w:val="auto"/>
        </w:rPr>
      </w:pPr>
      <w:r>
        <w:rPr>
          <w:rFonts w:ascii="Times New Roman" w:cs="Times New Roman" w:eastAsia="Times New Roman" w:hAnsi="Times New Roman"/>
          <w:sz w:val="20"/>
          <w:szCs w:val="20"/>
          <w:color w:val="auto"/>
        </w:rPr>
        <w:t>other securities, or other property), reorganization, merger, consolidation, combination, amalgamation, repurchase, recapitalization, liquidation, dissolution, or sale, transfer, exchange or other disposition of all or substantially all of the assets of the Company, or sale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9"/>
          <w:szCs w:val="19"/>
          <w:color w:val="auto"/>
        </w:rPr>
        <w:t>of Common Stock or other securities of the Company, Change in Control, issuance of warrants or other rights to purchase Common Stock or</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other securities of the Company, other similar corporate transaction or event, other unusual or nonrecurring transaction or event affecting the Company or its financial statements or any change in any Applicable Laws or accounting principles, the Administrator, on such terms and</w:t>
      </w:r>
    </w:p>
    <w:p>
      <w:pPr>
        <w:spacing w:after="0" w:line="211" w:lineRule="auto"/>
        <w:rPr>
          <w:sz w:val="20"/>
          <w:szCs w:val="20"/>
          <w:color w:val="auto"/>
        </w:rPr>
      </w:pPr>
      <w:r>
        <w:rPr>
          <w:rFonts w:ascii="Times New Roman" w:cs="Times New Roman" w:eastAsia="Times New Roman" w:hAnsi="Times New Roman"/>
          <w:sz w:val="20"/>
          <w:szCs w:val="20"/>
          <w:color w:val="auto"/>
        </w:rPr>
        <w:t>conditions as it deems appropriate, either by the terms of the Award or by action taken prior to the occurrence of such transaction or event</w:t>
      </w:r>
    </w:p>
    <w:p>
      <w:pPr>
        <w:spacing w:after="0" w:line="204" w:lineRule="auto"/>
        <w:rPr>
          <w:sz w:val="20"/>
          <w:szCs w:val="20"/>
          <w:color w:val="auto"/>
        </w:rPr>
      </w:pPr>
      <w:r>
        <w:rPr>
          <w:rFonts w:ascii="Times New Roman" w:cs="Times New Roman" w:eastAsia="Times New Roman" w:hAnsi="Times New Roman"/>
          <w:sz w:val="20"/>
          <w:szCs w:val="20"/>
          <w:color w:val="auto"/>
        </w:rPr>
        <w:t>(except that action to give effect to a change in Applicable Law or accounting principles may be made within a reasonable period of time after such change) and either automatically or upon the Participant’s request, is hereby authorized to take any one or more of the following</w:t>
      </w:r>
    </w:p>
    <w:p>
      <w:pPr>
        <w:spacing w:after="0" w:line="211" w:lineRule="auto"/>
        <w:rPr>
          <w:sz w:val="20"/>
          <w:szCs w:val="20"/>
          <w:color w:val="auto"/>
        </w:rPr>
      </w:pPr>
      <w:r>
        <w:rPr>
          <w:rFonts w:ascii="Times New Roman" w:cs="Times New Roman" w:eastAsia="Times New Roman" w:hAnsi="Times New Roman"/>
          <w:sz w:val="20"/>
          <w:szCs w:val="20"/>
          <w:color w:val="auto"/>
        </w:rPr>
        <w:t>actions whenever the Administrator determines that such action is appropriate in order to (x) prevent dilution or enlargement of the benefits</w:t>
      </w:r>
    </w:p>
    <w:p>
      <w:pPr>
        <w:spacing w:after="0" w:line="198" w:lineRule="auto"/>
        <w:rPr>
          <w:sz w:val="20"/>
          <w:szCs w:val="20"/>
          <w:color w:val="auto"/>
        </w:rPr>
      </w:pPr>
      <w:r>
        <w:rPr>
          <w:rFonts w:ascii="Times New Roman" w:cs="Times New Roman" w:eastAsia="Times New Roman" w:hAnsi="Times New Roman"/>
          <w:sz w:val="20"/>
          <w:szCs w:val="20"/>
          <w:color w:val="auto"/>
        </w:rPr>
        <w:t>or potential benefits intended by the Company to be made available under the Plan or with respect to any Award granted or issued under the</w:t>
      </w:r>
    </w:p>
    <w:p>
      <w:pPr>
        <w:spacing w:after="0"/>
        <w:rPr>
          <w:sz w:val="20"/>
          <w:szCs w:val="20"/>
          <w:color w:val="auto"/>
        </w:rPr>
      </w:pPr>
      <w:r>
        <w:rPr>
          <w:rFonts w:ascii="Times New Roman" w:cs="Times New Roman" w:eastAsia="Times New Roman" w:hAnsi="Times New Roman"/>
          <w:sz w:val="20"/>
          <w:szCs w:val="20"/>
          <w:color w:val="auto"/>
        </w:rPr>
        <w:t>Plan, (y) to facilitate such transaction or event or (z) give effect to such changes in Applicable Laws or accounting principles:</w:t>
      </w:r>
    </w:p>
    <w:p>
      <w:pPr>
        <w:spacing w:after="0" w:line="167" w:lineRule="exact"/>
        <w:rPr>
          <w:sz w:val="20"/>
          <w:szCs w:val="20"/>
          <w:color w:val="auto"/>
        </w:rPr>
      </w:pPr>
    </w:p>
    <w:p>
      <w:pPr>
        <w:jc w:val="both"/>
        <w:ind w:firstLine="1304"/>
        <w:spacing w:after="0" w:line="220" w:lineRule="auto"/>
        <w:tabs>
          <w:tab w:leader="none" w:pos="193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47" w:lineRule="exact"/>
        <w:rPr>
          <w:rFonts w:ascii="Times New Roman" w:cs="Times New Roman" w:eastAsia="Times New Roman" w:hAnsi="Times New Roman"/>
          <w:sz w:val="20"/>
          <w:szCs w:val="20"/>
          <w:color w:val="auto"/>
        </w:rPr>
      </w:pPr>
    </w:p>
    <w:p>
      <w:pPr>
        <w:ind w:firstLine="1304"/>
        <w:spacing w:after="0"/>
        <w:tabs>
          <w:tab w:leader="none" w:pos="193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such Award shall vest and, to the extent applicable, be exercisable as to all shares covered thereby, notwithstanding anything to the contrary in the Plan or the provisions of such Award;</w:t>
      </w:r>
    </w:p>
    <w:p>
      <w:pPr>
        <w:spacing w:after="0" w:line="161" w:lineRule="exact"/>
        <w:rPr>
          <w:rFonts w:ascii="Times New Roman" w:cs="Times New Roman" w:eastAsia="Times New Roman" w:hAnsi="Times New Roman"/>
          <w:sz w:val="20"/>
          <w:szCs w:val="20"/>
          <w:color w:val="auto"/>
        </w:rPr>
      </w:pPr>
    </w:p>
    <w:p>
      <w:pPr>
        <w:jc w:val="both"/>
        <w:ind w:firstLine="1304"/>
        <w:spacing w:after="0" w:line="218" w:lineRule="auto"/>
        <w:tabs>
          <w:tab w:leader="none" w:pos="193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w:t>
      </w:r>
    </w:p>
    <w:p>
      <w:pPr>
        <w:spacing w:after="0" w:line="163"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adjustments in the number and type of shares of Common Stock (or other securities or property) subject to outstanding Awards and/or with respect to which Awards may be granted under the Plan (including, but not limited to, adjustments of the limitations in Article IV hereof on the maximum number and kind of shares which may be issued, including the number of shares that may be issued upon exercise of Incentive Stock Options under the Plan) and/or in the terms and conditions of (including the grant or exercise price), and the criteria included in, outstanding Awards;</w:t>
      </w:r>
    </w:p>
    <w:p>
      <w:pPr>
        <w:spacing w:after="0" w:line="14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replace such Award with other rights or property selected by the Administrator; and/or</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provide that the Award will terminate and cannot vest, be exercised or become payable after the applicable event.</w:t>
      </w:r>
    </w:p>
    <w:p>
      <w:pPr>
        <w:spacing w:after="0" w:line="20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u w:val="single" w:color="auto"/>
          <w:color w:val="auto"/>
        </w:rPr>
        <w:t>Effect of Non-Assumption in a Change in Control</w:t>
      </w:r>
      <w:r>
        <w:rPr>
          <w:rFonts w:ascii="Times New Roman" w:cs="Times New Roman" w:eastAsia="Times New Roman" w:hAnsi="Times New Roman"/>
          <w:sz w:val="20"/>
          <w:szCs w:val="20"/>
          <w:color w:val="auto"/>
        </w:rPr>
        <w:t>. Notwithstanding the provisions of Section 8.2, if a Change in Control occurs and a Participant’s Awards are not continued, converted, assumed, or replaced with a substantially similar award by (a) the Company,</w:t>
      </w:r>
    </w:p>
    <w:p>
      <w:pPr>
        <w:spacing w:after="0" w:line="224" w:lineRule="auto"/>
        <w:rPr>
          <w:sz w:val="20"/>
          <w:szCs w:val="20"/>
          <w:color w:val="auto"/>
        </w:rPr>
      </w:pPr>
      <w:r>
        <w:rPr>
          <w:rFonts w:ascii="Times New Roman" w:cs="Times New Roman" w:eastAsia="Times New Roman" w:hAnsi="Times New Roman"/>
          <w:sz w:val="19"/>
          <w:szCs w:val="19"/>
          <w:color w:val="auto"/>
        </w:rPr>
        <w:t>or (b) a successor entity or its parent or subsidiary (an “</w:t>
      </w:r>
      <w:r>
        <w:rPr>
          <w:rFonts w:ascii="Times New Roman" w:cs="Times New Roman" w:eastAsia="Times New Roman" w:hAnsi="Times New Roman"/>
          <w:sz w:val="19"/>
          <w:szCs w:val="19"/>
          <w:b w:val="1"/>
          <w:bCs w:val="1"/>
          <w:i w:val="1"/>
          <w:iCs w:val="1"/>
          <w:color w:val="auto"/>
        </w:rPr>
        <w:t>Assumption</w:t>
      </w:r>
      <w:r>
        <w:rPr>
          <w:rFonts w:ascii="Times New Roman" w:cs="Times New Roman" w:eastAsia="Times New Roman" w:hAnsi="Times New Roman"/>
          <w:sz w:val="19"/>
          <w:szCs w:val="19"/>
          <w:color w:val="auto"/>
        </w:rPr>
        <w:t>”), and provided that the Participant has not had a Termination of Service,</w:t>
      </w:r>
    </w:p>
    <w:p>
      <w:pPr>
        <w:spacing w:after="0" w:line="204" w:lineRule="auto"/>
        <w:rPr>
          <w:sz w:val="20"/>
          <w:szCs w:val="20"/>
          <w:color w:val="auto"/>
        </w:rPr>
      </w:pPr>
      <w:r>
        <w:rPr>
          <w:rFonts w:ascii="Times New Roman" w:cs="Times New Roman" w:eastAsia="Times New Roman" w:hAnsi="Times New Roman"/>
          <w:sz w:val="20"/>
          <w:szCs w:val="20"/>
          <w:color w:val="auto"/>
        </w:rPr>
        <w:t>then, immediately prior to the Change in Control, such Awards shall become fully vested, exercisable and/or payable, as applicable, and all forfeiture, repurchase and other restrictions on such Awards shall lapse, in which case, such Awards shall be canceled upon the</w:t>
      </w:r>
    </w:p>
    <w:p>
      <w:pPr>
        <w:spacing w:after="0" w:line="211" w:lineRule="auto"/>
        <w:rPr>
          <w:sz w:val="20"/>
          <w:szCs w:val="20"/>
          <w:color w:val="auto"/>
        </w:rPr>
      </w:pPr>
      <w:r>
        <w:rPr>
          <w:rFonts w:ascii="Times New Roman" w:cs="Times New Roman" w:eastAsia="Times New Roman" w:hAnsi="Times New Roman"/>
          <w:sz w:val="20"/>
          <w:szCs w:val="20"/>
          <w:color w:val="auto"/>
        </w:rPr>
        <w:t>consummation of the Change in Control in exchange for the right to receive the Change in Control consideration payable to other holders of</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Common Stock (i) which may be on such terms and conditions as apply generally to holders of Common Stock under the Change in Control documents (including, without limitation, any escrow, earn-out or other deferred consideration provisions) or such other terms and conditions</w:t>
      </w:r>
    </w:p>
    <w:p>
      <w:pPr>
        <w:spacing w:after="0" w:line="228" w:lineRule="auto"/>
        <w:rPr>
          <w:sz w:val="20"/>
          <w:szCs w:val="20"/>
          <w:color w:val="auto"/>
        </w:rPr>
      </w:pPr>
      <w:r>
        <w:rPr>
          <w:rFonts w:ascii="Times New Roman" w:cs="Times New Roman" w:eastAsia="Times New Roman" w:hAnsi="Times New Roman"/>
          <w:sz w:val="20"/>
          <w:szCs w:val="20"/>
          <w:color w:val="auto"/>
        </w:rPr>
        <w:t>as the Administrator may provide, and (ii) determined by reference to the number of shares subject to such Awards and net of any applicable exercise price; provided that to the extent that any Awards constitute “nonqualified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0"/>
          <w:szCs w:val="20"/>
          <w:color w:val="auto"/>
        </w:rPr>
        <w:t>deferred compensation” that may not be paid upon the Change in Control under Section 409A without the imposition of taxes thereon under</w:t>
      </w:r>
    </w:p>
    <w:p>
      <w:pPr>
        <w:jc w:val="both"/>
        <w:spacing w:after="0" w:line="204" w:lineRule="auto"/>
        <w:rPr>
          <w:sz w:val="20"/>
          <w:szCs w:val="20"/>
          <w:color w:val="auto"/>
        </w:rPr>
      </w:pPr>
      <w:r>
        <w:rPr>
          <w:rFonts w:ascii="Times New Roman" w:cs="Times New Roman" w:eastAsia="Times New Roman" w:hAnsi="Times New Roman"/>
          <w:sz w:val="20"/>
          <w:szCs w:val="20"/>
          <w:color w:val="auto"/>
        </w:rPr>
        <w:t>Section 409A, the timing of such payments shall be governed by the applicable Award Agreement (subject to any deferred consideration provisions applicable under the Change in Control documents); and provided, further, that if the amount to which a Participant would be</w:t>
      </w:r>
    </w:p>
    <w:p>
      <w:pPr>
        <w:spacing w:after="0" w:line="223" w:lineRule="auto"/>
        <w:rPr>
          <w:sz w:val="20"/>
          <w:szCs w:val="20"/>
          <w:color w:val="auto"/>
        </w:rPr>
      </w:pPr>
      <w:r>
        <w:rPr>
          <w:rFonts w:ascii="Times New Roman" w:cs="Times New Roman" w:eastAsia="Times New Roman" w:hAnsi="Times New Roman"/>
          <w:sz w:val="19"/>
          <w:szCs w:val="19"/>
          <w:color w:val="auto"/>
        </w:rPr>
        <w:t>entitled upon the settlement or exercise of such Award at the time of the Change in Control is equal to or less than zero, then such Award may</w:t>
      </w:r>
    </w:p>
    <w:p>
      <w:pPr>
        <w:jc w:val="both"/>
        <w:spacing w:after="0" w:line="221" w:lineRule="auto"/>
        <w:rPr>
          <w:sz w:val="20"/>
          <w:szCs w:val="20"/>
          <w:color w:val="auto"/>
        </w:rPr>
      </w:pPr>
      <w:r>
        <w:rPr>
          <w:rFonts w:ascii="Times New Roman" w:cs="Times New Roman" w:eastAsia="Times New Roman" w:hAnsi="Times New Roman"/>
          <w:sz w:val="20"/>
          <w:szCs w:val="20"/>
          <w:color w:val="auto"/>
        </w:rPr>
        <w:t>be terminated without payment. The Administrator shall determine whether an Assumption of an Award has occurred in connection with a Change in Control.</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8.4</w:t>
      </w:r>
      <w:r>
        <w:rPr>
          <w:sz w:val="20"/>
          <w:szCs w:val="20"/>
          <w:color w:val="auto"/>
        </w:rPr>
        <w:tab/>
      </w:r>
      <w:r>
        <w:rPr>
          <w:rFonts w:ascii="Times New Roman" w:cs="Times New Roman" w:eastAsia="Times New Roman" w:hAnsi="Times New Roman"/>
          <w:sz w:val="20"/>
          <w:szCs w:val="20"/>
          <w:u w:val="single" w:color="auto"/>
          <w:color w:val="auto"/>
        </w:rPr>
        <w:t>Administrative Stand Still</w:t>
      </w:r>
      <w:r>
        <w:rPr>
          <w:rFonts w:ascii="Times New Roman" w:cs="Times New Roman" w:eastAsia="Times New Roman" w:hAnsi="Times New Roman"/>
          <w:sz w:val="20"/>
          <w:szCs w:val="20"/>
          <w:color w:val="auto"/>
        </w:rPr>
        <w:t>. In the event of any pending stock dividend, stock split, combination or exchange of shares,</w:t>
      </w:r>
    </w:p>
    <w:p>
      <w:pPr>
        <w:jc w:val="both"/>
        <w:spacing w:after="0" w:line="215" w:lineRule="auto"/>
        <w:rPr>
          <w:sz w:val="20"/>
          <w:szCs w:val="20"/>
          <w:color w:val="auto"/>
        </w:rPr>
      </w:pPr>
      <w:r>
        <w:rPr>
          <w:rFonts w:ascii="Times New Roman" w:cs="Times New Roman" w:eastAsia="Times New Roman" w:hAnsi="Times New Roman"/>
          <w:sz w:val="19"/>
          <w:szCs w:val="19"/>
          <w:color w:val="auto"/>
        </w:rPr>
        <w:t>merger, consolidation or other distribution (other than normal cash dividends) of Company assets to stockholders, or any other extraordinary transaction or change affecting the Shares or the share price of Common Stock, including any Equity Restructuring or any securities offering</w:t>
      </w: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or other similar transaction, for administrative convenience, the Administrator may refuse to permit the exercise of any Award for up to sixty days before or after such transaction.</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8.5 </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Except as expressly provided in the Plan or the Administrator’s action under the Plan, no Participant will have any rights due to any subdivision or consolidation of Shares of any class, dividend payment, increase or decrease in the number of Shares of any</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class or dissolution, liquidation, merger, or consolidation of the Company or other corporation. Except as expressly provided with respect to an Equity Restructuring under Section 8.1 or the Administrator’s action under the Plan, no issuance by the Company of Shares of any class,</w:t>
      </w:r>
    </w:p>
    <w:p>
      <w:pPr>
        <w:spacing w:after="0" w:line="211" w:lineRule="auto"/>
        <w:rPr>
          <w:sz w:val="20"/>
          <w:szCs w:val="20"/>
          <w:color w:val="auto"/>
        </w:rPr>
      </w:pPr>
      <w:r>
        <w:rPr>
          <w:rFonts w:ascii="Times New Roman" w:cs="Times New Roman" w:eastAsia="Times New Roman" w:hAnsi="Times New Roman"/>
          <w:sz w:val="20"/>
          <w:szCs w:val="20"/>
          <w:color w:val="auto"/>
        </w:rPr>
        <w:t>or securities convertible into Shares of any class, will affect, and no adjustment will be made regarding, the number of Shares subject to an</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Award or the Award’s grant or exercise price. The existence of the Plan, any Award Agreements and the Awards granted hereunder will not affect or restrict in any way the Company’s right or power to make or authorize (i) any adjustment, recapitalization, reorganization or other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change in the Company’s capital structure or its business, (ii) any merger, consolidation dissolution or liquidation of the Company or sale of Company assets or (iii) any sale or issuance of securities, including securities with rights superior to those of the Shares or securities</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convertible into or exchangeable for Shares. The Administrator may treat Participants and Awards (or portions thereof) differently under this Article VIII.</w:t>
      </w:r>
    </w:p>
    <w:p>
      <w:pPr>
        <w:spacing w:after="0" w:line="14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ARTICLE IX.</w:t>
      </w:r>
    </w:p>
    <w:p>
      <w:pPr>
        <w:jc w:val="center"/>
        <w:spacing w:after="0"/>
        <w:rPr>
          <w:sz w:val="20"/>
          <w:szCs w:val="20"/>
          <w:color w:val="auto"/>
        </w:rPr>
      </w:pPr>
      <w:r>
        <w:rPr>
          <w:rFonts w:ascii="Times New Roman" w:cs="Times New Roman" w:eastAsia="Times New Roman" w:hAnsi="Times New Roman"/>
          <w:sz w:val="20"/>
          <w:szCs w:val="20"/>
          <w:b w:val="1"/>
          <w:bCs w:val="1"/>
          <w:color w:val="auto"/>
        </w:rPr>
        <w:t>GENERAL PROVISIONS APPLICABLE TO AWARDS</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color w:val="auto"/>
        </w:rPr>
        <w:t>. Except as the Administrator may determine or provide in an Award Agreement or otherwise for Awards other than Incentive Stock Options, Awards may not be sold, assigned, transferred, pledged or otherwise encumbered, either voluntarily or by</w:t>
      </w:r>
    </w:p>
    <w:p>
      <w:pPr>
        <w:spacing w:after="0" w:line="212" w:lineRule="auto"/>
        <w:rPr>
          <w:sz w:val="20"/>
          <w:szCs w:val="20"/>
          <w:color w:val="auto"/>
        </w:rPr>
      </w:pPr>
      <w:r>
        <w:rPr>
          <w:rFonts w:ascii="Times New Roman" w:cs="Times New Roman" w:eastAsia="Times New Roman" w:hAnsi="Times New Roman"/>
          <w:sz w:val="20"/>
          <w:szCs w:val="20"/>
          <w:color w:val="auto"/>
        </w:rPr>
        <w:t>operation of law, except by will or the laws of descent and distribution, or, subject to the Administrator’s consent, pursuant to a domestic</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relations order, and, during the life of the Participant, will be exercisable only by the Participant. References to a Participant, to the extent relevant in the context, will include references to a Participant’s authorized transferee that the Administrator specifically approves.</w:t>
      </w:r>
    </w:p>
    <w:p>
      <w:pPr>
        <w:spacing w:after="0" w:line="162"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 xml:space="preserve">9.2 </w:t>
      </w:r>
      <w:r>
        <w:rPr>
          <w:rFonts w:ascii="Times New Roman" w:cs="Times New Roman" w:eastAsia="Times New Roman" w:hAnsi="Times New Roman"/>
          <w:sz w:val="20"/>
          <w:szCs w:val="20"/>
          <w:u w:val="single" w:color="auto"/>
          <w:color w:val="auto"/>
        </w:rPr>
        <w:t>Documentation</w:t>
      </w:r>
      <w:r>
        <w:rPr>
          <w:rFonts w:ascii="Times New Roman" w:cs="Times New Roman" w:eastAsia="Times New Roman" w:hAnsi="Times New Roman"/>
          <w:sz w:val="20"/>
          <w:szCs w:val="20"/>
          <w:color w:val="auto"/>
        </w:rPr>
        <w:t>. Each Award will be evidenced in an Award Agreement, which may be written or electronic, as the Administrator determines. Each Award may contain terms and conditions in addition to those set forth in the Plan.</w:t>
      </w:r>
    </w:p>
    <w:p>
      <w:pPr>
        <w:spacing w:after="0" w:line="14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u w:val="single" w:color="auto"/>
          <w:color w:val="auto"/>
        </w:rPr>
        <w:t>Discretion</w:t>
      </w:r>
      <w:r>
        <w:rPr>
          <w:rFonts w:ascii="Times New Roman" w:cs="Times New Roman" w:eastAsia="Times New Roman" w:hAnsi="Times New Roman"/>
          <w:sz w:val="20"/>
          <w:szCs w:val="20"/>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9.4 </w:t>
      </w:r>
      <w:r>
        <w:rPr>
          <w:rFonts w:ascii="Times New Roman" w:cs="Times New Roman" w:eastAsia="Times New Roman" w:hAnsi="Times New Roman"/>
          <w:sz w:val="20"/>
          <w:szCs w:val="20"/>
          <w:u w:val="single" w:color="auto"/>
          <w:color w:val="auto"/>
        </w:rPr>
        <w:t>Termination of Status</w:t>
      </w:r>
      <w:r>
        <w:rPr>
          <w:rFonts w:ascii="Times New Roman" w:cs="Times New Roman" w:eastAsia="Times New Roman" w:hAnsi="Times New Roman"/>
          <w:sz w:val="20"/>
          <w:szCs w:val="20"/>
          <w:color w:val="auto"/>
        </w:rPr>
        <w:t>. The Administrator will determine how the disability, death, retirement, authorized leave of absence or any other change or purported change in a Participant’s Service Provider status affects an Award and the extent to which, and the period</w:t>
      </w:r>
    </w:p>
    <w:p>
      <w:pPr>
        <w:spacing w:after="0" w:line="2"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during which, the Participant, the Participant’s legal representative, conservator, guardian or Designated Beneficiary may exercise rights under the Award, if applicable.</w:t>
      </w:r>
    </w:p>
    <w:p>
      <w:pPr>
        <w:spacing w:after="0" w:line="16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9.5 </w:t>
      </w: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Each Participant must pay the Company, or make provision satisfactory to the Administrator for payment of, any taxes required by law to be withheld in connection with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0"/>
          <w:szCs w:val="20"/>
          <w:color w:val="auto"/>
        </w:rPr>
        <w:t>Participant’s Awards by the date of the event creating the tax liability. The Company may deduct an amount sufficient to satisfy such tax</w:t>
      </w:r>
    </w:p>
    <w:p>
      <w:pPr>
        <w:spacing w:after="0" w:line="204" w:lineRule="auto"/>
        <w:rPr>
          <w:sz w:val="20"/>
          <w:szCs w:val="20"/>
          <w:color w:val="auto"/>
        </w:rPr>
      </w:pPr>
      <w:r>
        <w:rPr>
          <w:rFonts w:ascii="Times New Roman" w:cs="Times New Roman" w:eastAsia="Times New Roman" w:hAnsi="Times New Roman"/>
          <w:sz w:val="20"/>
          <w:szCs w:val="20"/>
          <w:color w:val="auto"/>
        </w:rPr>
        <w:t>obligations based on the applicable statutory withholding rates (or such other rate as may be determined by the Company after considering any accounting consequences or costs) from any payment of any kind otherwise due to a Participant. In the absence of a contrary</w:t>
      </w:r>
    </w:p>
    <w:p>
      <w:pPr>
        <w:spacing w:after="0" w:line="211" w:lineRule="auto"/>
        <w:rPr>
          <w:sz w:val="20"/>
          <w:szCs w:val="20"/>
          <w:color w:val="auto"/>
        </w:rPr>
      </w:pPr>
      <w:r>
        <w:rPr>
          <w:rFonts w:ascii="Times New Roman" w:cs="Times New Roman" w:eastAsia="Times New Roman" w:hAnsi="Times New Roman"/>
          <w:sz w:val="20"/>
          <w:szCs w:val="20"/>
          <w:color w:val="auto"/>
        </w:rPr>
        <w:t>determination by the Company (or, with respect to withholding pursuant to clause (ii) below with respect to Awards held by individuals</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subject to Section 16 of the Exchange Act, a contrary determination by the Administrator), all tax withholding obligations will be calculated based on the minimum applicable statutory withholding rates. Subject to Section 10.8 and any Company insider trading policy (including</w:t>
      </w:r>
    </w:p>
    <w:p>
      <w:pPr>
        <w:spacing w:after="0" w:line="211" w:lineRule="auto"/>
        <w:rPr>
          <w:sz w:val="20"/>
          <w:szCs w:val="20"/>
          <w:color w:val="auto"/>
        </w:rPr>
      </w:pPr>
      <w:r>
        <w:rPr>
          <w:rFonts w:ascii="Times New Roman" w:cs="Times New Roman" w:eastAsia="Times New Roman" w:hAnsi="Times New Roman"/>
          <w:sz w:val="20"/>
          <w:szCs w:val="20"/>
          <w:color w:val="auto"/>
        </w:rPr>
        <w:t>blackout periods), Participants may satisfy such tax obligations (i) in cash, by wire transfer of immediately available funds, by check made</w:t>
      </w:r>
    </w:p>
    <w:p>
      <w:pPr>
        <w:spacing w:after="0" w:line="204" w:lineRule="auto"/>
        <w:rPr>
          <w:sz w:val="20"/>
          <w:szCs w:val="20"/>
          <w:color w:val="auto"/>
        </w:rPr>
      </w:pPr>
      <w:r>
        <w:rPr>
          <w:rFonts w:ascii="Times New Roman" w:cs="Times New Roman" w:eastAsia="Times New Roman" w:hAnsi="Times New Roman"/>
          <w:sz w:val="20"/>
          <w:szCs w:val="20"/>
          <w:color w:val="auto"/>
        </w:rPr>
        <w:t>payable to the order of the Company, provided that the Company may limit the use of the foregoing payment forms if one or more of the payment forms below is permitted, (ii) to the extent permitted by the Administrator, in whole or in part by delivery of Shares, including</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Shares delivered by attestation and Shares retained from the Award creating the tax obligation, valued at their Fair Market Value on the date of delivery, (iii) if there is a public market for Shares at the time the tax obligations are satisfied, unless the Company otherwise determines,</w:t>
      </w:r>
    </w:p>
    <w:p>
      <w:pPr>
        <w:spacing w:after="0" w:line="1" w:lineRule="exact"/>
        <w:rPr>
          <w:sz w:val="20"/>
          <w:szCs w:val="20"/>
          <w:color w:val="auto"/>
        </w:rPr>
      </w:pPr>
    </w:p>
    <w:p>
      <w:pPr>
        <w:jc w:val="both"/>
        <w:ind w:firstLine="8"/>
        <w:spacing w:after="0" w:line="208" w:lineRule="auto"/>
        <w:tabs>
          <w:tab w:leader="none" w:pos="369"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(including electronically or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(iv) to the extent permitted by the Company, any combination of the foregoing payment forms approved by the Administrator. Notwithstanding any other provision of the Plan, the number of Shares which may be so delivered or retained pursuant to clause (ii) of the immediately preceding sentence shall be limited to the number of Shares which have a Fair Market Value on the date of delivery or retention no greater than the aggregate amount of such liabilities based on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provided, however, to the extent such Shares were acquired by Participant from the Company as compensation, the Shares must have been held for the minimum period required by applicable accounting rules to avoid a charge to the Company’s earnings for financial reporting purposes; provided, further, that, any such Shares delivered or retained shall be rounded up to the nearest whole Share to the extent rounding up to the nearest whole Share does not result in the liability classification of the applicable Award under generally accepted accounting principles in the United States of America. If any tax withholding obligation will be satisfied under clause (ii) above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63"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9.6 </w:t>
      </w:r>
      <w:r>
        <w:rPr>
          <w:rFonts w:ascii="Times New Roman" w:cs="Times New Roman" w:eastAsia="Times New Roman" w:hAnsi="Times New Roman"/>
          <w:sz w:val="20"/>
          <w:szCs w:val="20"/>
          <w:u w:val="single" w:color="auto"/>
          <w:color w:val="auto"/>
        </w:rPr>
        <w:t>Amendment of Award; Repricing</w:t>
      </w:r>
      <w:r>
        <w:rPr>
          <w:rFonts w:ascii="Times New Roman" w:cs="Times New Roman" w:eastAsia="Times New Roman" w:hAnsi="Times New Roman"/>
          <w:sz w:val="20"/>
          <w:szCs w:val="20"/>
          <w:color w:val="auto"/>
        </w:rPr>
        <w:t>. The Administrator may amend, modify or terminate any outstanding Award, including by substituting another Award of the same or a different type, changing the exercise or settlement date, and converting an Incentive Stock</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Option to a Non-Qualified Stock Option. The Participant’s consent to such action will be required unless (i) the action, taking into account any related action, does not materially and adversely affect the Participant’s rights under the Award, or (ii) the change is permitted under</w:t>
      </w:r>
    </w:p>
    <w:p>
      <w:pPr>
        <w:spacing w:after="0" w:line="211" w:lineRule="auto"/>
        <w:rPr>
          <w:sz w:val="20"/>
          <w:szCs w:val="20"/>
          <w:color w:val="auto"/>
        </w:rPr>
      </w:pPr>
      <w:r>
        <w:rPr>
          <w:rFonts w:ascii="Times New Roman" w:cs="Times New Roman" w:eastAsia="Times New Roman" w:hAnsi="Times New Roman"/>
          <w:sz w:val="20"/>
          <w:szCs w:val="20"/>
          <w:color w:val="auto"/>
        </w:rPr>
        <w:t>Article VIII or pursuant to Section 10.6. Notwithstanding the foregoing or anything in the Plan to the contrary, the Administrator may,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without the approval of the stockholders of the Company, reduce the exercise price per share of outstanding Options or Stock Appreciation Rights or cancel outstanding Options or Stock Appreciation Rights in exchange for cash, other Awards or Options or Stock Appreciation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Rights with an exercise price per share that is less than the exercise price per share of the original Options or Stock Appreciation Rights.</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9.7 </w:t>
      </w:r>
      <w:r>
        <w:rPr>
          <w:rFonts w:ascii="Times New Roman" w:cs="Times New Roman" w:eastAsia="Times New Roman" w:hAnsi="Times New Roman"/>
          <w:sz w:val="20"/>
          <w:szCs w:val="20"/>
          <w:u w:val="single" w:color="auto"/>
          <w:color w:val="auto"/>
        </w:rPr>
        <w:t>Conditions on Delivery of Stock</w:t>
      </w:r>
      <w:r>
        <w:rPr>
          <w:rFonts w:ascii="Times New Roman" w:cs="Times New Roman" w:eastAsia="Times New Roman" w:hAnsi="Times New Roman"/>
          <w:sz w:val="20"/>
          <w:szCs w:val="20"/>
          <w:color w:val="auto"/>
        </w:rPr>
        <w:t>. The Company will not be obligated to deliver any Shares under the Plan or remove restrictions from Shares previously delivered under the Plan until (i) all Award conditions have been met or removed to the Company’s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satisfaction, (ii) as determined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0"/>
          <w:szCs w:val="20"/>
          <w:color w:val="auto"/>
        </w:rPr>
        <w:t>Company, all other legal matters regarding the issuance and delivery of such Shares have been satisfied, including any applicable securities</w:t>
      </w:r>
    </w:p>
    <w:p>
      <w:pPr>
        <w:spacing w:after="0" w:line="215" w:lineRule="auto"/>
        <w:rPr>
          <w:sz w:val="20"/>
          <w:szCs w:val="20"/>
          <w:color w:val="auto"/>
        </w:rPr>
      </w:pPr>
      <w:r>
        <w:rPr>
          <w:rFonts w:ascii="Times New Roman" w:cs="Times New Roman" w:eastAsia="Times New Roman" w:hAnsi="Times New Roman"/>
          <w:sz w:val="19"/>
          <w:szCs w:val="19"/>
          <w:color w:val="auto"/>
        </w:rPr>
        <w:t>laws and stock exchange or stock market rules and regulations, and (iii) the Participant has executed and delivered to the Company such representations or agreements as the Administrator deems necessary or appropriate to satisfy any Applicable Laws. The Company’s inability</w:t>
      </w:r>
    </w:p>
    <w:p>
      <w:pPr>
        <w:spacing w:after="0" w:line="222" w:lineRule="auto"/>
        <w:rPr>
          <w:sz w:val="20"/>
          <w:szCs w:val="20"/>
          <w:color w:val="auto"/>
        </w:rPr>
      </w:pPr>
      <w:r>
        <w:rPr>
          <w:rFonts w:ascii="Times New Roman" w:cs="Times New Roman" w:eastAsia="Times New Roman" w:hAnsi="Times New Roman"/>
          <w:sz w:val="19"/>
          <w:szCs w:val="19"/>
          <w:color w:val="auto"/>
        </w:rPr>
        <w:t>to obtain authority from any regulatory body having jurisdiction, which the Administrator determines is necessary to the lawful issuance and</w:t>
      </w:r>
    </w:p>
    <w:p>
      <w:pPr>
        <w:ind w:right="20"/>
        <w:spacing w:after="0" w:line="221" w:lineRule="auto"/>
        <w:rPr>
          <w:sz w:val="20"/>
          <w:szCs w:val="20"/>
          <w:color w:val="auto"/>
        </w:rPr>
      </w:pPr>
      <w:r>
        <w:rPr>
          <w:rFonts w:ascii="Times New Roman" w:cs="Times New Roman" w:eastAsia="Times New Roman" w:hAnsi="Times New Roman"/>
          <w:sz w:val="20"/>
          <w:szCs w:val="20"/>
          <w:color w:val="auto"/>
        </w:rPr>
        <w:t>sale of any securities, will relieve the Company of any liability for failing to issue or sell such Shares as to which such requisite authority has not been obtained.</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9.8 </w:t>
      </w:r>
      <w:r>
        <w:rPr>
          <w:rFonts w:ascii="Times New Roman" w:cs="Times New Roman" w:eastAsia="Times New Roman" w:hAnsi="Times New Roman"/>
          <w:sz w:val="20"/>
          <w:szCs w:val="20"/>
          <w:u w:val="single" w:color="auto"/>
          <w:color w:val="auto"/>
        </w:rPr>
        <w:t>Acceleration</w:t>
      </w:r>
      <w:r>
        <w:rPr>
          <w:rFonts w:ascii="Times New Roman" w:cs="Times New Roman" w:eastAsia="Times New Roman" w:hAnsi="Times New Roman"/>
          <w:sz w:val="20"/>
          <w:szCs w:val="20"/>
          <w:color w:val="auto"/>
        </w:rPr>
        <w:t>. The Administrator may at any time provide that any Award will become immediately vested and fully or partially exercisable, free of some or all restrictions or conditions, or otherwise fully or partially realizable.</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9.9 </w:t>
      </w:r>
      <w:r>
        <w:rPr>
          <w:rFonts w:ascii="Times New Roman" w:cs="Times New Roman" w:eastAsia="Times New Roman" w:hAnsi="Times New Roman"/>
          <w:sz w:val="20"/>
          <w:szCs w:val="20"/>
          <w:u w:val="single" w:color="auto"/>
          <w:color w:val="auto"/>
        </w:rPr>
        <w:t>Additional Terms of Incentive Stock Options</w:t>
      </w:r>
      <w:r>
        <w:rPr>
          <w:rFonts w:ascii="Times New Roman" w:cs="Times New Roman" w:eastAsia="Times New Roman" w:hAnsi="Times New Roman"/>
          <w:sz w:val="20"/>
          <w:szCs w:val="20"/>
          <w:color w:val="auto"/>
        </w:rPr>
        <w:t>. The Administrator may grant Incentive Stock Options only to employees of the Company, any of its present or future parent or subsidiary corporations, as defined in Sections 424(e) or (f) of the Code, respectively, and</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any other entities the employees of which are eligible to receive Incentive Stock Options under the Code. If an Incentive Stock Option is granted to a Greater Than 10% Stockholder, the exercise price will not be less than 110% of the Fair Market Value on the Option’s grant date,</w:t>
      </w:r>
    </w:p>
    <w:p>
      <w:pPr>
        <w:spacing w:after="0" w:line="211" w:lineRule="auto"/>
        <w:rPr>
          <w:sz w:val="20"/>
          <w:szCs w:val="20"/>
          <w:color w:val="auto"/>
        </w:rPr>
      </w:pPr>
      <w:r>
        <w:rPr>
          <w:rFonts w:ascii="Times New Roman" w:cs="Times New Roman" w:eastAsia="Times New Roman" w:hAnsi="Times New Roman"/>
          <w:sz w:val="20"/>
          <w:szCs w:val="20"/>
          <w:color w:val="auto"/>
        </w:rPr>
        <w:t>and the term of the Option will not exceed five years. All Incentive Stock Options will be subject to and construed consistently with</w:t>
      </w:r>
    </w:p>
    <w:p>
      <w:pPr>
        <w:spacing w:after="0" w:line="204" w:lineRule="auto"/>
        <w:rPr>
          <w:sz w:val="20"/>
          <w:szCs w:val="20"/>
          <w:color w:val="auto"/>
        </w:rPr>
      </w:pPr>
      <w:r>
        <w:rPr>
          <w:rFonts w:ascii="Times New Roman" w:cs="Times New Roman" w:eastAsia="Times New Roman" w:hAnsi="Times New Roman"/>
          <w:sz w:val="20"/>
          <w:szCs w:val="20"/>
          <w:color w:val="auto"/>
        </w:rPr>
        <w:t>Section 422 of the Code. By accepting an Incentive Stock Option, the Participant agrees to give prompt notice to the Company of dispositions or other transfers (other than in connection with a Change in Control) of Shares acquired under the Option made within (i) two</w:t>
      </w:r>
    </w:p>
    <w:p>
      <w:pPr>
        <w:spacing w:after="0" w:line="211" w:lineRule="auto"/>
        <w:rPr>
          <w:sz w:val="20"/>
          <w:szCs w:val="20"/>
          <w:color w:val="auto"/>
        </w:rPr>
      </w:pPr>
      <w:r>
        <w:rPr>
          <w:rFonts w:ascii="Times New Roman" w:cs="Times New Roman" w:eastAsia="Times New Roman" w:hAnsi="Times New Roman"/>
          <w:sz w:val="20"/>
          <w:szCs w:val="20"/>
          <w:color w:val="auto"/>
        </w:rPr>
        <w:t>years from the grant date of the Option or (ii) one year after the transfer of such Shares to the Participant, specifying the date of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disposition or other transfer and the amount the Participant realized, in cash, other property, assumption of indebtedness or other consideration, in such disposition or other transfer. Neither the Company nor the Administrator will be liable to a Participant, or any other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party, if an Incentive Stock Option fails or ceases to qualify as an “incentive stock option” under Section 422 of the Code. Any Incentive Stock Option or portion thereof that fails to qualify as an “incentive stock option” under Section 422 of the Code for any reason, including</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becoming exercisable with respect to Shares having a fair market value exceeding the $100,000 limitation under Treasury Regulation Section 1.422-4, will be a Non-Qualified Stock Option.</w:t>
      </w:r>
    </w:p>
    <w:p>
      <w:pPr>
        <w:spacing w:after="0" w:line="1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X.</w:t>
      </w:r>
    </w:p>
    <w:p>
      <w:pPr>
        <w:ind w:left="4760"/>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u w:val="single" w:color="auto"/>
          <w:color w:val="auto"/>
        </w:rPr>
        <w:t>No Right to Employment or Other Status</w:t>
      </w:r>
      <w:r>
        <w:rPr>
          <w:rFonts w:ascii="Times New Roman" w:cs="Times New Roman" w:eastAsia="Times New Roman" w:hAnsi="Times New Roman"/>
          <w:sz w:val="20"/>
          <w:szCs w:val="20"/>
          <w:color w:val="auto"/>
        </w:rPr>
        <w:t>. No person will have any claim or right to be granted an Award, and the grant of an Award will not be construed as giving a Participant the right to continued employment or any other relationship with the Company.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Company expressly reserves the right at any time to dismiss or otherwise terminate its relationship with a Participant free from any liability or claim under the Plan or any Award, except as expressly provided in an Award Agreement.</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u w:val="single" w:color="auto"/>
          <w:color w:val="auto"/>
        </w:rPr>
        <w:t>No Rights as Stockholder; Certificates</w:t>
      </w:r>
      <w:r>
        <w:rPr>
          <w:rFonts w:ascii="Times New Roman" w:cs="Times New Roman" w:eastAsia="Times New Roman" w:hAnsi="Times New Roman"/>
          <w:sz w:val="20"/>
          <w:szCs w:val="20"/>
          <w:color w:val="auto"/>
        </w:rPr>
        <w:t>. Subject to the Award Agreement, no Participant or Designated Beneficiary will have any rights as a stockholder with respect to any Shares to be distributed under an Award until becoming the record holder of such Shares.</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Notwithstanding any other provision of the Plan, unless the Administrator otherwise determines or Applicable Laws require, the Company will not be required to deliver to any Participant certificates evidencing Shares issued in connection with any Award and instead such Shares</w:t>
      </w:r>
    </w:p>
    <w:p>
      <w:pPr>
        <w:spacing w:after="0" w:line="228" w:lineRule="auto"/>
        <w:rPr>
          <w:sz w:val="20"/>
          <w:szCs w:val="20"/>
          <w:color w:val="auto"/>
        </w:rPr>
      </w:pPr>
      <w:r>
        <w:rPr>
          <w:rFonts w:ascii="Times New Roman" w:cs="Times New Roman" w:eastAsia="Times New Roman" w:hAnsi="Times New Roman"/>
          <w:sz w:val="20"/>
          <w:szCs w:val="20"/>
          <w:color w:val="auto"/>
        </w:rPr>
        <w:t>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10.3 </w:t>
      </w:r>
      <w:r>
        <w:rPr>
          <w:rFonts w:ascii="Times New Roman" w:cs="Times New Roman" w:eastAsia="Times New Roman" w:hAnsi="Times New Roman"/>
          <w:sz w:val="20"/>
          <w:szCs w:val="20"/>
          <w:u w:val="single" w:color="auto"/>
          <w:color w:val="auto"/>
        </w:rPr>
        <w:t>Effective Date and Term of Restated Plan</w:t>
      </w:r>
      <w:r>
        <w:rPr>
          <w:rFonts w:ascii="Times New Roman" w:cs="Times New Roman" w:eastAsia="Times New Roman" w:hAnsi="Times New Roman"/>
          <w:sz w:val="20"/>
          <w:szCs w:val="20"/>
          <w:color w:val="auto"/>
        </w:rPr>
        <w:t>. This amended and restated Plan will become effective on May 18, 2026 (the “</w:t>
      </w:r>
      <w:r>
        <w:rPr>
          <w:rFonts w:ascii="Times New Roman" w:cs="Times New Roman" w:eastAsia="Times New Roman" w:hAnsi="Times New Roman"/>
          <w:sz w:val="20"/>
          <w:szCs w:val="20"/>
          <w:b w:val="1"/>
          <w:bCs w:val="1"/>
          <w:i w:val="1"/>
          <w:iCs w:val="1"/>
          <w:color w:val="auto"/>
        </w:rPr>
        <w:t>Restatement Effective Date</w:t>
      </w:r>
      <w:r>
        <w:rPr>
          <w:rFonts w:ascii="Times New Roman" w:cs="Times New Roman" w:eastAsia="Times New Roman" w:hAnsi="Times New Roman"/>
          <w:sz w:val="20"/>
          <w:szCs w:val="20"/>
          <w:color w:val="auto"/>
        </w:rPr>
        <w:t>”). The continued effectiveness of this amended and restated Plan will be subject to the occurrence of the Notes</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Exchange Final Closing and approval of the Company’s stockholders within twelve (12) months after the date of the Board’s adoption of this amended and restated Plan. Unless earlier terminated by the Board, to the extent such requirements are met, this amended and restated Plan</w:t>
      </w:r>
    </w:p>
    <w:p>
      <w:pPr>
        <w:spacing w:after="0" w:line="228" w:lineRule="auto"/>
        <w:rPr>
          <w:sz w:val="20"/>
          <w:szCs w:val="20"/>
          <w:color w:val="auto"/>
        </w:rPr>
      </w:pPr>
      <w:r>
        <w:rPr>
          <w:rFonts w:ascii="Times New Roman" w:cs="Times New Roman" w:eastAsia="Times New Roman" w:hAnsi="Times New Roman"/>
          <w:sz w:val="20"/>
          <w:szCs w:val="20"/>
          <w:color w:val="auto"/>
        </w:rPr>
        <w:t>will remain in effect until the tenth anniversary of the earlier of (i) the date the Board adopts this amended and restated Plan or (ii) the date the Company’s stockholders approved this amended and restated Plan, but Awards previously granted may extend beyond that date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0"/>
          <w:szCs w:val="20"/>
          <w:color w:val="auto"/>
        </w:rPr>
        <w:t>accordance with the Plan. Awards may be granted or awarded on or after the Restatement Effective Date but prior to the Notes Exchange</w:t>
      </w:r>
    </w:p>
    <w:p>
      <w:pPr>
        <w:jc w:val="both"/>
        <w:spacing w:after="0" w:line="204" w:lineRule="auto"/>
        <w:rPr>
          <w:sz w:val="20"/>
          <w:szCs w:val="20"/>
          <w:color w:val="auto"/>
        </w:rPr>
      </w:pPr>
      <w:r>
        <w:rPr>
          <w:rFonts w:ascii="Times New Roman" w:cs="Times New Roman" w:eastAsia="Times New Roman" w:hAnsi="Times New Roman"/>
          <w:sz w:val="20"/>
          <w:szCs w:val="20"/>
          <w:color w:val="auto"/>
        </w:rPr>
        <w:t>Final Closing or stockholder approval of this amended and restated Plan; provided that no shares of Common Stock to be issued out of the increase to the Overall Share Limit under this Restated Plan over the share reserve under the Existing Plan shall be issued upon the exercise,</w:t>
      </w:r>
    </w:p>
    <w:p>
      <w:pPr>
        <w:spacing w:after="0" w:line="223" w:lineRule="auto"/>
        <w:rPr>
          <w:sz w:val="20"/>
          <w:szCs w:val="20"/>
          <w:color w:val="auto"/>
        </w:rPr>
      </w:pPr>
      <w:r>
        <w:rPr>
          <w:rFonts w:ascii="Times New Roman" w:cs="Times New Roman" w:eastAsia="Times New Roman" w:hAnsi="Times New Roman"/>
          <w:sz w:val="19"/>
          <w:szCs w:val="19"/>
          <w:color w:val="auto"/>
        </w:rPr>
        <w:t>vesting, distribution or payment of any such Awards prior to later of (i) the Notes Exchange Final Closing and (ii) the date this amended and</w:t>
      </w:r>
    </w:p>
    <w:p>
      <w:pPr>
        <w:jc w:val="both"/>
        <w:spacing w:after="0" w:line="215" w:lineRule="auto"/>
        <w:rPr>
          <w:sz w:val="20"/>
          <w:szCs w:val="20"/>
          <w:color w:val="auto"/>
        </w:rPr>
      </w:pPr>
      <w:r>
        <w:rPr>
          <w:rFonts w:ascii="Times New Roman" w:cs="Times New Roman" w:eastAsia="Times New Roman" w:hAnsi="Times New Roman"/>
          <w:sz w:val="19"/>
          <w:szCs w:val="19"/>
          <w:color w:val="auto"/>
        </w:rPr>
        <w:t>restated Plan is approved by the Company’s stockholders. If either the Notes Exchange Final Closing does not occur or this amended and restated Plan is not approved by the Company’s stockholders, in either case prior to the end of the twelve (12) month period described above,</w:t>
      </w:r>
    </w:p>
    <w:p>
      <w:pPr>
        <w:spacing w:after="0" w:line="211" w:lineRule="auto"/>
        <w:rPr>
          <w:sz w:val="20"/>
          <w:szCs w:val="20"/>
          <w:color w:val="auto"/>
        </w:rPr>
      </w:pPr>
      <w:r>
        <w:rPr>
          <w:rFonts w:ascii="Times New Roman" w:cs="Times New Roman" w:eastAsia="Times New Roman" w:hAnsi="Times New Roman"/>
          <w:sz w:val="20"/>
          <w:szCs w:val="20"/>
          <w:color w:val="auto"/>
        </w:rPr>
        <w:t>this amended and restated Plan, and all Awards previously granted or awarded pursuant to this amended and restated Plan on or after the</w:t>
      </w:r>
    </w:p>
    <w:p>
      <w:pPr>
        <w:spacing w:after="0" w:line="204" w:lineRule="auto"/>
        <w:rPr>
          <w:sz w:val="20"/>
          <w:szCs w:val="20"/>
          <w:color w:val="auto"/>
        </w:rPr>
      </w:pPr>
      <w:r>
        <w:rPr>
          <w:rFonts w:ascii="Times New Roman" w:cs="Times New Roman" w:eastAsia="Times New Roman" w:hAnsi="Times New Roman"/>
          <w:sz w:val="20"/>
          <w:szCs w:val="20"/>
          <w:color w:val="auto"/>
        </w:rPr>
        <w:t>Restatement Effective Date out of the increase to the Overall Share Limit under this Restated Plan over the share reserve under the Existing Plan, shall thereupon be cancelled and become null and void, and the Existing Plan will continue in full force and effect in accordance with</w:t>
      </w:r>
    </w:p>
    <w:p>
      <w:pPr>
        <w:spacing w:after="0" w:line="211" w:lineRule="auto"/>
        <w:rPr>
          <w:sz w:val="20"/>
          <w:szCs w:val="20"/>
          <w:color w:val="auto"/>
        </w:rPr>
      </w:pPr>
      <w:r>
        <w:rPr>
          <w:rFonts w:ascii="Times New Roman" w:cs="Times New Roman" w:eastAsia="Times New Roman" w:hAnsi="Times New Roman"/>
          <w:sz w:val="20"/>
          <w:szCs w:val="20"/>
          <w:color w:val="auto"/>
        </w:rPr>
        <w:t>its terms, including the existing Overall Share Limit thereunder. For the avoidance of doubt, in the event the Notes Exchange Final Closing</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does not occur or this amended and restated Plan is not approved by the Company’s stockholders as required herein and this amended and restated Plan therefore terminates, any Awards granted following the Restatement Effective Date but out of the existing share reserve under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the Existing Plan shall be deemed granted under the Existing Plan as in effect immediately prior to the Restatement Effective Date out of the Overall Share Limit thereunder.</w:t>
      </w:r>
    </w:p>
    <w:p>
      <w:pPr>
        <w:spacing w:after="0" w:line="14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10.4 </w:t>
      </w:r>
      <w:r>
        <w:rPr>
          <w:rFonts w:ascii="Times New Roman" w:cs="Times New Roman" w:eastAsia="Times New Roman" w:hAnsi="Times New Roman"/>
          <w:sz w:val="19"/>
          <w:szCs w:val="19"/>
          <w:u w:val="single" w:color="auto"/>
          <w:color w:val="auto"/>
        </w:rPr>
        <w:t>Amendment of Plan</w:t>
      </w:r>
      <w:r>
        <w:rPr>
          <w:rFonts w:ascii="Times New Roman" w:cs="Times New Roman" w:eastAsia="Times New Roman" w:hAnsi="Times New Roman"/>
          <w:sz w:val="19"/>
          <w:szCs w:val="19"/>
          <w:color w:val="auto"/>
        </w:rPr>
        <w:t>. The Administrator may amend, suspend or terminate the Plan at any time; provided that no amendment, other than an increase to the Overall Share Limit, may materially and adversely affect any Award outstanding at the time of such amendment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without the affected Participant’s consent. No Awards may be granted under the Plan during any suspension period or after the Plan’s termination. Awards outstanding at the time of any Plan suspension or termination will continue to be governed by the Plan and the Award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Agreement, as in effect before such suspension or termination. The Board will obtain stockholder approval of any Plan amendment to the extent necessary to comply with Applicable Laws.</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19"/>
          <w:szCs w:val="19"/>
          <w:u w:val="single" w:color="auto"/>
          <w:color w:val="auto"/>
        </w:rPr>
        <w:t>Provisions for Foreign Participants</w:t>
      </w:r>
      <w:r>
        <w:rPr>
          <w:rFonts w:ascii="Times New Roman" w:cs="Times New Roman" w:eastAsia="Times New Roman" w:hAnsi="Times New Roman"/>
          <w:sz w:val="19"/>
          <w:szCs w:val="19"/>
          <w:color w:val="auto"/>
        </w:rPr>
        <w:t>. The Administrator may modify Awards granted to Participants who are foreign nationals</w:t>
      </w:r>
    </w:p>
    <w:p>
      <w:pPr>
        <w:spacing w:after="0" w:line="221" w:lineRule="auto"/>
        <w:rPr>
          <w:sz w:val="20"/>
          <w:szCs w:val="20"/>
          <w:color w:val="auto"/>
        </w:rPr>
      </w:pPr>
      <w:r>
        <w:rPr>
          <w:rFonts w:ascii="Times New Roman" w:cs="Times New Roman" w:eastAsia="Times New Roman" w:hAnsi="Times New Roman"/>
          <w:sz w:val="20"/>
          <w:szCs w:val="20"/>
          <w:color w:val="auto"/>
        </w:rPr>
        <w:t>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5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w:t>
      </w:r>
    </w:p>
    <w:p>
      <w:pPr>
        <w:jc w:val="both"/>
        <w:ind w:firstLine="1304"/>
        <w:spacing w:after="0" w:line="216" w:lineRule="auto"/>
        <w:tabs>
          <w:tab w:leader="none" w:pos="1934"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w:t>
      </w:r>
    </w:p>
    <w:p>
      <w:pPr>
        <w:spacing w:after="0" w:line="2" w:lineRule="exact"/>
        <w:rPr>
          <w:rFonts w:ascii="Times New Roman" w:cs="Times New Roman" w:eastAsia="Times New Roman" w:hAnsi="Times New Roman"/>
          <w:sz w:val="19"/>
          <w:szCs w:val="19"/>
          <w:color w:val="auto"/>
        </w:rPr>
      </w:pPr>
    </w:p>
    <w:p>
      <w:pPr>
        <w:jc w:val="both"/>
        <w:ind w:firstLine="8"/>
        <w:spacing w:after="0" w:line="212" w:lineRule="auto"/>
        <w:tabs>
          <w:tab w:leader="none" w:pos="32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63"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2"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Separation from Service</w:t>
      </w:r>
      <w:r>
        <w:rPr>
          <w:rFonts w:ascii="Times New Roman" w:cs="Times New Roman" w:eastAsia="Times New Roman" w:hAnsi="Times New Roman"/>
          <w:sz w:val="20"/>
          <w:szCs w:val="20"/>
          <w:color w:val="auto"/>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81" w:name="page82"/>
    <w:bookmarkEnd w:id="81"/>
    <w:p>
      <w:pPr>
        <w:jc w:val="both"/>
        <w:ind w:firstLine="1304"/>
        <w:spacing w:after="0" w:line="215" w:lineRule="auto"/>
        <w:tabs>
          <w:tab w:leader="none" w:pos="193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to Specified Employees</w:t>
      </w:r>
      <w:r>
        <w:rPr>
          <w:rFonts w:ascii="Times New Roman" w:cs="Times New Roman" w:eastAsia="Times New Roman" w:hAnsi="Times New Roman"/>
          <w:sz w:val="20"/>
          <w:szCs w:val="20"/>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47"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10.7 </w:t>
      </w:r>
      <w:r>
        <w:rPr>
          <w:rFonts w:ascii="Times New Roman" w:cs="Times New Roman" w:eastAsia="Times New Roman" w:hAnsi="Times New Roman"/>
          <w:sz w:val="20"/>
          <w:szCs w:val="20"/>
          <w:u w:val="single" w:color="auto"/>
          <w:color w:val="auto"/>
        </w:rPr>
        <w:t>Limitations on Liability</w:t>
      </w:r>
      <w:r>
        <w:rPr>
          <w:rFonts w:ascii="Times New Roman" w:cs="Times New Roman" w:eastAsia="Times New Roman" w:hAnsi="Times New Roman"/>
          <w:sz w:val="20"/>
          <w:szCs w:val="20"/>
          <w:color w:val="auto"/>
        </w:rPr>
        <w:t>. Notwithstanding any other provisions of the Plan, to the extent permitted under Applicable Laws and the Company’s organizational documents, (a) no individual acting as a director, officer, other employee or agent of the Company or any</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Subsidiary will be liable to any Participant, former Participant, spouse, beneficiary, or any other person for any claim, loss, liability, or expense incurred in connection with the Plan or any Award, and such individual will not be personally liable with respect to the Plan because</w:t>
      </w:r>
    </w:p>
    <w:p>
      <w:pPr>
        <w:spacing w:after="0" w:line="211" w:lineRule="auto"/>
        <w:rPr>
          <w:sz w:val="20"/>
          <w:szCs w:val="20"/>
          <w:color w:val="auto"/>
        </w:rPr>
      </w:pPr>
      <w:r>
        <w:rPr>
          <w:rFonts w:ascii="Times New Roman" w:cs="Times New Roman" w:eastAsia="Times New Roman" w:hAnsi="Times New Roman"/>
          <w:sz w:val="20"/>
          <w:szCs w:val="20"/>
          <w:color w:val="auto"/>
        </w:rPr>
        <w:t>of any contract or other instrument executed in his or her capacity as an Administrator, director, officer, other employee or agent of the</w:t>
      </w:r>
    </w:p>
    <w:p>
      <w:pPr>
        <w:spacing w:after="0" w:line="204" w:lineRule="auto"/>
        <w:rPr>
          <w:sz w:val="20"/>
          <w:szCs w:val="20"/>
          <w:color w:val="auto"/>
        </w:rPr>
      </w:pPr>
      <w:r>
        <w:rPr>
          <w:rFonts w:ascii="Times New Roman" w:cs="Times New Roman" w:eastAsia="Times New Roman" w:hAnsi="Times New Roman"/>
          <w:sz w:val="20"/>
          <w:szCs w:val="20"/>
          <w:color w:val="auto"/>
        </w:rPr>
        <w:t>Company or any Subsidiary, and (b) the Company will indemnify and hold harmless each director, officer, other employee and agent of the Company or any Subsidiary that has been or will be granted or delegated any duty or power relating to the Plan’s administration or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4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20"/>
          <w:szCs w:val="20"/>
          <w:u w:val="single" w:color="auto"/>
          <w:color w:val="auto"/>
        </w:rPr>
        <w:t>Lock-Up Period</w:t>
      </w:r>
      <w:r>
        <w:rPr>
          <w:rFonts w:ascii="Times New Roman" w:cs="Times New Roman" w:eastAsia="Times New Roman" w:hAnsi="Times New Roman"/>
          <w:sz w:val="20"/>
          <w:szCs w:val="20"/>
          <w:color w:val="auto"/>
        </w:rPr>
        <w:t>. The Company may, at the request of any underwriter representative or otherwise, in connection with</w:t>
      </w:r>
    </w:p>
    <w:p>
      <w:pPr>
        <w:spacing w:after="0" w:line="204" w:lineRule="auto"/>
        <w:rPr>
          <w:sz w:val="20"/>
          <w:szCs w:val="20"/>
          <w:color w:val="auto"/>
        </w:rPr>
      </w:pPr>
      <w:r>
        <w:rPr>
          <w:rFonts w:ascii="Times New Roman" w:cs="Times New Roman" w:eastAsia="Times New Roman" w:hAnsi="Times New Roman"/>
          <w:sz w:val="20"/>
          <w:szCs w:val="20"/>
          <w:color w:val="auto"/>
        </w:rPr>
        <w:t>registering the offering of any Company securities under the Securities Act, prohibit Participants from, directly or indirectly, selling or otherwise transferring any Shares or other Company securities during a period of up to one hundred eighty days following the effective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a Company registration statement filed under the Securities Act, or such longer period as determined by the underwriter.</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10.9 </w:t>
      </w:r>
      <w:r>
        <w:rPr>
          <w:rFonts w:ascii="Times New Roman" w:cs="Times New Roman" w:eastAsia="Times New Roman" w:hAnsi="Times New Roman"/>
          <w:sz w:val="20"/>
          <w:szCs w:val="20"/>
          <w:u w:val="single" w:color="auto"/>
          <w:color w:val="auto"/>
        </w:rPr>
        <w:t>Data Privacy</w:t>
      </w:r>
      <w:r>
        <w:rPr>
          <w:rFonts w:ascii="Times New Roman" w:cs="Times New Roman" w:eastAsia="Times New Roman" w:hAnsi="Times New Roman"/>
          <w:sz w:val="20"/>
          <w:szCs w:val="20"/>
          <w:color w:val="auto"/>
        </w:rPr>
        <w:t>. As a condition for receiving any Award, each Participant explicitly and unambiguously consents to the collection, use and transfer, in electronic or other form, of personal data as described in this section by and among the Company and its</w:t>
      </w:r>
    </w:p>
    <w:p>
      <w:pPr>
        <w:spacing w:after="0" w:line="212" w:lineRule="auto"/>
        <w:rPr>
          <w:sz w:val="20"/>
          <w:szCs w:val="20"/>
          <w:color w:val="auto"/>
        </w:rPr>
      </w:pPr>
      <w:r>
        <w:rPr>
          <w:rFonts w:ascii="Times New Roman" w:cs="Times New Roman" w:eastAsia="Times New Roman" w:hAnsi="Times New Roman"/>
          <w:sz w:val="20"/>
          <w:szCs w:val="20"/>
          <w:color w:val="auto"/>
        </w:rPr>
        <w:t>Subsidiaries and affiliates exclusively for implementing, administering and managing the Participant’s participation in the Plan.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Company and its Subsidiaries and affiliates may hold certain personal information about a Participant, including the Participant’s name, address and telephone number; birthdate; social security, insurance number or other identification number; salary; nationality; job title(s); any</w:t>
      </w:r>
    </w:p>
    <w:p>
      <w:pPr>
        <w:spacing w:after="0" w:line="211" w:lineRule="auto"/>
        <w:rPr>
          <w:sz w:val="20"/>
          <w:szCs w:val="20"/>
          <w:color w:val="auto"/>
        </w:rPr>
      </w:pPr>
      <w:r>
        <w:rPr>
          <w:rFonts w:ascii="Times New Roman" w:cs="Times New Roman" w:eastAsia="Times New Roman" w:hAnsi="Times New Roman"/>
          <w:sz w:val="20"/>
          <w:szCs w:val="20"/>
          <w:color w:val="auto"/>
        </w:rPr>
        <w:t>Shares held in the Company or its Subsidiaries and affiliates; and Award details, to implement, manage and administer the Plan and Awards</w:t>
      </w:r>
    </w:p>
    <w:p>
      <w:pPr>
        <w:spacing w:after="0" w:line="204" w:lineRule="auto"/>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Data</w:t>
      </w:r>
      <w:r>
        <w:rPr>
          <w:rFonts w:ascii="Times New Roman" w:cs="Times New Roman" w:eastAsia="Times New Roman" w:hAnsi="Times New Roman"/>
          <w:sz w:val="20"/>
          <w:szCs w:val="20"/>
          <w:color w:val="auto"/>
        </w:rPr>
        <w:t>”). The Company and its Subsidiaries and affiliates may transfer the Data amongst themselves as necessary to implement, administer and manage a Participant’s participation in the Plan, and the Company and its Subsidiaries and affiliates may transfer the Data to</w:t>
      </w:r>
    </w:p>
    <w:p>
      <w:pPr>
        <w:spacing w:after="0" w:line="211" w:lineRule="auto"/>
        <w:rPr>
          <w:sz w:val="20"/>
          <w:szCs w:val="20"/>
          <w:color w:val="auto"/>
        </w:rPr>
      </w:pPr>
      <w:r>
        <w:rPr>
          <w:rFonts w:ascii="Times New Roman" w:cs="Times New Roman" w:eastAsia="Times New Roman" w:hAnsi="Times New Roman"/>
          <w:sz w:val="20"/>
          <w:szCs w:val="20"/>
          <w:color w:val="auto"/>
        </w:rPr>
        <w:t>third parties assisting the Company with Plan implementation, administration and management. These recipients may be located in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Participant’s country, or elsewhere, and the Participant’s country may have different data privacy laws and protections than the recipients’ country. By accepting an Award, each Participant authorizes such recipients to receive, possess, use, retain and transfer the Data, in electronic</w:t>
      </w:r>
    </w:p>
    <w:p>
      <w:pPr>
        <w:spacing w:after="0" w:line="211" w:lineRule="auto"/>
        <w:rPr>
          <w:sz w:val="20"/>
          <w:szCs w:val="20"/>
          <w:color w:val="auto"/>
        </w:rPr>
      </w:pPr>
      <w:r>
        <w:rPr>
          <w:rFonts w:ascii="Times New Roman" w:cs="Times New Roman" w:eastAsia="Times New Roman" w:hAnsi="Times New Roman"/>
          <w:sz w:val="20"/>
          <w:szCs w:val="20"/>
          <w:color w:val="auto"/>
        </w:rPr>
        <w:t>or other form, to implement, administer and manage the Participant’s participation in the Plan, including any required Data transfer to a</w:t>
      </w:r>
    </w:p>
    <w:p>
      <w:pPr>
        <w:spacing w:after="0" w:line="204" w:lineRule="auto"/>
        <w:rPr>
          <w:sz w:val="20"/>
          <w:szCs w:val="20"/>
          <w:color w:val="auto"/>
        </w:rPr>
      </w:pPr>
      <w:r>
        <w:rPr>
          <w:rFonts w:ascii="Times New Roman" w:cs="Times New Roman" w:eastAsia="Times New Roman" w:hAnsi="Times New Roman"/>
          <w:sz w:val="20"/>
          <w:szCs w:val="20"/>
          <w:color w:val="auto"/>
        </w:rPr>
        <w:t>broker or other third party with whom the Company or the Participant may elect to deposit any Shares. The Data related to a Participant will be held only as long as necessary to implement, administer, and manage the Participant’s participation in the Plan. A Participant may, at any</w:t>
      </w:r>
    </w:p>
    <w:p>
      <w:pPr>
        <w:spacing w:after="0" w:line="211" w:lineRule="auto"/>
        <w:rPr>
          <w:sz w:val="20"/>
          <w:szCs w:val="20"/>
          <w:color w:val="auto"/>
        </w:rPr>
      </w:pPr>
      <w:r>
        <w:rPr>
          <w:rFonts w:ascii="Times New Roman" w:cs="Times New Roman" w:eastAsia="Times New Roman" w:hAnsi="Times New Roman"/>
          <w:sz w:val="20"/>
          <w:szCs w:val="20"/>
          <w:color w:val="auto"/>
        </w:rPr>
        <w:t>time, view the Data that the Company holds regarding such Participant, request additional information about the storage and processing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Data regarding such Participant, recommend any necessary corrections to the Data regarding the Participant or refuse or withdraw the consents in this Section 10.9 in writing, without cost, by contacting the local human resources representative. The Company may cancel</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Participant’s ability to participate in the Plan and, in the Administrator’s discretion, the Participant may forfeit any outstanding Awards if the Participant refuses or withdraws the consents in this Section 10.9. For more information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0"/>
          <w:szCs w:val="20"/>
          <w:color w:val="auto"/>
        </w:rPr>
        <w:t>the consequences of refusing or withdrawing consent, Participants may contact their local human resources representative.</w:t>
      </w:r>
    </w:p>
    <w:p>
      <w:pPr>
        <w:spacing w:after="0" w:line="189"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10.10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w:t>
      </w:r>
    </w:p>
    <w:p>
      <w:pPr>
        <w:spacing w:after="0"/>
        <w:rPr>
          <w:sz w:val="20"/>
          <w:szCs w:val="20"/>
          <w:color w:val="auto"/>
        </w:rPr>
      </w:pPr>
      <w:r>
        <w:rPr>
          <w:rFonts w:ascii="Times New Roman" w:cs="Times New Roman" w:eastAsia="Times New Roman" w:hAnsi="Times New Roman"/>
          <w:sz w:val="20"/>
          <w:szCs w:val="20"/>
          <w:color w:val="auto"/>
        </w:rPr>
        <w:t>been excluded, and the illegal or invalid action will be null and void.</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10.11 </w:t>
      </w:r>
      <w:r>
        <w:rPr>
          <w:rFonts w:ascii="Times New Roman" w:cs="Times New Roman" w:eastAsia="Times New Roman" w:hAnsi="Times New Roman"/>
          <w:sz w:val="20"/>
          <w:szCs w:val="20"/>
          <w:u w:val="single" w:color="auto"/>
          <w:color w:val="auto"/>
        </w:rPr>
        <w:t>Governing Documents</w:t>
      </w:r>
      <w:r>
        <w:rPr>
          <w:rFonts w:ascii="Times New Roman" w:cs="Times New Roman" w:eastAsia="Times New Roman" w:hAnsi="Times New Roman"/>
          <w:sz w:val="20"/>
          <w:szCs w:val="20"/>
          <w:color w:val="auto"/>
        </w:rPr>
        <w:t>. If any contradiction occurs between the Plan and any Award Agreement or other written agreement between a Participant and the Company (or any Subsidiary) that the Administrator has approved, the Plan will govern, unless it is expressly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specified in such Award Agreement or other written document that a specific provision of the Plan will not apply.</w:t>
      </w:r>
    </w:p>
    <w:p>
      <w:pPr>
        <w:spacing w:after="0" w:line="16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9"/>
          <w:szCs w:val="19"/>
          <w:color w:val="auto"/>
        </w:rPr>
        <w:t xml:space="preserve">10.12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14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20"/>
          <w:szCs w:val="20"/>
          <w:u w:val="single" w:color="auto"/>
          <w:color w:val="auto"/>
        </w:rPr>
        <w:t>Claw-back Provisions</w:t>
      </w:r>
      <w:r>
        <w:rPr>
          <w:rFonts w:ascii="Times New Roman" w:cs="Times New Roman" w:eastAsia="Times New Roman" w:hAnsi="Times New Roman"/>
          <w:sz w:val="20"/>
          <w:szCs w:val="20"/>
          <w:color w:val="auto"/>
        </w:rPr>
        <w:t>. All Awards (including, without limitation, any proceeds, gains or other economic benefit actually or</w:t>
      </w:r>
    </w:p>
    <w:p>
      <w:pPr>
        <w:spacing w:after="0" w:line="204" w:lineRule="auto"/>
        <w:rPr>
          <w:sz w:val="20"/>
          <w:szCs w:val="20"/>
          <w:color w:val="auto"/>
        </w:rPr>
      </w:pPr>
      <w:r>
        <w:rPr>
          <w:rFonts w:ascii="Times New Roman" w:cs="Times New Roman" w:eastAsia="Times New Roman" w:hAnsi="Times New Roman"/>
          <w:sz w:val="20"/>
          <w:szCs w:val="20"/>
          <w:color w:val="auto"/>
        </w:rPr>
        <w:t>constructively received by Participant upon any receipt or exercise of any Award or upon the receipt or resale of any shares of Common Stock underlying the Award) shall be subject to the provisions of any claw-back policy implemented by the Company, including, without</w:t>
      </w:r>
    </w:p>
    <w:p>
      <w:pPr>
        <w:spacing w:after="0" w:line="211" w:lineRule="auto"/>
        <w:rPr>
          <w:sz w:val="20"/>
          <w:szCs w:val="20"/>
          <w:color w:val="auto"/>
        </w:rPr>
      </w:pPr>
      <w:r>
        <w:rPr>
          <w:rFonts w:ascii="Times New Roman" w:cs="Times New Roman" w:eastAsia="Times New Roman" w:hAnsi="Times New Roman"/>
          <w:sz w:val="20"/>
          <w:szCs w:val="20"/>
          <w:color w:val="auto"/>
        </w:rPr>
        <w:t>limitation, any claw-back policy adopted to comply with Applicable Laws (including the Company’s Policy for Recovery of Erroneously</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Awarded Compensation adopted pursuant to the Dodd-Frank Wall Street Reform and Consumer Protection Act and any rules or regulations promulgated thereunder) as and to the extent set forth in such claw-back policy or the Award Agreement.</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10.14 </w:t>
      </w:r>
      <w:r>
        <w:rPr>
          <w:rFonts w:ascii="Times New Roman" w:cs="Times New Roman" w:eastAsia="Times New Roman" w:hAnsi="Times New Roman"/>
          <w:sz w:val="20"/>
          <w:szCs w:val="20"/>
          <w:u w:val="single" w:color="auto"/>
          <w:color w:val="auto"/>
        </w:rPr>
        <w:t>Titles and Headings</w:t>
      </w:r>
      <w:r>
        <w:rPr>
          <w:rFonts w:ascii="Times New Roman" w:cs="Times New Roman" w:eastAsia="Times New Roman" w:hAnsi="Times New Roman"/>
          <w:sz w:val="20"/>
          <w:szCs w:val="20"/>
          <w:color w:val="auto"/>
        </w:rPr>
        <w:t>. The titles and headings in the Plan are for convenience of reference only and, if any conflict, the Plan’s text, rather than such titles or headings, will control.</w:t>
      </w:r>
    </w:p>
    <w:p>
      <w:pPr>
        <w:spacing w:after="0" w:line="14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10.15</w:t>
      </w:r>
      <w:r>
        <w:rPr>
          <w:sz w:val="20"/>
          <w:szCs w:val="20"/>
          <w:color w:val="auto"/>
        </w:rPr>
        <w:tab/>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is intended to conform to the extent necessary with</w:t>
      </w:r>
    </w:p>
    <w:p>
      <w:pPr>
        <w:spacing w:after="0" w:line="204" w:lineRule="auto"/>
        <w:rPr>
          <w:sz w:val="20"/>
          <w:szCs w:val="20"/>
          <w:color w:val="auto"/>
        </w:rPr>
      </w:pPr>
      <w:r>
        <w:rPr>
          <w:rFonts w:ascii="Times New Roman" w:cs="Times New Roman" w:eastAsia="Times New Roman" w:hAnsi="Times New Roman"/>
          <w:sz w:val="20"/>
          <w:szCs w:val="20"/>
          <w:color w:val="auto"/>
        </w:rPr>
        <w:t>Applicable Laws. Notwithstanding anything herein to the contrary, the Plan and all Awards will be administered only in conformance with Applicable Laws. To the extent Applicable Laws permit, the Plan and all Award Agreements will be deemed amended as necessary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conform to Applicable Laws.</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10.16 </w:t>
      </w:r>
      <w:r>
        <w:rPr>
          <w:rFonts w:ascii="Times New Roman" w:cs="Times New Roman" w:eastAsia="Times New Roman" w:hAnsi="Times New Roman"/>
          <w:sz w:val="20"/>
          <w:szCs w:val="20"/>
          <w:u w:val="single" w:color="auto"/>
          <w:color w:val="auto"/>
        </w:rPr>
        <w:t>Relationship to Other Benefits</w:t>
      </w:r>
      <w:r>
        <w:rPr>
          <w:rFonts w:ascii="Times New Roman" w:cs="Times New Roman" w:eastAsia="Times New Roman" w:hAnsi="Times New Roman"/>
          <w:sz w:val="20"/>
          <w:szCs w:val="20"/>
          <w:color w:val="auto"/>
        </w:rPr>
        <w:t>. No payment under the Plan will be taken into account in determining any benefits under any pension, retirement, savings, profit sharing, group insurance, welfare or other benefit plan of the Company or any Subsidiary except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expressly provided in writing in such other plan or an agreement thereunder.</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10.17 </w:t>
      </w:r>
      <w:r>
        <w:rPr>
          <w:rFonts w:ascii="Times New Roman" w:cs="Times New Roman" w:eastAsia="Times New Roman" w:hAnsi="Times New Roman"/>
          <w:sz w:val="20"/>
          <w:szCs w:val="20"/>
          <w:u w:val="single" w:color="auto"/>
          <w:color w:val="auto"/>
        </w:rPr>
        <w:t>Broker-Assisted Sales</w:t>
      </w:r>
      <w:r>
        <w:rPr>
          <w:rFonts w:ascii="Times New Roman" w:cs="Times New Roman" w:eastAsia="Times New Roman" w:hAnsi="Times New Roman"/>
          <w:sz w:val="20"/>
          <w:szCs w:val="20"/>
          <w:color w:val="auto"/>
        </w:rPr>
        <w:t>. In the event of a broker-assisted sale of Shares in connection with the payment of amounts owed by a Participant under or with respect to the Plan or Awards, including amounts to be paid under the final sentence of Section 9.5: (a) any Shares</w:t>
      </w:r>
    </w:p>
    <w:p>
      <w:pPr>
        <w:spacing w:after="0" w:line="224" w:lineRule="auto"/>
        <w:rPr>
          <w:sz w:val="20"/>
          <w:szCs w:val="20"/>
          <w:color w:val="auto"/>
        </w:rPr>
      </w:pPr>
      <w:r>
        <w:rPr>
          <w:rFonts w:ascii="Times New Roman" w:cs="Times New Roman" w:eastAsia="Times New Roman" w:hAnsi="Times New Roman"/>
          <w:sz w:val="19"/>
          <w:szCs w:val="19"/>
          <w:color w:val="auto"/>
        </w:rPr>
        <w:t>to be sold through the broker-assisted sale will be sold on the day the payment first becomes due, or as soon thereafter as practicable; (b) such</w:t>
      </w:r>
    </w:p>
    <w:p>
      <w:pPr>
        <w:spacing w:after="0" w:line="204" w:lineRule="auto"/>
        <w:rPr>
          <w:sz w:val="20"/>
          <w:szCs w:val="20"/>
          <w:color w:val="auto"/>
        </w:rPr>
      </w:pPr>
      <w:r>
        <w:rPr>
          <w:rFonts w:ascii="Times New Roman" w:cs="Times New Roman" w:eastAsia="Times New Roman" w:hAnsi="Times New Roman"/>
          <w:sz w:val="20"/>
          <w:szCs w:val="20"/>
          <w:color w:val="auto"/>
        </w:rPr>
        <w:t>Shares may be sold as part of a block trade with other Participants in the Plan in which all participants receive an average price; (c) the applicable Participant will be responsible for all broker’s fees and other costs of sale, and by accepting an Award, each Participant agrees to</w:t>
      </w:r>
    </w:p>
    <w:p>
      <w:pPr>
        <w:spacing w:after="0" w:line="211" w:lineRule="auto"/>
        <w:rPr>
          <w:sz w:val="20"/>
          <w:szCs w:val="20"/>
          <w:color w:val="auto"/>
        </w:rPr>
      </w:pPr>
      <w:r>
        <w:rPr>
          <w:rFonts w:ascii="Times New Roman" w:cs="Times New Roman" w:eastAsia="Times New Roman" w:hAnsi="Times New Roman"/>
          <w:sz w:val="20"/>
          <w:szCs w:val="20"/>
          <w:color w:val="auto"/>
        </w:rPr>
        <w:t>indemnify and hold the Company harmless from any losses, costs, damages, or expenses relating to any such sale; (d) to the extent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Company or its designee receives proceeds of such sale that exceed the amount owed, the Company will pay such excess in cash to the applicable Participant as soon as reasonably practicable; (e) the Company and its designees are under no obligation to arrange for such sale at</w:t>
      </w:r>
    </w:p>
    <w:p>
      <w:pPr>
        <w:spacing w:after="0" w:line="211" w:lineRule="auto"/>
        <w:rPr>
          <w:sz w:val="20"/>
          <w:szCs w:val="20"/>
          <w:color w:val="auto"/>
        </w:rPr>
      </w:pPr>
      <w:r>
        <w:rPr>
          <w:rFonts w:ascii="Times New Roman" w:cs="Times New Roman" w:eastAsia="Times New Roman" w:hAnsi="Times New Roman"/>
          <w:sz w:val="20"/>
          <w:szCs w:val="20"/>
          <w:color w:val="auto"/>
        </w:rPr>
        <w:t>any particular price; and (f) in the event the proceeds of such sale are insufficient to satisfy the Participant’s applicable obligation, the</w:t>
      </w:r>
    </w:p>
    <w:p>
      <w:pPr>
        <w:spacing w:after="0" w:line="221" w:lineRule="auto"/>
        <w:rPr>
          <w:sz w:val="20"/>
          <w:szCs w:val="20"/>
          <w:color w:val="auto"/>
        </w:rPr>
      </w:pPr>
      <w:r>
        <w:rPr>
          <w:rFonts w:ascii="Times New Roman" w:cs="Times New Roman" w:eastAsia="Times New Roman" w:hAnsi="Times New Roman"/>
          <w:sz w:val="20"/>
          <w:szCs w:val="20"/>
          <w:color w:val="auto"/>
        </w:rPr>
        <w:t>Participant may be required to pay immediately upon demand to the Company or its designee an amount in cash sufficient to satisfy any remaining portion of the Participant’s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83" w:name="page84"/>
    <w:bookmarkEnd w:id="83"/>
    <w:p>
      <w:pPr>
        <w:ind w:left="4980"/>
        <w:spacing w:after="0"/>
        <w:rPr>
          <w:sz w:val="20"/>
          <w:szCs w:val="20"/>
          <w:color w:val="auto"/>
        </w:rPr>
      </w:pPr>
      <w:r>
        <w:rPr>
          <w:rFonts w:ascii="Times New Roman" w:cs="Times New Roman" w:eastAsia="Times New Roman" w:hAnsi="Times New Roman"/>
          <w:sz w:val="20"/>
          <w:szCs w:val="20"/>
          <w:b w:val="1"/>
          <w:bCs w:val="1"/>
          <w:color w:val="auto"/>
        </w:rPr>
        <w:t>ARTICLE XI.</w:t>
      </w:r>
    </w:p>
    <w:p>
      <w:pPr>
        <w:ind w:left="4960"/>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used in the Plan, the following words and phrases will have the following meanings:</w:t>
      </w:r>
    </w:p>
    <w:p>
      <w:pPr>
        <w:spacing w:after="0" w:line="21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11.1 “</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means the Board or a Committee to the extent that the Board’s powers or authority under the Plan have been delegated to such Committee.</w:t>
      </w:r>
    </w:p>
    <w:p>
      <w:pPr>
        <w:spacing w:after="0" w:line="13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11.2 “</w:t>
      </w:r>
      <w:r>
        <w:rPr>
          <w:rFonts w:ascii="Times New Roman" w:cs="Times New Roman" w:eastAsia="Times New Roman" w:hAnsi="Times New Roman"/>
          <w:sz w:val="20"/>
          <w:szCs w:val="20"/>
          <w:b w:val="1"/>
          <w:bCs w:val="1"/>
          <w:i w:val="1"/>
          <w:iCs w:val="1"/>
          <w:color w:val="auto"/>
        </w:rPr>
        <w:t>Applicable Accounting Standards</w:t>
      </w:r>
      <w:r>
        <w:rPr>
          <w:rFonts w:ascii="Times New Roman" w:cs="Times New Roman" w:eastAsia="Times New Roman" w:hAnsi="Times New Roman"/>
          <w:sz w:val="20"/>
          <w:szCs w:val="20"/>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4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9"/>
          <w:szCs w:val="19"/>
          <w:color w:val="auto"/>
        </w:rPr>
        <w:t>11.3 “</w:t>
      </w:r>
      <w:r>
        <w:rPr>
          <w:rFonts w:ascii="Times New Roman" w:cs="Times New Roman" w:eastAsia="Times New Roman" w:hAnsi="Times New Roman"/>
          <w:sz w:val="19"/>
          <w:szCs w:val="19"/>
          <w:b w:val="1"/>
          <w:bCs w:val="1"/>
          <w:i w:val="1"/>
          <w:iCs w:val="1"/>
          <w:color w:val="auto"/>
        </w:rPr>
        <w:t>Applicable Laws</w:t>
      </w:r>
      <w:r>
        <w:rPr>
          <w:rFonts w:ascii="Times New Roman" w:cs="Times New Roman" w:eastAsia="Times New Roman" w:hAnsi="Times New Roman"/>
          <w:sz w:val="19"/>
          <w:szCs w:val="19"/>
          <w:color w:val="auto"/>
        </w:rPr>
        <w:t>” means any applicable law, including without limitation, (a) provisions of the Code, the Securities Act, the Exchange Act and any rules or regulations thereunder; (b) corporate, securities, tax or other laws, statutes, rules, requirements or regulations,</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whether federal, state, local or foreign; and (c) rules of any securities exchange or automated quotation system on which the Shares are listed, quoted or traded.</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Assumption</w:t>
      </w:r>
      <w:r>
        <w:rPr>
          <w:rFonts w:ascii="Times New Roman" w:cs="Times New Roman" w:eastAsia="Times New Roman" w:hAnsi="Times New Roman"/>
          <w:sz w:val="19"/>
          <w:szCs w:val="19"/>
          <w:color w:val="auto"/>
        </w:rPr>
        <w:t>” shall have the meaning set forth in Section 8.3.</w:t>
      </w:r>
    </w:p>
    <w:p>
      <w:pPr>
        <w:spacing w:after="0" w:line="17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11.5 “</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means, individually or collectively, a grant under the Plan of Options, Stock Appreciation Rights, Restricted Stock, Restricted Stock Units or Other Stock or Cash Based Awards.</w:t>
      </w:r>
    </w:p>
    <w:p>
      <w:pPr>
        <w:spacing w:after="0" w:line="15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11.6 “</w:t>
      </w:r>
      <w:r>
        <w:rPr>
          <w:rFonts w:ascii="Times New Roman" w:cs="Times New Roman" w:eastAsia="Times New Roman" w:hAnsi="Times New Roman"/>
          <w:sz w:val="20"/>
          <w:szCs w:val="20"/>
          <w:b w:val="1"/>
          <w:bCs w:val="1"/>
          <w:i w:val="1"/>
          <w:iCs w:val="1"/>
          <w:color w:val="auto"/>
        </w:rPr>
        <w:t>Award Agreement</w:t>
      </w:r>
      <w:r>
        <w:rPr>
          <w:rFonts w:ascii="Times New Roman" w:cs="Times New Roman" w:eastAsia="Times New Roman" w:hAnsi="Times New Roman"/>
          <w:sz w:val="20"/>
          <w:szCs w:val="20"/>
          <w:color w:val="auto"/>
        </w:rPr>
        <w:t>” means a written agreement evidencing an Award, which may be electronic, that contains such terms and conditions as the Administrator determines, consistent with and subject to the terms and conditions of the Plan.</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means the Board of Directors of the Company.</w:t>
      </w:r>
    </w:p>
    <w:p>
      <w:pPr>
        <w:spacing w:after="0" w:line="18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11.8 “</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with respect to a Participant, means “Cause” (or any term of similar effect) as defined in such Participant’s employment agreement with the Company if such an agreement exists and contains a definition of Cause (or term of similar effect), or, if no</w:t>
      </w:r>
    </w:p>
    <w:p>
      <w:pPr>
        <w:spacing w:after="0" w:line="213" w:lineRule="auto"/>
        <w:rPr>
          <w:sz w:val="20"/>
          <w:szCs w:val="20"/>
          <w:color w:val="auto"/>
        </w:rPr>
      </w:pPr>
      <w:r>
        <w:rPr>
          <w:rFonts w:ascii="Times New Roman" w:cs="Times New Roman" w:eastAsia="Times New Roman" w:hAnsi="Times New Roman"/>
          <w:sz w:val="20"/>
          <w:szCs w:val="20"/>
          <w:color w:val="auto"/>
        </w:rPr>
        <w:t>such agreement exists or such agreement does not contain a definition of Cause (or term of similar effect), then Cause shall include, but not</w:t>
      </w:r>
    </w:p>
    <w:p>
      <w:pPr>
        <w:jc w:val="both"/>
        <w:spacing w:after="0" w:line="204" w:lineRule="auto"/>
        <w:rPr>
          <w:sz w:val="20"/>
          <w:szCs w:val="20"/>
          <w:color w:val="auto"/>
        </w:rPr>
      </w:pPr>
      <w:r>
        <w:rPr>
          <w:rFonts w:ascii="Times New Roman" w:cs="Times New Roman" w:eastAsia="Times New Roman" w:hAnsi="Times New Roman"/>
          <w:sz w:val="20"/>
          <w:szCs w:val="20"/>
          <w:color w:val="auto"/>
        </w:rPr>
        <w:t>be limited to: (i) the Participant’s unauthorized use or disclosure of confidential information or trade secrets of the Company or any material breach of a written agreement between the Participant and the Company, including without limitation a material breach of any employment,</w:t>
      </w:r>
    </w:p>
    <w:p>
      <w:pPr>
        <w:spacing w:after="0" w:line="211" w:lineRule="auto"/>
        <w:rPr>
          <w:sz w:val="20"/>
          <w:szCs w:val="20"/>
          <w:color w:val="auto"/>
        </w:rPr>
      </w:pPr>
      <w:r>
        <w:rPr>
          <w:rFonts w:ascii="Times New Roman" w:cs="Times New Roman" w:eastAsia="Times New Roman" w:hAnsi="Times New Roman"/>
          <w:sz w:val="20"/>
          <w:szCs w:val="20"/>
          <w:color w:val="auto"/>
        </w:rPr>
        <w:t>confidentiality, non-compete, non-solicit or similar agreement; (ii) the Participant’s commission of, indictment for or the entry of a plea of</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guilty or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by the Participant to, a felony under the laws of the United States or any state thereof or any crime involving dishonesty or moral turpitude (or any similar crime in any jurisdiction outside the United States); (iii) the Participant’s gross negligence or</w:t>
      </w:r>
    </w:p>
    <w:p>
      <w:pPr>
        <w:spacing w:after="0" w:line="211" w:lineRule="auto"/>
        <w:rPr>
          <w:sz w:val="20"/>
          <w:szCs w:val="20"/>
          <w:color w:val="auto"/>
        </w:rPr>
      </w:pPr>
      <w:r>
        <w:rPr>
          <w:rFonts w:ascii="Times New Roman" w:cs="Times New Roman" w:eastAsia="Times New Roman" w:hAnsi="Times New Roman"/>
          <w:sz w:val="20"/>
          <w:szCs w:val="20"/>
          <w:color w:val="auto"/>
        </w:rPr>
        <w:t>willful misconduct or the Participant’s willful or repeated failure or refusal to substantially perform assigned duties; (iv) any act of fraud,</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embezzlement, material misappropriation or dishonesty committed by the Participant against the Company; or (v) any acts, omissions or statements by a Participant which the Company reasonably determines to be materially detrimental or damaging to the reputation, operations,</w:t>
      </w:r>
    </w:p>
    <w:p>
      <w:pPr>
        <w:spacing w:after="0"/>
        <w:rPr>
          <w:sz w:val="20"/>
          <w:szCs w:val="20"/>
          <w:color w:val="auto"/>
        </w:rPr>
      </w:pPr>
      <w:r>
        <w:rPr>
          <w:rFonts w:ascii="Times New Roman" w:cs="Times New Roman" w:eastAsia="Times New Roman" w:hAnsi="Times New Roman"/>
          <w:sz w:val="20"/>
          <w:szCs w:val="20"/>
          <w:color w:val="auto"/>
        </w:rPr>
        <w:t>prospects or business relations of the Company.</w:t>
      </w:r>
    </w:p>
    <w:p>
      <w:pPr>
        <w:spacing w:after="0" w:line="16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Change in Control</w:t>
      </w:r>
      <w:r>
        <w:rPr>
          <w:rFonts w:ascii="Times New Roman" w:cs="Times New Roman" w:eastAsia="Times New Roman" w:hAnsi="Times New Roman"/>
          <w:sz w:val="19"/>
          <w:szCs w:val="19"/>
          <w:color w:val="auto"/>
        </w:rPr>
        <w:t>” means and includes each of the following:</w:t>
      </w:r>
    </w:p>
    <w:p>
      <w:pPr>
        <w:spacing w:after="0" w:line="179" w:lineRule="exact"/>
        <w:rPr>
          <w:sz w:val="20"/>
          <w:szCs w:val="20"/>
          <w:color w:val="auto"/>
        </w:rPr>
      </w:pPr>
    </w:p>
    <w:p>
      <w:pPr>
        <w:jc w:val="both"/>
        <w:ind w:firstLine="1304"/>
        <w:spacing w:after="0" w:line="218" w:lineRule="auto"/>
        <w:tabs>
          <w:tab w:leader="none" w:pos="193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0"/>
          <w:szCs w:val="20"/>
          <w:color w:val="auto"/>
        </w:rPr>
        <w:t>the Exchange Act) of securities of the Company possessing more than 50% of the total combined voting power of the Company’s securities outstanding immediately after such acquisition; or</w:t>
      </w:r>
    </w:p>
    <w:p>
      <w:pPr>
        <w:spacing w:after="0" w:line="148" w:lineRule="exact"/>
        <w:rPr>
          <w:sz w:val="20"/>
          <w:szCs w:val="20"/>
          <w:color w:val="auto"/>
        </w:rPr>
      </w:pPr>
    </w:p>
    <w:p>
      <w:pPr>
        <w:jc w:val="both"/>
        <w:ind w:firstLine="1304"/>
        <w:spacing w:after="0" w:line="218" w:lineRule="auto"/>
        <w:tabs>
          <w:tab w:leader="none" w:pos="1932"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5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61" w:lineRule="exact"/>
        <w:rPr>
          <w:rFonts w:ascii="Times New Roman" w:cs="Times New Roman" w:eastAsia="Times New Roman" w:hAnsi="Times New Roman"/>
          <w:sz w:val="20"/>
          <w:szCs w:val="20"/>
          <w:color w:val="auto"/>
        </w:rPr>
      </w:pPr>
    </w:p>
    <w:p>
      <w:pPr>
        <w:jc w:val="both"/>
        <w:ind w:firstLine="1952"/>
        <w:spacing w:after="0" w:line="220" w:lineRule="auto"/>
        <w:tabs>
          <w:tab w:leader="none" w:pos="259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20"/>
          <w:szCs w:val="20"/>
          <w:b w:val="1"/>
          <w:bCs w:val="1"/>
          <w:i w:val="1"/>
          <w:iCs w:val="1"/>
          <w:color w:val="auto"/>
        </w:rPr>
        <w:t>Successor Entity</w:t>
      </w:r>
      <w:r>
        <w:rPr>
          <w:rFonts w:ascii="Times New Roman" w:cs="Times New Roman" w:eastAsia="Times New Roman" w:hAnsi="Times New Roman"/>
          <w:sz w:val="20"/>
          <w:szCs w:val="20"/>
          <w:color w:val="auto"/>
        </w:rPr>
        <w:t>”)) directly or indirectly, at least a majority of the combined voting power of the Successor Entity’s outstanding voting securities immediately after the transaction, and</w:t>
      </w:r>
    </w:p>
    <w:p>
      <w:pPr>
        <w:spacing w:after="0" w:line="147" w:lineRule="exact"/>
        <w:rPr>
          <w:rFonts w:ascii="Times New Roman" w:cs="Times New Roman" w:eastAsia="Times New Roman" w:hAnsi="Times New Roman"/>
          <w:sz w:val="20"/>
          <w:szCs w:val="20"/>
          <w:color w:val="auto"/>
        </w:rPr>
      </w:pPr>
    </w:p>
    <w:p>
      <w:pPr>
        <w:jc w:val="both"/>
        <w:ind w:firstLine="1952"/>
        <w:spacing w:after="0" w:line="222" w:lineRule="auto"/>
        <w:tabs>
          <w:tab w:leader="none" w:pos="2591"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which no person or group beneficially owns voting securities representing 50% or more of the combined voting power of the Successor Entity;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62"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w:t>
      </w:r>
    </w:p>
    <w:p>
      <w:pPr>
        <w:spacing w:after="0" w:line="212" w:lineRule="auto"/>
        <w:rPr>
          <w:sz w:val="20"/>
          <w:szCs w:val="20"/>
          <w:color w:val="auto"/>
        </w:rPr>
      </w:pPr>
      <w:r>
        <w:rPr>
          <w:rFonts w:ascii="Times New Roman" w:cs="Times New Roman" w:eastAsia="Times New Roman" w:hAnsi="Times New Roman"/>
          <w:sz w:val="20"/>
          <w:szCs w:val="20"/>
          <w:color w:val="auto"/>
        </w:rPr>
        <w:t>additional taxes under Section 409A, the transaction or event described in subsection (a), (b) or (c) with respect to such Award (or portion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thereof) shall only constitute a Change in Control for purposes of the payment timing of such Award if such transaction also constitutes a “change in control event,” as defined in Treasury Regulation Section 1.409A-3(i)(5).</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Administrator shall have full and final authority, which shall be exercised in its discretion, to determine conclusively whether a</w:t>
      </w:r>
    </w:p>
    <w:p>
      <w:pPr>
        <w:spacing w:after="0" w:line="204" w:lineRule="auto"/>
        <w:rPr>
          <w:sz w:val="20"/>
          <w:szCs w:val="20"/>
          <w:color w:val="auto"/>
        </w:rPr>
      </w:pPr>
      <w:r>
        <w:rPr>
          <w:rFonts w:ascii="Times New Roman" w:cs="Times New Roman" w:eastAsia="Times New Roman" w:hAnsi="Times New Roman"/>
          <w:sz w:val="20"/>
          <w:szCs w:val="20"/>
          <w:color w:val="auto"/>
        </w:rPr>
        <w:t>Change in Control has occurred pursuant to the above definition, the date of the occurrence of such Change in Control and any incidental matters relating thereto; provided that any exercise of authority in conjunction with a determination of whether a Change in Control is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“change in control event” as defined in Treasury Regulation Section 1.409A-3(i)(5) shall be consistent with such regulation.</w:t>
      </w:r>
    </w:p>
    <w:p>
      <w:pPr>
        <w:spacing w:after="0" w:line="16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Code</w:t>
      </w:r>
      <w:r>
        <w:rPr>
          <w:rFonts w:ascii="Times New Roman" w:cs="Times New Roman" w:eastAsia="Times New Roman" w:hAnsi="Times New Roman"/>
          <w:sz w:val="19"/>
          <w:szCs w:val="19"/>
          <w:color w:val="auto"/>
        </w:rPr>
        <w:t>” means the Internal Revenue Code of 1986, as amended, and the regulations issued thereunder.</w:t>
      </w:r>
    </w:p>
    <w:p>
      <w:pPr>
        <w:spacing w:after="0" w:line="17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color w:val="auto"/>
        </w:rPr>
        <w:t>11.11 “</w:t>
      </w:r>
      <w:r>
        <w:rPr>
          <w:rFonts w:ascii="Times New Roman" w:cs="Times New Roman" w:eastAsia="Times New Roman" w:hAnsi="Times New Roman"/>
          <w:sz w:val="19"/>
          <w:szCs w:val="19"/>
          <w:b w:val="1"/>
          <w:bCs w:val="1"/>
          <w:i w:val="1"/>
          <w:iCs w:val="1"/>
          <w:color w:val="auto"/>
        </w:rPr>
        <w:t>Committee</w:t>
      </w:r>
      <w:r>
        <w:rPr>
          <w:rFonts w:ascii="Times New Roman" w:cs="Times New Roman" w:eastAsia="Times New Roman" w:hAnsi="Times New Roman"/>
          <w:sz w:val="19"/>
          <w:szCs w:val="19"/>
          <w:color w:val="auto"/>
        </w:rPr>
        <w:t>” means one or more committees or subcommittees of the Board, which may include one or more Company directors or executive officers, to the extent Applicable Laws permit. To the extent required to comply with the provisions of Rule 16b-3, it is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intended that each member of the Committee will be, at the time the Committee takes any action with respect to an Award that is subject to Rule 16b-3, a “non-employee director” within the meaning of Rule 16b-3; however, a Committee member’s failure to qualify as a “non-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employee director” within the meaning of Rule 16b-3 will not invalidate any Award granted by the Committee that is otherwise validly granted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85" w:name="page86"/>
    <w:bookmarkEnd w:id="85"/>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Common Stock</w:t>
      </w:r>
      <w:r>
        <w:rPr>
          <w:rFonts w:ascii="Times New Roman" w:cs="Times New Roman" w:eastAsia="Times New Roman" w:hAnsi="Times New Roman"/>
          <w:sz w:val="19"/>
          <w:szCs w:val="19"/>
          <w:color w:val="auto"/>
        </w:rPr>
        <w:t>” means the common stock of the Company.</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means Gossamer Bio, Inc., a Delaware corporation, or any successor.</w:t>
      </w:r>
    </w:p>
    <w:p>
      <w:pPr>
        <w:spacing w:after="0" w:line="175"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11.14 “</w:t>
      </w:r>
      <w:r>
        <w:rPr>
          <w:rFonts w:ascii="Times New Roman" w:cs="Times New Roman" w:eastAsia="Times New Roman" w:hAnsi="Times New Roman"/>
          <w:sz w:val="19"/>
          <w:szCs w:val="19"/>
          <w:b w:val="1"/>
          <w:bCs w:val="1"/>
          <w:i w:val="1"/>
          <w:iCs w:val="1"/>
          <w:color w:val="auto"/>
        </w:rPr>
        <w:t>Consultant</w:t>
      </w:r>
      <w:r>
        <w:rPr>
          <w:rFonts w:ascii="Times New Roman" w:cs="Times New Roman" w:eastAsia="Times New Roman" w:hAnsi="Times New Roman"/>
          <w:sz w:val="19"/>
          <w:szCs w:val="19"/>
          <w:color w:val="auto"/>
        </w:rPr>
        <w:t>” means any consultant or advisor of the Company or any parent or Subsidiary who qualifies as a consultant or advisor under the applicable rules of the Securities and Exchange Commission for registration of shares on Form S-8 Registration Statement.</w:t>
      </w:r>
    </w:p>
    <w:p>
      <w:pPr>
        <w:spacing w:after="0" w:line="12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11.15 “</w:t>
      </w:r>
      <w:r>
        <w:rPr>
          <w:rFonts w:ascii="Times New Roman" w:cs="Times New Roman" w:eastAsia="Times New Roman" w:hAnsi="Times New Roman"/>
          <w:sz w:val="20"/>
          <w:szCs w:val="20"/>
          <w:b w:val="1"/>
          <w:bCs w:val="1"/>
          <w:i w:val="1"/>
          <w:iCs w:val="1"/>
          <w:color w:val="auto"/>
        </w:rPr>
        <w:t>Designated Beneficiary</w:t>
      </w:r>
      <w:r>
        <w:rPr>
          <w:rFonts w:ascii="Times New Roman" w:cs="Times New Roman" w:eastAsia="Times New Roman" w:hAnsi="Times New Roman"/>
          <w:sz w:val="20"/>
          <w:szCs w:val="20"/>
          <w:color w:val="auto"/>
        </w:rPr>
        <w:t>” means the beneficiary or beneficiaries the Participant designates, in a manner the Administrator determines, to receive amounts due or exercise the Participant’s rights if the Participant dies or becomes incapacitated. Without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Participant’s effective designation, “Designated Beneficiary” will mean the Participant’s estate.</w:t>
      </w:r>
    </w:p>
    <w:p>
      <w:pPr>
        <w:spacing w:after="0" w:line="16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Director</w:t>
      </w:r>
      <w:r>
        <w:rPr>
          <w:rFonts w:ascii="Times New Roman" w:cs="Times New Roman" w:eastAsia="Times New Roman" w:hAnsi="Times New Roman"/>
          <w:sz w:val="19"/>
          <w:szCs w:val="19"/>
          <w:color w:val="auto"/>
        </w:rPr>
        <w:t>” means a Board member.</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Disability</w:t>
      </w:r>
      <w:r>
        <w:rPr>
          <w:rFonts w:ascii="Times New Roman" w:cs="Times New Roman" w:eastAsia="Times New Roman" w:hAnsi="Times New Roman"/>
          <w:sz w:val="19"/>
          <w:szCs w:val="19"/>
          <w:color w:val="auto"/>
        </w:rPr>
        <w:t>” means a permanent and total disability under Section 22(e)(3) of the Code, as amended.</w:t>
      </w:r>
    </w:p>
    <w:p>
      <w:pPr>
        <w:spacing w:after="0" w:line="18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11.18 “</w:t>
      </w:r>
      <w:r>
        <w:rPr>
          <w:rFonts w:ascii="Times New Roman" w:cs="Times New Roman" w:eastAsia="Times New Roman" w:hAnsi="Times New Roman"/>
          <w:sz w:val="20"/>
          <w:szCs w:val="20"/>
          <w:b w:val="1"/>
          <w:bCs w:val="1"/>
          <w:i w:val="1"/>
          <w:iCs w:val="1"/>
          <w:color w:val="auto"/>
        </w:rPr>
        <w:t>Dividend Equivalents</w:t>
      </w:r>
      <w:r>
        <w:rPr>
          <w:rFonts w:ascii="Times New Roman" w:cs="Times New Roman" w:eastAsia="Times New Roman" w:hAnsi="Times New Roman"/>
          <w:sz w:val="20"/>
          <w:szCs w:val="20"/>
          <w:color w:val="auto"/>
        </w:rPr>
        <w:t>” means a right granted to a Participant under the Plan to receive the equivalent value (in cash or Shares) of dividends paid on Shares.</w:t>
      </w:r>
    </w:p>
    <w:p>
      <w:pPr>
        <w:spacing w:after="0" w:line="13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Early Tender Deadline</w:t>
      </w:r>
      <w:r>
        <w:rPr>
          <w:rFonts w:ascii="Times New Roman" w:cs="Times New Roman" w:eastAsia="Times New Roman" w:hAnsi="Times New Roman"/>
          <w:sz w:val="19"/>
          <w:szCs w:val="19"/>
          <w:color w:val="auto"/>
        </w:rPr>
        <w:t>” means the early tender deadline pursuant to the Notes Exchange.</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11.20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Employee</w:t>
      </w:r>
      <w:r>
        <w:rPr>
          <w:rFonts w:ascii="Times New Roman" w:cs="Times New Roman" w:eastAsia="Times New Roman" w:hAnsi="Times New Roman"/>
          <w:sz w:val="19"/>
          <w:szCs w:val="19"/>
          <w:color w:val="auto"/>
        </w:rPr>
        <w:t>” means any employee of the Company or its Subsidiaries.</w:t>
      </w:r>
    </w:p>
    <w:p>
      <w:pPr>
        <w:spacing w:after="0" w:line="18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11.21 “</w:t>
      </w:r>
      <w:r>
        <w:rPr>
          <w:rFonts w:ascii="Times New Roman" w:cs="Times New Roman" w:eastAsia="Times New Roman" w:hAnsi="Times New Roman"/>
          <w:sz w:val="20"/>
          <w:szCs w:val="20"/>
          <w:b w:val="1"/>
          <w:bCs w:val="1"/>
          <w:i w:val="1"/>
          <w:iCs w:val="1"/>
          <w:color w:val="auto"/>
        </w:rPr>
        <w:t>Equity Restructuring</w:t>
      </w:r>
      <w:r>
        <w:rPr>
          <w:rFonts w:ascii="Times New Roman" w:cs="Times New Roman" w:eastAsia="Times New Roman" w:hAnsi="Times New Roman"/>
          <w:sz w:val="20"/>
          <w:szCs w:val="20"/>
          <w:color w:val="auto"/>
        </w:rPr>
        <w:t>” means, as determined by the Administrator, a non-reciprocal transaction between the Company and its stockholders, such as a stock dividend, stock split, spin-off or recapitalization through a large, nonrecurring cash dividend, or other large,</w:t>
      </w:r>
    </w:p>
    <w:p>
      <w:pPr>
        <w:spacing w:after="0" w:line="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9"/>
          <w:szCs w:val="19"/>
          <w:color w:val="auto"/>
        </w:rPr>
        <w:t>nonrecurring cash dividend, that affects the shares of Common Stock (or other securities of the Company) or the share price of Common Stock (or other securities of the Company) and causes a change in the per share value of the Common Stock underlying outstanding Awards.</w:t>
      </w:r>
    </w:p>
    <w:p>
      <w:pPr>
        <w:spacing w:after="0" w:line="1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11.22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Evergreen Fully-Diluted Shares</w:t>
      </w:r>
      <w:r>
        <w:rPr>
          <w:rFonts w:ascii="Times New Roman" w:cs="Times New Roman" w:eastAsia="Times New Roman" w:hAnsi="Times New Roman"/>
          <w:sz w:val="19"/>
          <w:szCs w:val="19"/>
          <w:color w:val="auto"/>
        </w:rPr>
        <w:t>” means, as of any date, the sum of:</w:t>
      </w:r>
    </w:p>
    <w:p>
      <w:pPr>
        <w:spacing w:after="0" w:line="188" w:lineRule="exact"/>
        <w:rPr>
          <w:sz w:val="20"/>
          <w:szCs w:val="20"/>
          <w:color w:val="auto"/>
        </w:rPr>
      </w:pPr>
    </w:p>
    <w:p>
      <w:pPr>
        <w:ind w:left="1940" w:hanging="636"/>
        <w:spacing w:after="0"/>
        <w:tabs>
          <w:tab w:leader="none" w:pos="194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number of shares of Common Stock outstanding on such </w:t>
      </w:r>
      <w:r>
        <w:rPr>
          <w:rFonts w:ascii="Times New Roman" w:cs="Times New Roman" w:eastAsia="Times New Roman" w:hAnsi="Times New Roman"/>
          <w:sz w:val="21"/>
          <w:szCs w:val="21"/>
          <w:color w:val="auto"/>
        </w:rPr>
        <w:t>date; plus</w:t>
      </w:r>
    </w:p>
    <w:p>
      <w:pPr>
        <w:spacing w:after="0" w:line="195" w:lineRule="exact"/>
        <w:rPr>
          <w:rFonts w:ascii="Times New Roman" w:cs="Times New Roman" w:eastAsia="Times New Roman" w:hAnsi="Times New Roman"/>
          <w:sz w:val="20"/>
          <w:szCs w:val="20"/>
          <w:color w:val="auto"/>
        </w:rPr>
      </w:pPr>
    </w:p>
    <w:p>
      <w:pPr>
        <w:ind w:left="660" w:right="2920" w:firstLine="644"/>
        <w:spacing w:after="0" w:line="427" w:lineRule="auto"/>
        <w:tabs>
          <w:tab w:leader="none" w:pos="194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shares of Common Stock that remain issuable under the Warrants. 11.23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Securities Exchange Act of 1934, as amended.</w:t>
      </w: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11.24</w:t>
        <w:tab/>
        <w:t>“</w:t>
      </w:r>
      <w:r>
        <w:rPr>
          <w:rFonts w:ascii="Times New Roman" w:cs="Times New Roman" w:eastAsia="Times New Roman" w:hAnsi="Times New Roman"/>
          <w:sz w:val="20"/>
          <w:szCs w:val="20"/>
          <w:b w:val="1"/>
          <w:bCs w:val="1"/>
          <w:i w:val="1"/>
          <w:iCs w:val="1"/>
          <w:color w:val="auto"/>
        </w:rPr>
        <w:t>Existing 2027 Notes</w:t>
      </w:r>
      <w:r>
        <w:rPr>
          <w:rFonts w:ascii="Times New Roman" w:cs="Times New Roman" w:eastAsia="Times New Roman" w:hAnsi="Times New Roman"/>
          <w:sz w:val="20"/>
          <w:szCs w:val="20"/>
          <w:color w:val="auto"/>
        </w:rPr>
        <w:t>” means the Company’s 5.000% convertible senior notes due 2027 issued pursuant to that certain</w:t>
      </w:r>
    </w:p>
    <w:p>
      <w:pPr>
        <w:spacing w:after="0" w:line="221" w:lineRule="auto"/>
        <w:rPr>
          <w:sz w:val="20"/>
          <w:szCs w:val="20"/>
          <w:color w:val="auto"/>
        </w:rPr>
      </w:pPr>
      <w:r>
        <w:rPr>
          <w:rFonts w:ascii="Times New Roman" w:cs="Times New Roman" w:eastAsia="Times New Roman" w:hAnsi="Times New Roman"/>
          <w:sz w:val="20"/>
          <w:szCs w:val="20"/>
          <w:color w:val="auto"/>
        </w:rPr>
        <w:t>indenture, dated as of May 21, 2020 (as amended, amended and restated, supplemented or otherwise modified from time to time), by and among the Company, as issuer, and Wilmington Trust, National Association, as trustee.</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11.25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Existing Plan</w:t>
      </w:r>
      <w:r>
        <w:rPr>
          <w:rFonts w:ascii="Times New Roman" w:cs="Times New Roman" w:eastAsia="Times New Roman" w:hAnsi="Times New Roman"/>
          <w:sz w:val="19"/>
          <w:szCs w:val="19"/>
          <w:color w:val="auto"/>
        </w:rPr>
        <w:t>” shall have the meaning set forth in Article I.</w:t>
      </w:r>
    </w:p>
    <w:p>
      <w:pPr>
        <w:spacing w:after="0" w:line="18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11.26 “</w:t>
      </w:r>
      <w:r>
        <w:rPr>
          <w:rFonts w:ascii="Times New Roman" w:cs="Times New Roman" w:eastAsia="Times New Roman" w:hAnsi="Times New Roman"/>
          <w:sz w:val="20"/>
          <w:szCs w:val="20"/>
          <w:b w:val="1"/>
          <w:bCs w:val="1"/>
          <w:i w:val="1"/>
          <w:iCs w:val="1"/>
          <w:color w:val="auto"/>
        </w:rPr>
        <w:t>Fair Market Value</w:t>
      </w:r>
      <w:r>
        <w:rPr>
          <w:rFonts w:ascii="Times New Roman" w:cs="Times New Roman" w:eastAsia="Times New Roman" w:hAnsi="Times New Roman"/>
          <w:sz w:val="20"/>
          <w:szCs w:val="20"/>
          <w:color w:val="auto"/>
        </w:rPr>
        <w:t>” means, as of any date, the value of a share of Common Stock determined as follows: (a) if the Common Stock is listed on any established stock exchange, its Fair Market Value will be the closing sales price for such Common Stock as</w:t>
      </w:r>
    </w:p>
    <w:p>
      <w:pPr>
        <w:spacing w:after="0" w:line="213" w:lineRule="auto"/>
        <w:rPr>
          <w:sz w:val="20"/>
          <w:szCs w:val="20"/>
          <w:color w:val="auto"/>
        </w:rPr>
      </w:pPr>
      <w:r>
        <w:rPr>
          <w:rFonts w:ascii="Times New Roman" w:cs="Times New Roman" w:eastAsia="Times New Roman" w:hAnsi="Times New Roman"/>
          <w:sz w:val="20"/>
          <w:szCs w:val="20"/>
          <w:color w:val="auto"/>
        </w:rPr>
        <w:t>quoted on such exchange for such date, or if no sale occurred on such date, the last day preceding such date during which a sale occurred, as</w:t>
      </w:r>
    </w:p>
    <w:p>
      <w:pPr>
        <w:ind w:right="20"/>
        <w:spacing w:after="0" w:line="204" w:lineRule="auto"/>
        <w:rPr>
          <w:sz w:val="20"/>
          <w:szCs w:val="20"/>
          <w:color w:val="auto"/>
        </w:rPr>
      </w:pPr>
      <w:r>
        <w:rPr>
          <w:rFonts w:ascii="Times New Roman" w:cs="Times New Roman" w:eastAsia="Times New Roman" w:hAnsi="Times New Roman"/>
          <w:sz w:val="20"/>
          <w:szCs w:val="20"/>
          <w:color w:val="auto"/>
        </w:rPr>
        <w:t xml:space="preserve">reported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or another source the Administrator deems reliable; (b) if the Common Stock is not traded on a stock exchange but is quoted on a national market or other quotation system, the closing sales price on such date, or if no sales occurred on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date, then on the last date preceding such date during which a sale occurred, as reported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or another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0"/>
          <w:szCs w:val="20"/>
          <w:color w:val="auto"/>
        </w:rPr>
        <w:t>source the Administrator deems reliable; or (c) without an established market for the Common Stock, the Administrator will determine the Fair Market Value in its discretion.</w:t>
      </w:r>
    </w:p>
    <w:p>
      <w:pPr>
        <w:spacing w:after="0" w:line="144"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color w:val="auto"/>
        </w:rPr>
        <w:t>11.27 “</w:t>
      </w:r>
      <w:r>
        <w:rPr>
          <w:rFonts w:ascii="Times New Roman" w:cs="Times New Roman" w:eastAsia="Times New Roman" w:hAnsi="Times New Roman"/>
          <w:sz w:val="19"/>
          <w:szCs w:val="19"/>
          <w:b w:val="1"/>
          <w:bCs w:val="1"/>
          <w:i w:val="1"/>
          <w:iCs w:val="1"/>
          <w:color w:val="auto"/>
        </w:rPr>
        <w:t>Good Reason</w:t>
      </w:r>
      <w:r>
        <w:rPr>
          <w:rFonts w:ascii="Times New Roman" w:cs="Times New Roman" w:eastAsia="Times New Roman" w:hAnsi="Times New Roman"/>
          <w:sz w:val="19"/>
          <w:szCs w:val="19"/>
          <w:color w:val="auto"/>
        </w:rPr>
        <w:t>” means (a) if a Participant is a party to a written employment or consulting agreement with the Company or any of its Subsidiaries or an Award Agreement in which the term “good reason” is defined, “Good Reason” as defined in such agreement, and</w:t>
      </w:r>
    </w:p>
    <w:p>
      <w:pPr>
        <w:spacing w:after="0" w:line="1" w:lineRule="exact"/>
        <w:rPr>
          <w:sz w:val="20"/>
          <w:szCs w:val="20"/>
          <w:color w:val="auto"/>
        </w:rPr>
      </w:pPr>
    </w:p>
    <w:p>
      <w:pPr>
        <w:jc w:val="both"/>
        <w:ind w:firstLine="8"/>
        <w:spacing w:after="0" w:line="212" w:lineRule="auto"/>
        <w:tabs>
          <w:tab w:leader="none" w:pos="285"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 such agreement exists, (i) a change in the Participant’s position with the Company (or its Subsidiary employing the Participant) that materially reduces the Participant’s authority, duties or responsibilities or the level of management to which he or she reports, (ii) a material diminution in the Participant’s level of compensation (including base salary, fringe benefits and target bonuses under any corporate performance-based incentive programs) or (iii) a relocation of the Participant’s place of employment by more than 50 miles, provided that such change, reduction or relocation is effected by the Company (or its Subsidiary employing the Participant) without the Participant’s consent.</w:t>
      </w:r>
    </w:p>
    <w:p>
      <w:pPr>
        <w:spacing w:after="0" w:line="15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11.28 “</w:t>
      </w:r>
      <w:r>
        <w:rPr>
          <w:rFonts w:ascii="Times New Roman" w:cs="Times New Roman" w:eastAsia="Times New Roman" w:hAnsi="Times New Roman"/>
          <w:sz w:val="20"/>
          <w:szCs w:val="20"/>
          <w:b w:val="1"/>
          <w:bCs w:val="1"/>
          <w:i w:val="1"/>
          <w:iCs w:val="1"/>
          <w:color w:val="auto"/>
        </w:rPr>
        <w:t>Greater Than 10% Stockholder</w:t>
      </w:r>
      <w:r>
        <w:rPr>
          <w:rFonts w:ascii="Times New Roman" w:cs="Times New Roman" w:eastAsia="Times New Roman" w:hAnsi="Times New Roman"/>
          <w:sz w:val="20"/>
          <w:szCs w:val="20"/>
          <w:color w:val="auto"/>
        </w:rPr>
        <w:t>” means an individual then owning (within the meaning of Section 424(d) of the Code) more than 10% of the total combined voting power of all classes of stock of the Company or its parent or subsidiary corporation, as defined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Section 424(e) and (f) of the Code, respectively.</w:t>
      </w:r>
    </w:p>
    <w:p>
      <w:pPr>
        <w:spacing w:after="0" w:line="16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11.29 “</w:t>
      </w:r>
      <w:r>
        <w:rPr>
          <w:rFonts w:ascii="Times New Roman" w:cs="Times New Roman" w:eastAsia="Times New Roman" w:hAnsi="Times New Roman"/>
          <w:sz w:val="20"/>
          <w:szCs w:val="20"/>
          <w:b w:val="1"/>
          <w:bCs w:val="1"/>
          <w:i w:val="1"/>
          <w:iCs w:val="1"/>
          <w:color w:val="auto"/>
        </w:rPr>
        <w:t>Incentive Stock Option</w:t>
      </w:r>
      <w:r>
        <w:rPr>
          <w:rFonts w:ascii="Times New Roman" w:cs="Times New Roman" w:eastAsia="Times New Roman" w:hAnsi="Times New Roman"/>
          <w:sz w:val="20"/>
          <w:szCs w:val="20"/>
          <w:color w:val="auto"/>
        </w:rPr>
        <w:t>” means an Option intended to qualify as an “incentive stock option” as defined in Section 422 of the Code.</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11.30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Non-Qualified Stock Option</w:t>
      </w:r>
      <w:r>
        <w:rPr>
          <w:rFonts w:ascii="Times New Roman" w:cs="Times New Roman" w:eastAsia="Times New Roman" w:hAnsi="Times New Roman"/>
          <w:sz w:val="19"/>
          <w:szCs w:val="19"/>
          <w:color w:val="auto"/>
        </w:rPr>
        <w:t>” means an Option not intended or not qualifying as an Incentive Stock Option.</w:t>
      </w:r>
    </w:p>
    <w:p>
      <w:pPr>
        <w:spacing w:after="0" w:line="189"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 xml:space="preserve">11.31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i w:val="1"/>
          <w:iCs w:val="1"/>
          <w:color w:val="auto"/>
        </w:rPr>
        <w:t>Notes Exchange</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means the proposed exchange of the Existing 2027 Notes for (i) new 7.50% senior secured first lien convertible notes of the Company due 2030 (the “</w:t>
      </w:r>
      <w:r>
        <w:rPr>
          <w:rFonts w:ascii="Times New Roman" w:cs="Times New Roman" w:eastAsia="Times New Roman" w:hAnsi="Times New Roman"/>
          <w:sz w:val="19"/>
          <w:szCs w:val="19"/>
          <w:b w:val="1"/>
          <w:bCs w:val="1"/>
          <w:i w:val="1"/>
          <w:iCs w:val="1"/>
          <w:color w:val="auto"/>
        </w:rPr>
        <w:t>New Notes</w:t>
      </w:r>
      <w:r>
        <w:rPr>
          <w:rFonts w:ascii="Times New Roman" w:cs="Times New Roman" w:eastAsia="Times New Roman" w:hAnsi="Times New Roman"/>
          <w:sz w:val="19"/>
          <w:szCs w:val="19"/>
          <w:color w:val="auto"/>
        </w:rPr>
        <w:t>”), (ii) new shares of Common Stock of the Company (the “</w:t>
      </w:r>
      <w:r>
        <w:rPr>
          <w:rFonts w:ascii="Times New Roman" w:cs="Times New Roman" w:eastAsia="Times New Roman" w:hAnsi="Times New Roman"/>
          <w:sz w:val="19"/>
          <w:szCs w:val="19"/>
          <w:b w:val="1"/>
          <w:bCs w:val="1"/>
          <w:i w:val="1"/>
          <w:iCs w:val="1"/>
          <w:color w:val="auto"/>
        </w:rPr>
        <w:t>New Equity</w:t>
      </w:r>
      <w:r>
        <w:rPr>
          <w:rFonts w:ascii="Times New Roman" w:cs="Times New Roman" w:eastAsia="Times New Roman" w:hAnsi="Times New Roman"/>
          <w:sz w:val="19"/>
          <w:szCs w:val="19"/>
          <w:color w:val="auto"/>
        </w:rPr>
        <w:t>”) and/or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Prefunded Warrants and (iii) with respect to holders of Existing 2027 Notes who tender prior to the Early Tender Deadline, Purchase Warrants, and related transactions as described in the offering memoranda used in connection with the Notes Exchange for the purpose of</w:t>
      </w:r>
    </w:p>
    <w:p>
      <w:pPr>
        <w:spacing w:after="0" w:line="211" w:lineRule="auto"/>
        <w:rPr>
          <w:sz w:val="20"/>
          <w:szCs w:val="20"/>
          <w:color w:val="auto"/>
        </w:rPr>
      </w:pPr>
      <w:r>
        <w:rPr>
          <w:rFonts w:ascii="Times New Roman" w:cs="Times New Roman" w:eastAsia="Times New Roman" w:hAnsi="Times New Roman"/>
          <w:sz w:val="20"/>
          <w:szCs w:val="20"/>
          <w:color w:val="auto"/>
        </w:rPr>
        <w:t>conducting, and solicitating participation in, the Notes Exchange, the indenture for the New Notes to be entered into by and among the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Company, any applicable guarantors, and the trustee and collateral agent party thereto, and the form of intercreditor agreement to be executed in connection therewith.</w:t>
      </w:r>
    </w:p>
    <w:p>
      <w:pPr>
        <w:spacing w:after="0" w:line="15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0"/>
          <w:szCs w:val="20"/>
          <w:color w:val="auto"/>
        </w:rPr>
        <w:t xml:space="preserve">11.32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Notes Exchange Final Closing</w:t>
      </w:r>
      <w:r>
        <w:rPr>
          <w:rFonts w:ascii="Times New Roman" w:cs="Times New Roman" w:eastAsia="Times New Roman" w:hAnsi="Times New Roman"/>
          <w:sz w:val="21"/>
          <w:szCs w:val="21"/>
          <w:color w:val="auto"/>
        </w:rPr>
        <w:t>” means the consummation of the final settlement of the Notes Exchange,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pursuant to which Existing 2027 Notes are delivered to and accepted by the Company in exchange for New Notes, New Equity and/or Prefunded Warrants and Purchase Warrants.</w:t>
      </w:r>
    </w:p>
    <w:p>
      <w:pPr>
        <w:spacing w:after="0" w:line="1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11.33</w:t>
        <w:tab/>
        <w:t>“</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means an option to purchase Shares, which will either be an Incentive Stock Option or a Non-Qualified Stock</w:t>
      </w:r>
    </w:p>
    <w:p>
      <w:pPr>
        <w:spacing w:after="0"/>
        <w:rPr>
          <w:sz w:val="20"/>
          <w:szCs w:val="20"/>
          <w:color w:val="auto"/>
        </w:rPr>
      </w:pPr>
      <w:r>
        <w:rPr>
          <w:rFonts w:ascii="Times New Roman" w:cs="Times New Roman" w:eastAsia="Times New Roman" w:hAnsi="Times New Roman"/>
          <w:sz w:val="20"/>
          <w:szCs w:val="20"/>
          <w:color w:val="auto"/>
        </w:rPr>
        <w:t>Option.</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11.34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Original Effective Date</w:t>
      </w:r>
      <w:r>
        <w:rPr>
          <w:rFonts w:ascii="Times New Roman" w:cs="Times New Roman" w:eastAsia="Times New Roman" w:hAnsi="Times New Roman"/>
          <w:sz w:val="19"/>
          <w:szCs w:val="19"/>
          <w:color w:val="auto"/>
        </w:rPr>
        <w:t>” shall have the meaning set forth in Article I.</w:t>
      </w:r>
    </w:p>
    <w:p>
      <w:pPr>
        <w:spacing w:after="0" w:line="18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11.35 “</w:t>
      </w:r>
      <w:r>
        <w:rPr>
          <w:rFonts w:ascii="Times New Roman" w:cs="Times New Roman" w:eastAsia="Times New Roman" w:hAnsi="Times New Roman"/>
          <w:sz w:val="20"/>
          <w:szCs w:val="20"/>
          <w:b w:val="1"/>
          <w:bCs w:val="1"/>
          <w:i w:val="1"/>
          <w:iCs w:val="1"/>
          <w:color w:val="auto"/>
        </w:rPr>
        <w:t>Other Stock or Cash Based Awards</w:t>
      </w:r>
      <w:r>
        <w:rPr>
          <w:rFonts w:ascii="Times New Roman" w:cs="Times New Roman" w:eastAsia="Times New Roman" w:hAnsi="Times New Roman"/>
          <w:sz w:val="20"/>
          <w:szCs w:val="20"/>
          <w:color w:val="auto"/>
        </w:rPr>
        <w:t>” means cash awards, awards of Shares, and other awards valued wholly or partially by referring to, or are otherwise based on, Shares or other property awarded to a Participant under Article VII.</w:t>
      </w:r>
    </w:p>
    <w:p>
      <w:pPr>
        <w:spacing w:after="0" w:line="138" w:lineRule="exact"/>
        <w:rPr>
          <w:sz w:val="20"/>
          <w:szCs w:val="20"/>
          <w:color w:val="auto"/>
        </w:rPr>
      </w:pPr>
    </w:p>
    <w:p>
      <w:pPr>
        <w:jc w:val="both"/>
        <w:ind w:right="20" w:firstLine="648"/>
        <w:spacing w:after="0" w:line="224" w:lineRule="auto"/>
        <w:rPr>
          <w:sz w:val="20"/>
          <w:szCs w:val="20"/>
          <w:color w:val="auto"/>
        </w:rPr>
      </w:pPr>
      <w:r>
        <w:rPr>
          <w:rFonts w:ascii="Times New Roman" w:cs="Times New Roman" w:eastAsia="Times New Roman" w:hAnsi="Times New Roman"/>
          <w:sz w:val="20"/>
          <w:szCs w:val="20"/>
          <w:color w:val="auto"/>
        </w:rPr>
        <w:t>11.36 “</w:t>
      </w:r>
      <w:r>
        <w:rPr>
          <w:rFonts w:ascii="Times New Roman" w:cs="Times New Roman" w:eastAsia="Times New Roman" w:hAnsi="Times New Roman"/>
          <w:sz w:val="20"/>
          <w:szCs w:val="20"/>
          <w:b w:val="1"/>
          <w:bCs w:val="1"/>
          <w:i w:val="1"/>
          <w:iCs w:val="1"/>
          <w:color w:val="auto"/>
        </w:rPr>
        <w:t>Overall Share Limit</w:t>
      </w:r>
      <w:r>
        <w:rPr>
          <w:rFonts w:ascii="Times New Roman" w:cs="Times New Roman" w:eastAsia="Times New Roman" w:hAnsi="Times New Roman"/>
          <w:sz w:val="20"/>
          <w:szCs w:val="20"/>
          <w:color w:val="auto"/>
        </w:rPr>
        <w:t>” means the sum of (a) 69,238,008 Shares; plus (b) an increase on the date immediately following the Notes Exchange Final Closing equal to a number of shares of Common Stock representing 10.0% of the Post-Transaction Fully-Diluted</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Shares Outstanding as of the date immediately following the Notes Exchange Final Closing (rounded up to the nearest whole Share); plus (c) any shares of Common Stock which are subject to Prior Plan Awards as of the Restatement Effective Date which become available for</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issuance under the Plan pursuant to Article IV following the Restatement Effective Date; plus (d) an annual increase on the first day of each calendar year beginning January 1, 2027 and ending on and including January 1, 2036, equal to the lesser of (i) 5%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0"/>
          <w:szCs w:val="20"/>
          <w:color w:val="auto"/>
        </w:rPr>
        <w:t>Evergreen Fully-Diluted Shares on the final day of the immediately preceding calendar year (rounded up to the nearest whole Share) and (ii) such smaller number of Shares as is determined by the Board.</w:t>
      </w:r>
    </w:p>
    <w:p>
      <w:pPr>
        <w:spacing w:after="0" w:line="144"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color w:val="auto"/>
        </w:rPr>
        <w:t>11.37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Participant</w:t>
      </w:r>
      <w:r>
        <w:rPr>
          <w:rFonts w:ascii="Times New Roman" w:cs="Times New Roman" w:eastAsia="Times New Roman" w:hAnsi="Times New Roman"/>
          <w:sz w:val="19"/>
          <w:szCs w:val="19"/>
          <w:color w:val="auto"/>
        </w:rPr>
        <w:t>” means a Service Provider who has been granted an Award.</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11.38</w:t>
        <w:tab/>
        <w:t>“</w:t>
      </w:r>
      <w:r>
        <w:rPr>
          <w:rFonts w:ascii="Times New Roman" w:cs="Times New Roman" w:eastAsia="Times New Roman" w:hAnsi="Times New Roman"/>
          <w:sz w:val="20"/>
          <w:szCs w:val="20"/>
          <w:b w:val="1"/>
          <w:bCs w:val="1"/>
          <w:i w:val="1"/>
          <w:iCs w:val="1"/>
          <w:color w:val="auto"/>
        </w:rPr>
        <w:t>Performance Criteria</w:t>
      </w:r>
      <w:r>
        <w:rPr>
          <w:rFonts w:ascii="Times New Roman" w:cs="Times New Roman" w:eastAsia="Times New Roman" w:hAnsi="Times New Roman"/>
          <w:sz w:val="20"/>
          <w:szCs w:val="20"/>
          <w:color w:val="auto"/>
        </w:rPr>
        <w:t>” mean the criteria (and adjustments) that the Administrator may select for an Award to establish</w:t>
      </w:r>
    </w:p>
    <w:p>
      <w:pPr>
        <w:spacing w:after="0" w:line="204" w:lineRule="auto"/>
        <w:rPr>
          <w:sz w:val="20"/>
          <w:szCs w:val="20"/>
          <w:color w:val="auto"/>
        </w:rPr>
      </w:pPr>
      <w:r>
        <w:rPr>
          <w:rFonts w:ascii="Times New Roman" w:cs="Times New Roman" w:eastAsia="Times New Roman" w:hAnsi="Times New Roman"/>
          <w:sz w:val="20"/>
          <w:szCs w:val="20"/>
          <w:color w:val="auto"/>
        </w:rPr>
        <w:t>performance goals for a performance period, which may include the following: net earnings or losses (either before or after one or more of interest, taxes, depreciation, amortization, and non-cash equity-based compensation expense); gross or net sales or revenue or sales or</w:t>
      </w:r>
    </w:p>
    <w:p>
      <w:pPr>
        <w:spacing w:after="0" w:line="223" w:lineRule="auto"/>
        <w:rPr>
          <w:sz w:val="20"/>
          <w:szCs w:val="20"/>
          <w:color w:val="auto"/>
        </w:rPr>
      </w:pPr>
      <w:r>
        <w:rPr>
          <w:rFonts w:ascii="Times New Roman" w:cs="Times New Roman" w:eastAsia="Times New Roman" w:hAnsi="Times New Roman"/>
          <w:sz w:val="19"/>
          <w:szCs w:val="19"/>
          <w:color w:val="auto"/>
        </w:rPr>
        <w:t>revenue growth; net income (either before or after taxes) or adjusted net income; profits (including but not limited to gross profits, net profits,</w:t>
      </w:r>
    </w:p>
    <w:p>
      <w:pPr>
        <w:spacing w:after="0" w:line="215" w:lineRule="auto"/>
        <w:rPr>
          <w:sz w:val="20"/>
          <w:szCs w:val="20"/>
          <w:color w:val="auto"/>
        </w:rPr>
      </w:pPr>
      <w:r>
        <w:rPr>
          <w:rFonts w:ascii="Times New Roman" w:cs="Times New Roman" w:eastAsia="Times New Roman" w:hAnsi="Times New Roman"/>
          <w:sz w:val="19"/>
          <w:szCs w:val="19"/>
          <w:color w:val="auto"/>
        </w:rPr>
        <w:t>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w:t>
      </w:r>
    </w:p>
    <w:p>
      <w:pPr>
        <w:spacing w:after="0" w:line="222" w:lineRule="auto"/>
        <w:rPr>
          <w:sz w:val="20"/>
          <w:szCs w:val="20"/>
          <w:color w:val="auto"/>
        </w:rPr>
      </w:pPr>
      <w:r>
        <w:rPr>
          <w:rFonts w:ascii="Times New Roman" w:cs="Times New Roman" w:eastAsia="Times New Roman" w:hAnsi="Times New Roman"/>
          <w:sz w:val="19"/>
          <w:szCs w:val="19"/>
          <w:color w:val="auto"/>
        </w:rPr>
        <w:t>flow return on capital); return on assets; return on capital or invested capital; cost of capital; return on stockholders’ equity; total stockholder</w:t>
      </w:r>
    </w:p>
    <w:p>
      <w:pPr>
        <w:spacing w:after="0" w:line="204" w:lineRule="auto"/>
        <w:rPr>
          <w:sz w:val="20"/>
          <w:szCs w:val="20"/>
          <w:color w:val="auto"/>
        </w:rPr>
      </w:pPr>
      <w:r>
        <w:rPr>
          <w:rFonts w:ascii="Times New Roman" w:cs="Times New Roman" w:eastAsia="Times New Roman" w:hAnsi="Times New Roman"/>
          <w:sz w:val="20"/>
          <w:szCs w:val="20"/>
          <w:color w:val="auto"/>
        </w:rPr>
        <w:t>return; return on sales; costs, reductions in costs and cost control measures; expenses; working capital; earnings or loss per share; adjusted earnings or loss per share; price per share or dividends per share (or appreciation in or maintenance of such price or dividends); regulatory</w:t>
      </w:r>
    </w:p>
    <w:p>
      <w:pPr>
        <w:spacing w:after="0" w:line="211" w:lineRule="auto"/>
        <w:rPr>
          <w:sz w:val="20"/>
          <w:szCs w:val="20"/>
          <w:color w:val="auto"/>
        </w:rPr>
      </w:pPr>
      <w:r>
        <w:rPr>
          <w:rFonts w:ascii="Times New Roman" w:cs="Times New Roman" w:eastAsia="Times New Roman" w:hAnsi="Times New Roman"/>
          <w:sz w:val="20"/>
          <w:szCs w:val="20"/>
          <w:color w:val="auto"/>
        </w:rPr>
        <w:t>achievements or compliance; implementation, completion or attainment of objectives relating to research, development, regulatory,</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commercial, or strategic milestones or developments; market share; economic value or economic value added models; division, group or corporate financial goals; customer satisfaction/growth; customer service; employee satisfaction; recruitment and maintenance of personnel;</w:t>
      </w:r>
    </w:p>
    <w:p>
      <w:pPr>
        <w:spacing w:after="0" w:line="211" w:lineRule="auto"/>
        <w:rPr>
          <w:sz w:val="20"/>
          <w:szCs w:val="20"/>
          <w:color w:val="auto"/>
        </w:rPr>
      </w:pPr>
      <w:r>
        <w:rPr>
          <w:rFonts w:ascii="Times New Roman" w:cs="Times New Roman" w:eastAsia="Times New Roman" w:hAnsi="Times New Roman"/>
          <w:sz w:val="20"/>
          <w:szCs w:val="20"/>
          <w:color w:val="auto"/>
        </w:rPr>
        <w:t>human resources management; supervision of litigation and other legal matters; strategic partnerships and transactions; financial ratios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(including those measuring liquidity, activity, profitability or leverage); debt levels or reductions; sales-related goals; financing and other capital raising transactions; cash on hand; acquisition activity; investment sourcing activity; and marketing initiatives, any of which may be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measured in absolute terms or as compared to any incremental increase or decrease. Such performance goals also may be based solely by reference to the Company’s performance or the performance of a Subsidiary, division, business segment or business unit of the Company or a</w:t>
      </w:r>
    </w:p>
    <w:p>
      <w:pPr>
        <w:spacing w:after="0" w:line="228" w:lineRule="auto"/>
        <w:rPr>
          <w:sz w:val="20"/>
          <w:szCs w:val="20"/>
          <w:color w:val="auto"/>
        </w:rPr>
      </w:pPr>
      <w:r>
        <w:rPr>
          <w:rFonts w:ascii="Times New Roman" w:cs="Times New Roman" w:eastAsia="Times New Roman" w:hAnsi="Times New Roman"/>
          <w:sz w:val="20"/>
          <w:szCs w:val="20"/>
          <w:color w:val="auto"/>
        </w:rPr>
        <w:t>Subsidiary, or based upon performance relative to performance of other companies or upon comparisons of any of the indicators of performance relative to performance of other companies.</w:t>
      </w:r>
    </w:p>
    <w:p>
      <w:pPr>
        <w:spacing w:after="0" w:line="14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11.39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means this amended and restated 2019 Incentive Award Plan.</w:t>
      </w:r>
    </w:p>
    <w:p>
      <w:pPr>
        <w:spacing w:after="0" w:line="189"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11.40 “</w:t>
      </w:r>
      <w:r>
        <w:rPr>
          <w:rFonts w:ascii="Times New Roman" w:cs="Times New Roman" w:eastAsia="Times New Roman" w:hAnsi="Times New Roman"/>
          <w:sz w:val="20"/>
          <w:szCs w:val="20"/>
          <w:b w:val="1"/>
          <w:bCs w:val="1"/>
          <w:i w:val="1"/>
          <w:iCs w:val="1"/>
          <w:color w:val="auto"/>
        </w:rPr>
        <w:t>Post-Transaction Fully-Diluted Shares</w:t>
      </w:r>
      <w:r>
        <w:rPr>
          <w:rFonts w:ascii="Times New Roman" w:cs="Times New Roman" w:eastAsia="Times New Roman" w:hAnsi="Times New Roman"/>
          <w:sz w:val="20"/>
          <w:szCs w:val="20"/>
          <w:color w:val="auto"/>
        </w:rPr>
        <w:t>” means, as of the date immediately following the date of the Notes Exchange Final Closing, the sum of:</w:t>
      </w:r>
    </w:p>
    <w:p>
      <w:pPr>
        <w:spacing w:after="0" w:line="142" w:lineRule="exact"/>
        <w:rPr>
          <w:sz w:val="20"/>
          <w:szCs w:val="20"/>
          <w:color w:val="auto"/>
        </w:rPr>
      </w:pPr>
    </w:p>
    <w:p>
      <w:pPr>
        <w:jc w:val="both"/>
        <w:ind w:firstLine="1304"/>
        <w:spacing w:after="0" w:line="230" w:lineRule="auto"/>
        <w:tabs>
          <w:tab w:leader="none" w:pos="193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shares of Common Stock outstanding on such date (calculated on an as-converted basis after giving effect to the occurrence of the Notes Exchange Final Closing, which shall include the shares of Common Stock reserved for potential issuance under the Warrants and any New Equity but exclude the shares of Common Stock issuable under the New Notes); plus</w:t>
      </w:r>
    </w:p>
    <w:p>
      <w:pPr>
        <w:spacing w:after="0" w:line="148" w:lineRule="exact"/>
        <w:rPr>
          <w:rFonts w:ascii="Times New Roman" w:cs="Times New Roman" w:eastAsia="Times New Roman" w:hAnsi="Times New Roman"/>
          <w:sz w:val="20"/>
          <w:szCs w:val="20"/>
          <w:color w:val="auto"/>
        </w:rPr>
      </w:pPr>
    </w:p>
    <w:p>
      <w:pPr>
        <w:ind w:firstLine="1304"/>
        <w:spacing w:after="0"/>
        <w:tabs>
          <w:tab w:leader="none" w:pos="193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shares of Common Stock subject to the equity awards (including stock options) outstanding under the Company’s equity plans on such date.</w:t>
      </w:r>
    </w:p>
    <w:p>
      <w:pPr>
        <w:spacing w:after="0" w:line="157"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11.41 “</w:t>
      </w:r>
      <w:r>
        <w:rPr>
          <w:rFonts w:ascii="Times New Roman" w:cs="Times New Roman" w:eastAsia="Times New Roman" w:hAnsi="Times New Roman"/>
          <w:sz w:val="20"/>
          <w:szCs w:val="20"/>
          <w:b w:val="1"/>
          <w:bCs w:val="1"/>
          <w:i w:val="1"/>
          <w:iCs w:val="1"/>
          <w:color w:val="auto"/>
        </w:rPr>
        <w:t>Prefunded Warrants</w:t>
      </w:r>
      <w:r>
        <w:rPr>
          <w:rFonts w:ascii="Times New Roman" w:cs="Times New Roman" w:eastAsia="Times New Roman" w:hAnsi="Times New Roman"/>
          <w:sz w:val="20"/>
          <w:szCs w:val="20"/>
          <w:color w:val="auto"/>
        </w:rPr>
        <w:t>” means the prefunded warrants to purchase shares of Common Stock issued pursuant to the Notes Exchange.</w:t>
      </w:r>
    </w:p>
    <w:p>
      <w:pPr>
        <w:spacing w:after="0" w:line="157"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11.42 “</w:t>
      </w:r>
      <w:r>
        <w:rPr>
          <w:rFonts w:ascii="Times New Roman" w:cs="Times New Roman" w:eastAsia="Times New Roman" w:hAnsi="Times New Roman"/>
          <w:sz w:val="20"/>
          <w:szCs w:val="20"/>
          <w:b w:val="1"/>
          <w:bCs w:val="1"/>
          <w:i w:val="1"/>
          <w:iCs w:val="1"/>
          <w:color w:val="auto"/>
        </w:rPr>
        <w:t>Purchase Warrants</w:t>
      </w:r>
      <w:r>
        <w:rPr>
          <w:rFonts w:ascii="Times New Roman" w:cs="Times New Roman" w:eastAsia="Times New Roman" w:hAnsi="Times New Roman"/>
          <w:sz w:val="20"/>
          <w:szCs w:val="20"/>
          <w:color w:val="auto"/>
        </w:rPr>
        <w:t>” means warrants to purchase shares of Common Stock issued to holders of Existing 2027 Notes who tender prior to the Early Tender Deadline pursuant to the Notes Exchange.</w:t>
      </w:r>
    </w:p>
    <w:p>
      <w:pPr>
        <w:spacing w:after="0" w:line="13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11.43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Prior Plan</w:t>
      </w:r>
      <w:r>
        <w:rPr>
          <w:rFonts w:ascii="Times New Roman" w:cs="Times New Roman" w:eastAsia="Times New Roman" w:hAnsi="Times New Roman"/>
          <w:sz w:val="19"/>
          <w:szCs w:val="19"/>
          <w:color w:val="auto"/>
        </w:rPr>
        <w:t>” means the Gossamer Bio, Inc. 2017 Stock Incentive Plan, as amended.</w:t>
      </w:r>
    </w:p>
    <w:p>
      <w:pPr>
        <w:spacing w:after="0" w:line="18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color w:val="auto"/>
        </w:rPr>
        <w:t>11.44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Prior Plan Award</w:t>
      </w:r>
      <w:r>
        <w:rPr>
          <w:rFonts w:ascii="Times New Roman" w:cs="Times New Roman" w:eastAsia="Times New Roman" w:hAnsi="Times New Roman"/>
          <w:sz w:val="19"/>
          <w:szCs w:val="19"/>
          <w:color w:val="auto"/>
        </w:rPr>
        <w:t>” means an award outstanding under the Prior Plan as of the Restatement Effective Date.</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11.45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Restatement Effective Date</w:t>
      </w:r>
      <w:r>
        <w:rPr>
          <w:rFonts w:ascii="Times New Roman" w:cs="Times New Roman" w:eastAsia="Times New Roman" w:hAnsi="Times New Roman"/>
          <w:sz w:val="19"/>
          <w:szCs w:val="19"/>
          <w:color w:val="auto"/>
        </w:rPr>
        <w:t>” shall have the meaning set forth in Section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88" w:name="page89"/>
    <w:bookmarkEnd w:id="88"/>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11.46 “</w:t>
      </w:r>
      <w:r>
        <w:rPr>
          <w:rFonts w:ascii="Times New Roman" w:cs="Times New Roman" w:eastAsia="Times New Roman" w:hAnsi="Times New Roman"/>
          <w:sz w:val="20"/>
          <w:szCs w:val="20"/>
          <w:b w:val="1"/>
          <w:bCs w:val="1"/>
          <w:i w:val="1"/>
          <w:iCs w:val="1"/>
          <w:color w:val="auto"/>
        </w:rPr>
        <w:t>Restricted Stock</w:t>
      </w:r>
      <w:r>
        <w:rPr>
          <w:rFonts w:ascii="Times New Roman" w:cs="Times New Roman" w:eastAsia="Times New Roman" w:hAnsi="Times New Roman"/>
          <w:sz w:val="20"/>
          <w:szCs w:val="20"/>
          <w:color w:val="auto"/>
        </w:rPr>
        <w:t>” means Shares awarded to a Participant under Article VI subject to certain vesting conditions and other restrictions.</w:t>
      </w:r>
    </w:p>
    <w:p>
      <w:pPr>
        <w:spacing w:after="0" w:line="13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11.47 “</w:t>
      </w:r>
      <w:r>
        <w:rPr>
          <w:rFonts w:ascii="Times New Roman" w:cs="Times New Roman" w:eastAsia="Times New Roman" w:hAnsi="Times New Roman"/>
          <w:sz w:val="20"/>
          <w:szCs w:val="20"/>
          <w:b w:val="1"/>
          <w:bCs w:val="1"/>
          <w:i w:val="1"/>
          <w:iCs w:val="1"/>
          <w:color w:val="auto"/>
        </w:rPr>
        <w:t>Restricted Stock Unit</w:t>
      </w:r>
      <w:r>
        <w:rPr>
          <w:rFonts w:ascii="Times New Roman" w:cs="Times New Roman" w:eastAsia="Times New Roman" w:hAnsi="Times New Roman"/>
          <w:sz w:val="20"/>
          <w:szCs w:val="20"/>
          <w:color w:val="auto"/>
        </w:rPr>
        <w:t>” means an unfunded, unsecured right to receive, on the applicable settlement date, one Share or an amount in cash or other consideration determined by the Administrator to be of equal value as of such settlement date awarded to a Participant under Article VI subject to certain vesting conditions and other restrictions.</w:t>
      </w:r>
    </w:p>
    <w:p>
      <w:pPr>
        <w:spacing w:after="0" w:line="14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11.48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Rule 16b-3</w:t>
      </w:r>
      <w:r>
        <w:rPr>
          <w:rFonts w:ascii="Times New Roman" w:cs="Times New Roman" w:eastAsia="Times New Roman" w:hAnsi="Times New Roman"/>
          <w:sz w:val="19"/>
          <w:szCs w:val="19"/>
          <w:color w:val="auto"/>
        </w:rPr>
        <w:t>” means Rule 16b-3 promulgated under the Exchange Act.</w:t>
      </w:r>
    </w:p>
    <w:p>
      <w:pPr>
        <w:spacing w:after="0" w:line="18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11.49 “</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means Section 409A of the Code and all regulations, guidance, compliance programs and other interpretative authority thereunder.</w:t>
      </w:r>
    </w:p>
    <w:p>
      <w:pPr>
        <w:spacing w:after="0" w:line="13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11.50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Securities Act</w:t>
      </w:r>
      <w:r>
        <w:rPr>
          <w:rFonts w:ascii="Times New Roman" w:cs="Times New Roman" w:eastAsia="Times New Roman" w:hAnsi="Times New Roman"/>
          <w:sz w:val="19"/>
          <w:szCs w:val="19"/>
          <w:color w:val="auto"/>
        </w:rPr>
        <w:t>” means the Securities Act of 1933, as amended.</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11.51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Service Provider</w:t>
      </w:r>
      <w:r>
        <w:rPr>
          <w:rFonts w:ascii="Times New Roman" w:cs="Times New Roman" w:eastAsia="Times New Roman" w:hAnsi="Times New Roman"/>
          <w:sz w:val="19"/>
          <w:szCs w:val="19"/>
          <w:color w:val="auto"/>
        </w:rPr>
        <w:t>” means an Employee, Consultant or Director.</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11.52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Shares</w:t>
      </w:r>
      <w:r>
        <w:rPr>
          <w:rFonts w:ascii="Times New Roman" w:cs="Times New Roman" w:eastAsia="Times New Roman" w:hAnsi="Times New Roman"/>
          <w:sz w:val="19"/>
          <w:szCs w:val="19"/>
          <w:color w:val="auto"/>
        </w:rPr>
        <w:t>” means shares of Common Stock.</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11.53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Stock Appreciation Right</w:t>
      </w:r>
      <w:r>
        <w:rPr>
          <w:rFonts w:ascii="Times New Roman" w:cs="Times New Roman" w:eastAsia="Times New Roman" w:hAnsi="Times New Roman"/>
          <w:sz w:val="19"/>
          <w:szCs w:val="19"/>
          <w:color w:val="auto"/>
        </w:rPr>
        <w:t>” means a stock appreciation right granted under Article V.</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11.54</w:t>
        <w:tab/>
        <w:t>“</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means any entity (other than the Company), whether domestic or foreign, in an unbroken chain of entities</w:t>
      </w:r>
    </w:p>
    <w:p>
      <w:pPr>
        <w:jc w:val="both"/>
        <w:spacing w:after="0" w:line="204" w:lineRule="auto"/>
        <w:rPr>
          <w:sz w:val="20"/>
          <w:szCs w:val="20"/>
          <w:color w:val="auto"/>
        </w:rPr>
      </w:pPr>
      <w:r>
        <w:rPr>
          <w:rFonts w:ascii="Times New Roman" w:cs="Times New Roman" w:eastAsia="Times New Roman" w:hAnsi="Times New Roman"/>
          <w:sz w:val="20"/>
          <w:szCs w:val="20"/>
          <w:color w:val="auto"/>
        </w:rPr>
        <w:t>beginning with the Company if each of the entities other than the last entity in the unbroken chain beneficially owns, at the time of the determination, securities or interests representing at least 50% of the total combined voting power of all classes of securities or interests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one of the other entities in such chain.</w:t>
      </w:r>
    </w:p>
    <w:p>
      <w:pPr>
        <w:spacing w:after="0" w:line="16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11.55 “</w:t>
      </w:r>
      <w:r>
        <w:rPr>
          <w:rFonts w:ascii="Times New Roman" w:cs="Times New Roman" w:eastAsia="Times New Roman" w:hAnsi="Times New Roman"/>
          <w:sz w:val="20"/>
          <w:szCs w:val="20"/>
          <w:b w:val="1"/>
          <w:bCs w:val="1"/>
          <w:i w:val="1"/>
          <w:iCs w:val="1"/>
          <w:color w:val="auto"/>
        </w:rPr>
        <w:t>Substitute Awards</w:t>
      </w:r>
      <w:r>
        <w:rPr>
          <w:rFonts w:ascii="Times New Roman" w:cs="Times New Roman" w:eastAsia="Times New Roman" w:hAnsi="Times New Roman"/>
          <w:sz w:val="20"/>
          <w:szCs w:val="20"/>
          <w:color w:val="auto"/>
        </w:rPr>
        <w:t>” shall mean Awards granted or Shares issued by the Company in assumption of, or in substitution or exchange for, awards previously granted, or the right or obligation to make future awards, in each case by a company acquired by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or any Subsidiary or with which the Company or any Subsidiary combines.</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11.56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Termination of Service</w:t>
      </w:r>
      <w:r>
        <w:rPr>
          <w:rFonts w:ascii="Times New Roman" w:cs="Times New Roman" w:eastAsia="Times New Roman" w:hAnsi="Times New Roman"/>
          <w:sz w:val="19"/>
          <w:szCs w:val="19"/>
          <w:color w:val="auto"/>
        </w:rPr>
        <w:t>” means the date the Participant ceases to be a Service Provider.</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11.57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Warrants</w:t>
      </w:r>
      <w:r>
        <w:rPr>
          <w:rFonts w:ascii="Times New Roman" w:cs="Times New Roman" w:eastAsia="Times New Roman" w:hAnsi="Times New Roman"/>
          <w:sz w:val="19"/>
          <w:szCs w:val="19"/>
          <w:color w:val="auto"/>
        </w:rPr>
        <w:t>” means the Prefunded Warrants, if applicable, and the Purchase Warrants.</w:t>
      </w:r>
    </w:p>
    <w:p>
      <w:pPr>
        <w:spacing w:after="0" w:line="20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89" w:name="page90"/>
    <w:bookmarkEnd w:id="89"/>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B</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SHARE INCREASE AMENDMENT</w:t>
      </w:r>
    </w:p>
    <w:p>
      <w:pPr>
        <w:spacing w:after="0" w:line="3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Certificate of Amendment</w:t>
      </w:r>
    </w:p>
    <w:p>
      <w:pPr>
        <w:spacing w:after="0" w:line="3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1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Amended and Restated Certificate of Incorporation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Gossamer Bio, Inc.</w:t>
      </w:r>
    </w:p>
    <w:p>
      <w:pPr>
        <w:spacing w:after="0" w:line="227"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Gossamer Bio, Inc. (the “Corporation”), a corporation organized and existing under and by virtue of the General Corporation Law of the State of Delaware (the “DGCL”), does hereby certify:</w:t>
      </w:r>
    </w:p>
    <w:p>
      <w:pPr>
        <w:spacing w:after="0" w:line="146" w:lineRule="exact"/>
        <w:rPr>
          <w:sz w:val="20"/>
          <w:szCs w:val="20"/>
          <w:color w:val="auto"/>
        </w:rPr>
      </w:pPr>
    </w:p>
    <w:p>
      <w:pPr>
        <w:ind w:left="1040" w:hanging="384"/>
        <w:spacing w:after="0"/>
        <w:tabs>
          <w:tab w:leader="none" w:pos="10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which was originally known as FSG Bio, Inc., originally filed its Certificate of Incorporation on October 26,</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2015.</w:t>
      </w:r>
    </w:p>
    <w:p>
      <w:pPr>
        <w:spacing w:after="0" w:line="214" w:lineRule="exact"/>
        <w:rPr>
          <w:sz w:val="20"/>
          <w:szCs w:val="20"/>
          <w:color w:val="auto"/>
        </w:rPr>
      </w:pPr>
    </w:p>
    <w:p>
      <w:pPr>
        <w:jc w:val="both"/>
        <w:ind w:firstLine="656"/>
        <w:spacing w:after="0" w:line="254" w:lineRule="auto"/>
        <w:tabs>
          <w:tab w:leader="none" w:pos="108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Board of Directors of said Corporation duly adopted resolutions setting forth a proposed amendment of the Amended and Restated Certificate of Incorporation of the Corporation (the “Certificate”), declaring said amendment to be advisable and directing its officers to submit said amendment to the stockholders of the Corporation for consideration thereof. The resolution setting forth the proposed amendment is as follows:</w:t>
      </w:r>
    </w:p>
    <w:p>
      <w:pPr>
        <w:spacing w:after="0" w:line="187"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THEREFORE, BE IT RESOLVED, that the first paragraph of Article FOURTH of the Certificate is hereby amended to read in its entirety as follows:</w:t>
      </w:r>
    </w:p>
    <w:p>
      <w:pPr>
        <w:spacing w:after="0" w:line="155" w:lineRule="exact"/>
        <w:rPr>
          <w:sz w:val="20"/>
          <w:szCs w:val="20"/>
          <w:color w:val="auto"/>
        </w:rPr>
      </w:pPr>
    </w:p>
    <w:p>
      <w:pPr>
        <w:jc w:val="both"/>
        <w:ind w:left="440" w:right="160" w:firstLine="352"/>
        <w:spacing w:after="0" w:line="252" w:lineRule="auto"/>
        <w:rPr>
          <w:sz w:val="20"/>
          <w:szCs w:val="20"/>
          <w:color w:val="auto"/>
        </w:rPr>
      </w:pPr>
      <w:r>
        <w:rPr>
          <w:rFonts w:ascii="Times New Roman" w:cs="Times New Roman" w:eastAsia="Times New Roman" w:hAnsi="Times New Roman"/>
          <w:sz w:val="22"/>
          <w:szCs w:val="22"/>
          <w:color w:val="auto"/>
        </w:rPr>
        <w:t xml:space="preserve">FOURTH: </w:t>
      </w:r>
      <w:r>
        <w:rPr>
          <w:rFonts w:ascii="Times New Roman" w:cs="Times New Roman" w:eastAsia="Times New Roman" w:hAnsi="Times New Roman"/>
          <w:sz w:val="19"/>
          <w:szCs w:val="19"/>
          <w:color w:val="auto"/>
        </w:rPr>
        <w:t>The total number of shares of all classes of stock which the Corporation shall have authority to issue is 4,070,000,000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shares, consisting of (a) 4,000,000,000 shares of Common Stock, $0.0001 par value per share (“Common Stock”), and (b) 70,000,000 shares of Preferred Stock, $0.0001 par value per share (“Preferred Stock”).</w:t>
      </w:r>
    </w:p>
    <w:p>
      <w:pPr>
        <w:spacing w:after="0" w:line="189" w:lineRule="exact"/>
        <w:rPr>
          <w:sz w:val="20"/>
          <w:szCs w:val="20"/>
          <w:color w:val="auto"/>
        </w:rPr>
      </w:pPr>
    </w:p>
    <w:p>
      <w:pPr>
        <w:ind w:firstLine="656"/>
        <w:spacing w:after="0" w:line="283" w:lineRule="auto"/>
        <w:tabs>
          <w:tab w:leader="none" w:pos="1075"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thereafter, pursuant to a resolution of the Board of Directors, the stockholders gave their approval of said amendment at a meeting of stockholders in accordance with the provisions of Section 211 of the DGCL.</w:t>
      </w:r>
    </w:p>
    <w:p>
      <w:pPr>
        <w:spacing w:after="0" w:line="146" w:lineRule="exact"/>
        <w:rPr>
          <w:rFonts w:ascii="Times New Roman" w:cs="Times New Roman" w:eastAsia="Times New Roman" w:hAnsi="Times New Roman"/>
          <w:sz w:val="20"/>
          <w:szCs w:val="20"/>
          <w:color w:val="auto"/>
        </w:rPr>
      </w:pPr>
    </w:p>
    <w:p>
      <w:pPr>
        <w:jc w:val="both"/>
        <w:ind w:firstLine="656"/>
        <w:spacing w:after="0" w:line="257" w:lineRule="auto"/>
        <w:tabs>
          <w:tab w:leader="none" w:pos="1033"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Certificate of Amendment was duly adopted in accordance with Section 242 of the DGCL. The Board of Directors of the Corporation duly adopted resolutions setting forth and declaring advisable this Certificate of Amendment and directed that such amendment be considered by the stockholders of the Corporation. A special meeting of stockholders was duly called upon notice in accordance with Section 222 of the DGCL and held on [ </w:t>
      </w:r>
      <w:r>
        <w:rPr>
          <w:rFonts w:ascii="Arial" w:cs="Arial" w:eastAsia="Arial" w:hAnsi="Arial"/>
          <w:sz w:val="14"/>
          <w:szCs w:val="14"/>
          <w:b w:val="1"/>
          <w:bCs w:val="1"/>
          <w:color w:val="auto"/>
        </w:rPr>
        <w:t>ò</w:t>
      </w:r>
      <w:r>
        <w:rPr>
          <w:rFonts w:ascii="Times New Roman" w:cs="Times New Roman" w:eastAsia="Times New Roman" w:hAnsi="Times New Roman"/>
          <w:sz w:val="20"/>
          <w:szCs w:val="20"/>
          <w:color w:val="auto"/>
        </w:rPr>
        <w:t xml:space="preserve"> ], 202[6], at which meeting the necessary number of shares were voted in favor of such amendment. The stockholders of the Corporation duly adopted this Certificate of Amendment.</w:t>
      </w:r>
    </w:p>
    <w:p>
      <w:pPr>
        <w:spacing w:after="0" w:line="172"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Certificate of Amendment shall become effective upon filing with the Secretary of Statement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29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u w:val="single" w:color="auto"/>
          <w:color w:val="auto"/>
        </w:rPr>
        <w:t>ANNEX C</w:t>
      </w:r>
    </w:p>
    <w:p>
      <w:pPr>
        <w:spacing w:after="0" w:line="18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u w:val="single" w:color="auto"/>
          <w:color w:val="auto"/>
        </w:rPr>
        <w:t>FORM OF REVERSE STOCK SPLIT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(if Share Increase Amendment is approved and becomes effective)</w:t>
      </w:r>
    </w:p>
    <w:p>
      <w:pPr>
        <w:spacing w:after="0" w:line="30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Certificate of Amendment</w:t>
      </w:r>
    </w:p>
    <w:p>
      <w:pPr>
        <w:spacing w:after="0" w:line="3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1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Amended and Restated Certificate of Incorporation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Gossamer Bio, Inc.</w:t>
      </w:r>
    </w:p>
    <w:p>
      <w:pPr>
        <w:spacing w:after="0" w:line="227"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Gossamer Bio, Inc. (the “Corporation”), a corporation organized and existing under and by virtue of the General Corporation Law of the State of Delaware (the “DGCL”), does hereby certify:</w:t>
      </w:r>
    </w:p>
    <w:p>
      <w:pPr>
        <w:spacing w:after="0" w:line="146" w:lineRule="exact"/>
        <w:rPr>
          <w:sz w:val="20"/>
          <w:szCs w:val="20"/>
          <w:color w:val="auto"/>
        </w:rPr>
      </w:pPr>
    </w:p>
    <w:p>
      <w:pPr>
        <w:ind w:left="1040" w:hanging="384"/>
        <w:spacing w:after="0"/>
        <w:tabs>
          <w:tab w:leader="none" w:pos="104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which was originally known as FSG Bio, Inc., originally filed its Certificate of Incorporation on October 26,</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2015.</w:t>
      </w:r>
    </w:p>
    <w:p>
      <w:pPr>
        <w:spacing w:after="0" w:line="214" w:lineRule="exact"/>
        <w:rPr>
          <w:sz w:val="20"/>
          <w:szCs w:val="20"/>
          <w:color w:val="auto"/>
        </w:rPr>
      </w:pPr>
    </w:p>
    <w:p>
      <w:pPr>
        <w:jc w:val="both"/>
        <w:ind w:firstLine="656"/>
        <w:spacing w:after="0" w:line="254" w:lineRule="auto"/>
        <w:tabs>
          <w:tab w:leader="none" w:pos="108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Board of Directors of said Corporation duly adopted resolutions setting forth a proposed amendment of the Amended and Restated Certificate of Incorporation of the Corporation (the “Certificate”), declaring said amendment to be advisable and directing its officers to submit said amendment to the stockholders of the Corporation for consideration thereof. The resolution setting forth the proposed amendment is as follows:</w:t>
      </w:r>
    </w:p>
    <w:p>
      <w:pPr>
        <w:spacing w:after="0" w:line="187"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THEREFORE, BE IT RESOLVED, that the first paragraph of Article FOURTH of the Certificate is hereby amended to read in its entirety as follows:</w:t>
      </w:r>
    </w:p>
    <w:p>
      <w:pPr>
        <w:spacing w:after="0" w:line="155" w:lineRule="exact"/>
        <w:rPr>
          <w:sz w:val="20"/>
          <w:szCs w:val="20"/>
          <w:color w:val="auto"/>
        </w:rPr>
      </w:pPr>
    </w:p>
    <w:p>
      <w:pPr>
        <w:jc w:val="both"/>
        <w:ind w:left="440" w:right="140" w:firstLine="352"/>
        <w:spacing w:after="0" w:line="264" w:lineRule="auto"/>
        <w:rPr>
          <w:sz w:val="20"/>
          <w:szCs w:val="20"/>
          <w:color w:val="auto"/>
        </w:rPr>
      </w:pPr>
      <w:r>
        <w:rPr>
          <w:rFonts w:ascii="Times New Roman" w:cs="Times New Roman" w:eastAsia="Times New Roman" w:hAnsi="Times New Roman"/>
          <w:sz w:val="22"/>
          <w:szCs w:val="22"/>
          <w:color w:val="auto"/>
        </w:rPr>
        <w:t xml:space="preserve">FOURTH: </w:t>
      </w:r>
      <w:r>
        <w:rPr>
          <w:rFonts w:ascii="Times New Roman" w:cs="Times New Roman" w:eastAsia="Times New Roman" w:hAnsi="Times New Roman"/>
          <w:sz w:val="19"/>
          <w:szCs w:val="19"/>
          <w:color w:val="auto"/>
        </w:rPr>
        <w:t>The total number of shares of all classes of stock which the Corporation shall have authority to issue is [Amendment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A-1: 470,000,000; Amendment B-1: 270,000,000; Amendment C-1: 203,333,334; Amendment D-1: 170,000,000; Amendment E-1: 150,000,000; Amendment F-1: 136,666,667; Amendment G-1: 127,142,858; Amendment H-1: 120,000,000; Amendment I-1: 114,444,445; Amendment J-1: 110,000,000; Amendment K-1: 106,363,637; Amendment L-1: 103,333,334; Amendment M-1: 100,769,231; Amendment N-1: 98,571,429; Amendment O-1: 96,666,667] shares, consisting of (a) [Amendment A-1: 400,000,000; Amendment B-1: 200,000,000; Amendment C-1: 133,333,334; Amendment D-1: 100,000,000; Amendment E-1: 80,000,000; Amendment F-1: 66,666,667; Amendment G-1: 57,142,858; Amendment H-1: 50,000,000; Amendment I-1: 44,444,445; Amendment J-1: 40,000,000; Amendment K-1: 36,363,637; Amendment L-1: 33,333,334; Amendment M-1: 30,769,231; Amendment N-1: 28,571,429; Amendment O-1: 26,666,667] shares of Common Stock, $0.0001 par value per share (“Common Stock”), and (b) 70,000,000 shares of Preferred Stock, $0.0001 par value per share (“Preferred Stock”).</w:t>
      </w:r>
    </w:p>
    <w:p>
      <w:pPr>
        <w:spacing w:after="0" w:line="169" w:lineRule="exact"/>
        <w:rPr>
          <w:sz w:val="20"/>
          <w:szCs w:val="20"/>
          <w:color w:val="auto"/>
        </w:rPr>
      </w:pPr>
    </w:p>
    <w:p>
      <w:pPr>
        <w:jc w:val="both"/>
        <w:ind w:left="440" w:right="140" w:firstLine="352"/>
        <w:spacing w:after="0" w:line="253" w:lineRule="auto"/>
        <w:rPr>
          <w:sz w:val="20"/>
          <w:szCs w:val="20"/>
          <w:color w:val="auto"/>
        </w:rPr>
      </w:pPr>
      <w:r>
        <w:rPr>
          <w:rFonts w:ascii="Times New Roman" w:cs="Times New Roman" w:eastAsia="Times New Roman" w:hAnsi="Times New Roman"/>
          <w:sz w:val="20"/>
          <w:szCs w:val="20"/>
          <w:color w:val="auto"/>
        </w:rPr>
        <w:t>Upon the filing and effectiveness (the “Effective Time”) of this Certificate of Amendment to the Amended and Restated Certificate of Incorporation of the Corporation with the Secretary of State of the State of Delaware, each [Amendment A-1: 10; Amendment B-1: 20; Amendment C-1: 30; Amendment D-1: 40; Amendment E-1: 50; Amendment F-1: 60; Amendment G-1: 70; Amendment H-1: 80; Amendment I-1: 90; Amendment J-1: 100; Amendment K-1: 110; Amendment L-1: 120; Amendment M-1: 130; Amendment N-1: 140; Amendment O-1: 150] shares of Common Stock then issued and outstanding immediately prior to the Effective Time shall automatically be reclassified and combined into one (1) validly issued, fully paid and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jc w:val="both"/>
        <w:ind w:left="440" w:right="140"/>
        <w:spacing w:after="0" w:line="276" w:lineRule="auto"/>
        <w:rPr>
          <w:sz w:val="20"/>
          <w:szCs w:val="20"/>
          <w:color w:val="auto"/>
        </w:rPr>
      </w:pPr>
      <w:r>
        <w:rPr>
          <w:rFonts w:ascii="Times New Roman" w:cs="Times New Roman" w:eastAsia="Times New Roman" w:hAnsi="Times New Roman"/>
          <w:sz w:val="19"/>
          <w:szCs w:val="19"/>
          <w:color w:val="auto"/>
        </w:rPr>
        <w:t>assessable share of Common Stock without any further action by the Corporation or the respective holders of such shares (the “Reverse Stock Split”). No fractional shares of Common Stock shall be issued as a result of the Reverse Stock Split and, in lieu thereof, the Corporation will issue to such holder such fraction of a share of Common Stock as is necessary to round the number of shares of Common Stock held by such holder immediately following the reverse stock split up to the nearest whole number of shares.</w:t>
      </w:r>
    </w:p>
    <w:p>
      <w:pPr>
        <w:spacing w:after="0" w:line="156" w:lineRule="exact"/>
        <w:rPr>
          <w:sz w:val="20"/>
          <w:szCs w:val="20"/>
          <w:color w:val="auto"/>
        </w:rPr>
      </w:pPr>
    </w:p>
    <w:p>
      <w:pPr>
        <w:ind w:firstLine="656"/>
        <w:spacing w:after="0" w:line="283" w:lineRule="auto"/>
        <w:tabs>
          <w:tab w:leader="none" w:pos="1075"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thereafter, pursuant to a resolution of the Board of Directors, the stockholders gave their approval of said amendment at a meeting of stockholders in accordance with the provisions of Section 211 of the DGCL.</w:t>
      </w:r>
    </w:p>
    <w:p>
      <w:pPr>
        <w:spacing w:after="0" w:line="159" w:lineRule="exact"/>
        <w:rPr>
          <w:rFonts w:ascii="Times New Roman" w:cs="Times New Roman" w:eastAsia="Times New Roman" w:hAnsi="Times New Roman"/>
          <w:sz w:val="20"/>
          <w:szCs w:val="20"/>
          <w:color w:val="auto"/>
        </w:rPr>
      </w:pPr>
    </w:p>
    <w:p>
      <w:pPr>
        <w:jc w:val="both"/>
        <w:ind w:firstLine="656"/>
        <w:spacing w:after="0" w:line="253" w:lineRule="auto"/>
        <w:tabs>
          <w:tab w:leader="none" w:pos="1033"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Certificate of Amendment was duly adopted in accordance with Section 242 of the DGCL. The Board of Directors of the Corporation duly adopted resolutions setting forth and declaring advisable this Certificate of Amendment and directed that such amendment be considered by the stockholders of the Corporation. A special meeting of stockholders was duly called upon notice in accordance with Section 222 of the DGCL and held on [ </w:t>
      </w:r>
      <w:r>
        <w:rPr>
          <w:rFonts w:ascii="Arial" w:cs="Arial" w:eastAsia="Arial" w:hAnsi="Arial"/>
          <w:sz w:val="14"/>
          <w:szCs w:val="14"/>
          <w:b w:val="1"/>
          <w:bCs w:val="1"/>
          <w:color w:val="auto"/>
        </w:rPr>
        <w:t>ò</w:t>
      </w:r>
      <w:r>
        <w:rPr>
          <w:rFonts w:ascii="Times New Roman" w:cs="Times New Roman" w:eastAsia="Times New Roman" w:hAnsi="Times New Roman"/>
          <w:sz w:val="20"/>
          <w:szCs w:val="20"/>
          <w:color w:val="auto"/>
        </w:rPr>
        <w:t xml:space="preserve"> ], 202[6], at which meeting the necessary number of shares were voted in favor of such amendment. The stockholders of the Corporation duly adopted this Certificate of Amendment.</w:t>
      </w:r>
    </w:p>
    <w:p>
      <w:pPr>
        <w:spacing w:after="0" w:line="191"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Certificate of Amendment shall become effective upon filing with the Secretary of Statement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2" w:name="page93"/>
    <w:bookmarkEnd w:id="92"/>
    <w:p>
      <w:pPr>
        <w:spacing w:after="0" w:line="29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u w:val="single" w:color="auto"/>
          <w:color w:val="auto"/>
        </w:rPr>
        <w:t>ANNEX D</w:t>
      </w:r>
    </w:p>
    <w:p>
      <w:pPr>
        <w:spacing w:after="0" w:line="18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u w:val="single" w:color="auto"/>
          <w:color w:val="auto"/>
        </w:rPr>
        <w:t>FORM OF REVERSE STOCK SPLIT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(if Share Increase Amendment is not approved)</w:t>
      </w:r>
    </w:p>
    <w:p>
      <w:pPr>
        <w:spacing w:after="0" w:line="30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Certificate of Amendment</w:t>
      </w:r>
    </w:p>
    <w:p>
      <w:pPr>
        <w:spacing w:after="0" w:line="3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1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Amended and Restated Certificate of Incorporation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Gossamer Bio, Inc.</w:t>
      </w:r>
    </w:p>
    <w:p>
      <w:pPr>
        <w:spacing w:after="0" w:line="227"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Gossamer Bio, Inc. (the “Corporation”), a corporation organized and existing under and by virtue of the General Corporation Law of the State of Delaware (the “DGCL”), does hereby certify:</w:t>
      </w:r>
    </w:p>
    <w:p>
      <w:pPr>
        <w:spacing w:after="0" w:line="146" w:lineRule="exact"/>
        <w:rPr>
          <w:sz w:val="20"/>
          <w:szCs w:val="20"/>
          <w:color w:val="auto"/>
        </w:rPr>
      </w:pPr>
    </w:p>
    <w:p>
      <w:pPr>
        <w:ind w:left="1040" w:hanging="384"/>
        <w:spacing w:after="0"/>
        <w:tabs>
          <w:tab w:leader="none" w:pos="104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which was originally known as FSG Bio, Inc., originally filed its Certificate of Incorporation on October 26,</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2015.</w:t>
      </w:r>
    </w:p>
    <w:p>
      <w:pPr>
        <w:spacing w:after="0" w:line="214" w:lineRule="exact"/>
        <w:rPr>
          <w:sz w:val="20"/>
          <w:szCs w:val="20"/>
          <w:color w:val="auto"/>
        </w:rPr>
      </w:pPr>
    </w:p>
    <w:p>
      <w:pPr>
        <w:jc w:val="both"/>
        <w:ind w:firstLine="656"/>
        <w:spacing w:after="0" w:line="254" w:lineRule="auto"/>
        <w:tabs>
          <w:tab w:leader="none" w:pos="108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Board of Directors of said Corporation duly adopted resolutions setting forth a proposed amendment of the Amended and Restated Certificate of Incorporation of the Corporation (the “Certificate”), declaring said amendment to be advisable and directing its officers to submit said amendment to the stockholders of the Corporation for consideration thereof. The resolution setting forth the proposed amendment is as follows:</w:t>
      </w:r>
    </w:p>
    <w:p>
      <w:pPr>
        <w:spacing w:after="0" w:line="187"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THEREFORE, BE IT RESOLVED, that the first paragraph of Article FOURTH of the Certificate is hereby amended to read in its entirety as follows:</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 xml:space="preserve">FOURTH: </w:t>
      </w:r>
      <w:r>
        <w:rPr>
          <w:rFonts w:ascii="Times New Roman" w:cs="Times New Roman" w:eastAsia="Times New Roman" w:hAnsi="Times New Roman"/>
          <w:sz w:val="19"/>
          <w:szCs w:val="19"/>
          <w:color w:val="auto"/>
        </w:rPr>
        <w:t>The total number of shares of all classes of stock which the Corporation shall have authority to issue is [Amendment</w:t>
      </w:r>
    </w:p>
    <w:p>
      <w:pPr>
        <w:spacing w:after="0" w:line="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A-2: 140,000,000; Amendment B-2: 105,000,000; Amendment C-2: 93,333,334; Amendment D-2: 87,500,000; Amendment E-2:</w:t>
      </w:r>
    </w:p>
    <w:p>
      <w:pPr>
        <w:ind w:left="440"/>
        <w:spacing w:after="0"/>
        <w:rPr>
          <w:sz w:val="20"/>
          <w:szCs w:val="20"/>
          <w:color w:val="auto"/>
        </w:rPr>
      </w:pPr>
      <w:r>
        <w:rPr>
          <w:rFonts w:ascii="Times New Roman" w:cs="Times New Roman" w:eastAsia="Times New Roman" w:hAnsi="Times New Roman"/>
          <w:sz w:val="20"/>
          <w:szCs w:val="20"/>
          <w:color w:val="auto"/>
        </w:rPr>
        <w:t>84,000,000; Amendment F-2: 81,666,667; Amendment G-2: 80,000,000; Amendment H-2: 78,750,000; Amendment I-2: 77,777,778;</w:t>
      </w:r>
    </w:p>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Amendment  J-2:  77,000,000;  Amendment  K-2:  76,363,637;  Amendment  L-2:  75,833,334;  Amendment  M-2:  75,384,616;</w:t>
      </w:r>
    </w:p>
    <w:p>
      <w:pPr>
        <w:spacing w:after="0" w:line="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Amendment N-2: 75,000,000; Amendment O-2: 74,666,667] shares, consisting of (a) [Amendment A-2: 70,000,000; Amendment B-</w:t>
      </w:r>
    </w:p>
    <w:p>
      <w:pPr>
        <w:spacing w:after="0" w:line="6" w:lineRule="exact"/>
        <w:rPr>
          <w:sz w:val="20"/>
          <w:szCs w:val="20"/>
          <w:color w:val="auto"/>
        </w:rPr>
      </w:pPr>
    </w:p>
    <w:p>
      <w:pPr>
        <w:jc w:val="both"/>
        <w:ind w:left="440" w:right="140" w:firstLine="9"/>
        <w:spacing w:after="0" w:line="259" w:lineRule="auto"/>
        <w:tabs>
          <w:tab w:leader="none" w:pos="711"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35,000,000; Amendment C-2: 23,333,334; Amendment D-2: 17,500,000; Amendment E-2: 14,000,000; Amendment F-2: 11,666,667; Amendment G-2: 10,000,000; Amendment H-2: 8,750,000; Amendment I-2: 7,777,778; Amendment J-2: 7,000,000; Amendment K-2: 6,363,637; Amendment L-2: 5,833,334; Amendment M-2: 5,384,616; Amendment N-2: 5,000,000; Amendment O-</w:t>
      </w:r>
    </w:p>
    <w:p>
      <w:pPr>
        <w:spacing w:after="0" w:line="1" w:lineRule="exact"/>
        <w:rPr>
          <w:rFonts w:ascii="Times New Roman" w:cs="Times New Roman" w:eastAsia="Times New Roman" w:hAnsi="Times New Roman"/>
          <w:sz w:val="19"/>
          <w:szCs w:val="19"/>
          <w:color w:val="auto"/>
        </w:rPr>
      </w:pPr>
    </w:p>
    <w:p>
      <w:pPr>
        <w:ind w:left="440" w:right="160" w:firstLine="9"/>
        <w:spacing w:after="0" w:line="267" w:lineRule="auto"/>
        <w:tabs>
          <w:tab w:leader="none" w:pos="671"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4,666,667] shares of Common Stock, $0.0001 par value per share (“Common Stock”), and (b) 70,000,000 shares of Preferred Stock, $0.0001 par value per share (“Preferred Stock”).</w:t>
      </w:r>
    </w:p>
    <w:p>
      <w:pPr>
        <w:spacing w:after="0" w:line="161" w:lineRule="exact"/>
        <w:rPr>
          <w:sz w:val="20"/>
          <w:szCs w:val="20"/>
          <w:color w:val="auto"/>
        </w:rPr>
      </w:pPr>
    </w:p>
    <w:p>
      <w:pPr>
        <w:jc w:val="both"/>
        <w:ind w:left="440" w:right="140" w:firstLine="352"/>
        <w:spacing w:after="0" w:line="253" w:lineRule="auto"/>
        <w:rPr>
          <w:sz w:val="20"/>
          <w:szCs w:val="20"/>
          <w:color w:val="auto"/>
        </w:rPr>
      </w:pPr>
      <w:r>
        <w:rPr>
          <w:rFonts w:ascii="Times New Roman" w:cs="Times New Roman" w:eastAsia="Times New Roman" w:hAnsi="Times New Roman"/>
          <w:sz w:val="20"/>
          <w:szCs w:val="20"/>
          <w:color w:val="auto"/>
        </w:rPr>
        <w:t>Upon the filing and effectiveness (the “Effective Time”) of this Certificate of Amendment to the Amended and Restated Certificate of Incorporation of the Corporation with the Secretary of State of the State of Delaware, each [Amendment A-2: 10; Amendment B-2: 20; Amendment C-2: 30; Amendment D-2: 40; Amendment E-2: 50; Amendment F-2: 60; Amendment G-2: 70; Amendment H-2: 80; Amendment I-2: 90; Amendment J-2: 100; Amendment K-2: 110; Amendment L-2: 120; Amendment M-2: 130; Amendment N-2: 140; Amendment O-2: 150] shares of Common Stock then issued and outstanding immediately prior to the Effective Time shall automatically be reclassified and combined into one (1) validly issued, fully paid and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jc w:val="both"/>
        <w:ind w:left="440" w:right="140"/>
        <w:spacing w:after="0" w:line="276" w:lineRule="auto"/>
        <w:rPr>
          <w:sz w:val="20"/>
          <w:szCs w:val="20"/>
          <w:color w:val="auto"/>
        </w:rPr>
      </w:pPr>
      <w:r>
        <w:rPr>
          <w:rFonts w:ascii="Times New Roman" w:cs="Times New Roman" w:eastAsia="Times New Roman" w:hAnsi="Times New Roman"/>
          <w:sz w:val="19"/>
          <w:szCs w:val="19"/>
          <w:color w:val="auto"/>
        </w:rPr>
        <w:t>assessable share of Common Stock without any further action by the Corporation or the respective holders of such shares (the “Reverse Stock Split”). No fractional shares of Common Stock shall be issued as a result of the Reverse Stock Split and, in lieu thereof, the Corporation will issue to such holder such fraction of a share of Common Stock as is necessary to round the number of shares of Common Stock held by such holder immediately following the reverse stock split up to the nearest whole number of shares.</w:t>
      </w:r>
    </w:p>
    <w:p>
      <w:pPr>
        <w:spacing w:after="0" w:line="156" w:lineRule="exact"/>
        <w:rPr>
          <w:sz w:val="20"/>
          <w:szCs w:val="20"/>
          <w:color w:val="auto"/>
        </w:rPr>
      </w:pPr>
    </w:p>
    <w:p>
      <w:pPr>
        <w:ind w:firstLine="656"/>
        <w:spacing w:after="0" w:line="283" w:lineRule="auto"/>
        <w:tabs>
          <w:tab w:leader="none" w:pos="107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thereafter, pursuant to a resolution of the Board of Directors, the stockholders gave their approval of said amendment at a meeting of stockholders in accordance with the provisions of Section 211 of the DGCL.</w:t>
      </w:r>
    </w:p>
    <w:p>
      <w:pPr>
        <w:spacing w:after="0" w:line="159" w:lineRule="exact"/>
        <w:rPr>
          <w:rFonts w:ascii="Times New Roman" w:cs="Times New Roman" w:eastAsia="Times New Roman" w:hAnsi="Times New Roman"/>
          <w:sz w:val="20"/>
          <w:szCs w:val="20"/>
          <w:color w:val="auto"/>
        </w:rPr>
      </w:pPr>
    </w:p>
    <w:p>
      <w:pPr>
        <w:jc w:val="both"/>
        <w:ind w:firstLine="656"/>
        <w:spacing w:after="0" w:line="253" w:lineRule="auto"/>
        <w:tabs>
          <w:tab w:leader="none" w:pos="1033"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Certificate of Amendment was duly adopted in accordance with Section 242 of the DGCL. The Board of Directors of the Corporation duly adopted resolutions setting forth and declaring advisable this Certificate of Amendment and directed that such amendment be considered by the stockholders of the Corporation. A special meeting of stockholders was duly called upon notice in accordance with Section 222 of the DGCL and held on [ </w:t>
      </w:r>
      <w:r>
        <w:rPr>
          <w:rFonts w:ascii="Arial" w:cs="Arial" w:eastAsia="Arial" w:hAnsi="Arial"/>
          <w:sz w:val="14"/>
          <w:szCs w:val="14"/>
          <w:b w:val="1"/>
          <w:bCs w:val="1"/>
          <w:color w:val="auto"/>
        </w:rPr>
        <w:t>ò</w:t>
      </w:r>
      <w:r>
        <w:rPr>
          <w:rFonts w:ascii="Times New Roman" w:cs="Times New Roman" w:eastAsia="Times New Roman" w:hAnsi="Times New Roman"/>
          <w:sz w:val="20"/>
          <w:szCs w:val="20"/>
          <w:color w:val="auto"/>
        </w:rPr>
        <w:t xml:space="preserve"> ], 202[6], at which meeting the necessary number of shares were voted in favor of such amendment. The stockholders of the Corporation duly adopted this Certificate of Amendment.</w:t>
      </w:r>
    </w:p>
    <w:p>
      <w:pPr>
        <w:spacing w:after="0" w:line="191"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Certificate of Amendment shall become effective upon filing with the Secretary of Statement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603250</wp:posOffset>
            </wp:positionV>
            <wp:extent cx="7157720" cy="83451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8345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5854700" cy="78695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5854700" cy="78695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x"/>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x"/>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1."/>
      <w:numFmt w:val="decimal"/>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1)"/>
      <w:numFmt w:val="lowerRoman"/>
      <w:start w:val="1"/>
    </w:lvl>
  </w:abstractNum>
  <w:abstractNum w:abstractNumId="11">
    <w:nsid w:val="3DC240FB"/>
    <w:multiLevelType w:val="hybridMultilevel"/>
    <w:lvl w:ilvl="0">
      <w:lvlJc w:val="left"/>
      <w:lvlText w:val="(%1)"/>
      <w:numFmt w:val="decimal"/>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1)"/>
      <w:numFmt w:val="decimal"/>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1."/>
      <w:numFmt w:val="decimal"/>
      <w:start w:val="1"/>
    </w:lvl>
    <w:lvl w:ilvl="1">
      <w:lvlJc w:val="left"/>
      <w:lvlText w:val="%2."/>
      <w:numFmt w:val="lowerLetter"/>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1)"/>
      <w:numFmt w:val="decimal"/>
      <w:start w:val="1"/>
    </w:lvl>
  </w:abstractNum>
  <w:abstractNum w:abstractNumId="31">
    <w:nsid w:val="D34B6A8"/>
    <w:multiLevelType w:val="hybridMultilevel"/>
    <w:lvl w:ilvl="0">
      <w:lvlJc w:val="left"/>
      <w:lvlText w:val="(%1)"/>
      <w:numFmt w:val="decimal"/>
      <w:start w:val="3"/>
    </w:lvl>
  </w:abstractNum>
  <w:abstractNum w:abstractNumId="32">
    <w:nsid w:val="10233C99"/>
    <w:multiLevelType w:val="hybridMultilevel"/>
    <w:lvl w:ilvl="0">
      <w:lvlJc w:val="left"/>
      <w:lvlText w:val="(%1)"/>
      <w:numFmt w:val="decimal"/>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ü"/>
      <w:numFmt w:val="bullet"/>
      <w:start w:val="1"/>
    </w:lvl>
  </w:abstractNum>
  <w:abstractNum w:abstractNumId="41">
    <w:nsid w:val="25A70BF7"/>
    <w:multiLevelType w:val="hybridMultilevel"/>
    <w:lvl w:ilvl="0">
      <w:lvlJc w:val="left"/>
      <w:lvlText w:val="ü"/>
      <w:numFmt w:val="bullet"/>
      <w:start w:val="1"/>
    </w:lvl>
  </w:abstractNum>
  <w:abstractNum w:abstractNumId="42">
    <w:nsid w:val="1DBABF00"/>
    <w:multiLevelType w:val="hybridMultilevel"/>
    <w:lvl w:ilvl="0">
      <w:lvlJc w:val="left"/>
      <w:lvlText w:val="ü"/>
      <w:numFmt w:val="bullet"/>
      <w:start w:val="1"/>
    </w:lvl>
  </w:abstractNum>
  <w:abstractNum w:abstractNumId="43">
    <w:nsid w:val="4AD084E9"/>
    <w:multiLevelType w:val="hybridMultilevel"/>
    <w:lvl w:ilvl="0">
      <w:lvlJc w:val="left"/>
      <w:lvlText w:val="ü"/>
      <w:numFmt w:val="bullet"/>
      <w:start w:val="1"/>
    </w:lvl>
  </w:abstractNum>
  <w:abstractNum w:abstractNumId="44">
    <w:nsid w:val="1F48EAA1"/>
    <w:multiLevelType w:val="hybridMultilevel"/>
    <w:lvl w:ilvl="0">
      <w:lvlJc w:val="left"/>
      <w:lvlText w:val="ü"/>
      <w:numFmt w:val="bullet"/>
      <w:start w:val="1"/>
    </w:lvl>
  </w:abstractNum>
  <w:abstractNum w:abstractNumId="45">
    <w:nsid w:val="1381823A"/>
    <w:multiLevelType w:val="hybridMultilevel"/>
    <w:lvl w:ilvl="0">
      <w:lvlJc w:val="left"/>
      <w:lvlText w:val="ü"/>
      <w:numFmt w:val="bullet"/>
      <w:start w:val="1"/>
    </w:lvl>
  </w:abstractNum>
  <w:abstractNum w:abstractNumId="46">
    <w:nsid w:val="5DB70AE5"/>
    <w:multiLevelType w:val="hybridMultilevel"/>
    <w:lvl w:ilvl="0">
      <w:lvlJc w:val="left"/>
      <w:lvlText w:val="•"/>
      <w:numFmt w:val="bullet"/>
      <w:start w:val="1"/>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
      <w:numFmt w:val="bullet"/>
      <w:start w:val="1"/>
    </w:lvl>
  </w:abstractNum>
  <w:abstractNum w:abstractNumId="49">
    <w:nsid w:val="15014ACB"/>
    <w:multiLevelType w:val="hybridMultilevel"/>
    <w:lvl w:ilvl="0">
      <w:lvlJc w:val="left"/>
      <w:lvlText w:val="•"/>
      <w:numFmt w:val="bullet"/>
      <w:start w:val="1"/>
    </w:lvl>
    <w:lvl w:ilvl="1">
      <w:lvlJc w:val="left"/>
      <w:lvlText w:val="Ø"/>
      <w:numFmt w:val="bullet"/>
      <w:start w:val="1"/>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1)"/>
      <w:numFmt w:val="decimal"/>
      <w:start w:val="1"/>
    </w:lvl>
  </w:abstractNum>
  <w:abstractNum w:abstractNumId="52">
    <w:nsid w:val="799D0247"/>
    <w:multiLevelType w:val="hybridMultilevel"/>
    <w:lvl w:ilvl="0">
      <w:lvlJc w:val="left"/>
      <w:lvlText w:val="(%1)"/>
      <w:numFmt w:val="decimal"/>
      <w:start w:val="2"/>
    </w:lvl>
  </w:abstractNum>
  <w:abstractNum w:abstractNumId="53">
    <w:nsid w:val="6B94764"/>
    <w:multiLevelType w:val="hybridMultilevel"/>
    <w:lvl w:ilvl="0">
      <w:lvlJc w:val="left"/>
      <w:lvlText w:val="(%1)"/>
      <w:numFmt w:val="decimal"/>
      <w:start w:val="1"/>
    </w:lvl>
  </w:abstractNum>
  <w:abstractNum w:abstractNumId="54">
    <w:nsid w:val="42C296BD"/>
    <w:multiLevelType w:val="hybridMultilevel"/>
    <w:lvl w:ilvl="0">
      <w:lvlJc w:val="left"/>
      <w:lvlText w:val="(%1)"/>
      <w:numFmt w:val="decimal"/>
      <w:start w:val="5"/>
    </w:lvl>
  </w:abstractNum>
  <w:abstractNum w:abstractNumId="55">
    <w:nsid w:val="168E121F"/>
    <w:multiLevelType w:val="hybridMultilevel"/>
    <w:lvl w:ilvl="0">
      <w:lvlJc w:val="left"/>
      <w:lvlText w:val="(%1)"/>
      <w:numFmt w:val="decimal"/>
      <w:start w:val="1"/>
    </w:lvl>
  </w:abstractNum>
  <w:abstractNum w:abstractNumId="56">
    <w:nsid w:val="1EBA5D23"/>
    <w:multiLevelType w:val="hybridMultilevel"/>
    <w:lvl w:ilvl="0">
      <w:lvlJc w:val="left"/>
      <w:lvlText w:val="(%1)"/>
      <w:numFmt w:val="lowerLetter"/>
      <w:start w:val="1"/>
    </w:lvl>
  </w:abstractNum>
  <w:abstractNum w:abstractNumId="57">
    <w:nsid w:val="661E3F1E"/>
    <w:multiLevelType w:val="hybridMultilevel"/>
    <w:lvl w:ilvl="0">
      <w:lvlJc w:val="left"/>
      <w:lvlText w:val="(%1)"/>
      <w:numFmt w:val="decimal"/>
      <w:start w:val="1"/>
    </w:lvl>
  </w:abstractNum>
  <w:abstractNum w:abstractNumId="58">
    <w:nsid w:val="5DC79EA8"/>
    <w:multiLevelType w:val="hybridMultilevel"/>
    <w:lvl w:ilvl="0">
      <w:lvlJc w:val="left"/>
      <w:lvlText w:val="(%1)"/>
      <w:numFmt w:val="decimal"/>
      <w:start w:val="1"/>
    </w:lvl>
  </w:abstractNum>
  <w:abstractNum w:abstractNumId="59">
    <w:nsid w:val="540A471C"/>
    <w:multiLevelType w:val="hybridMultilevel"/>
    <w:lvl w:ilvl="0">
      <w:lvlJc w:val="left"/>
      <w:lvlText w:val="•"/>
      <w:numFmt w:val="bullet"/>
      <w:start w:val="1"/>
    </w:lvl>
  </w:abstractNum>
  <w:abstractNum w:abstractNumId="60">
    <w:nsid w:val="7BD3EE7B"/>
    <w:multiLevelType w:val="hybridMultilevel"/>
    <w:lvl w:ilvl="0">
      <w:lvlJc w:val="left"/>
      <w:lvlText w:val="*"/>
      <w:numFmt w:val="bullet"/>
      <w:start w:val="1"/>
    </w:lvl>
  </w:abstractNum>
  <w:abstractNum w:abstractNumId="61">
    <w:nsid w:val="51D9C564"/>
    <w:multiLevelType w:val="hybridMultilevel"/>
    <w:lvl w:ilvl="0">
      <w:lvlJc w:val="left"/>
      <w:lvlText w:val="(%1)"/>
      <w:numFmt w:val="decimal"/>
      <w:start w:val="1"/>
    </w:lvl>
  </w:abstractNum>
  <w:abstractNum w:abstractNumId="62">
    <w:nsid w:val="613EFDC5"/>
    <w:multiLevelType w:val="hybridMultilevel"/>
    <w:lvl w:ilvl="0">
      <w:lvlJc w:val="left"/>
      <w:lvlText w:val="(%1)"/>
      <w:numFmt w:val="decimal"/>
      <w:start w:val="2"/>
    </w:lvl>
  </w:abstractNum>
  <w:abstractNum w:abstractNumId="63">
    <w:nsid w:val="BF72B14"/>
    <w:multiLevelType w:val="hybridMultilevel"/>
    <w:lvl w:ilvl="0">
      <w:lvlJc w:val="left"/>
      <w:lvlText w:val="(%1)"/>
      <w:numFmt w:val="decimal"/>
      <w:start w:val="7"/>
    </w:lvl>
    <w:lvl w:ilvl="1">
      <w:lvlJc w:val="left"/>
      <w:lvlText w:val="(%2)"/>
      <w:numFmt w:val="lowerRoman"/>
      <w:start w:val="2"/>
    </w:lvl>
  </w:abstractNum>
  <w:abstractNum w:abstractNumId="64">
    <w:nsid w:val="11447B73"/>
    <w:multiLevelType w:val="hybridMultilevel"/>
    <w:lvl w:ilvl="0">
      <w:lvlJc w:val="left"/>
      <w:lvlText w:val="(%1)"/>
      <w:numFmt w:val="lowerLetter"/>
      <w:start w:val="1"/>
    </w:lvl>
  </w:abstractNum>
  <w:abstractNum w:abstractNumId="65">
    <w:nsid w:val="42963E5A"/>
    <w:multiLevelType w:val="hybridMultilevel"/>
    <w:lvl w:ilvl="0">
      <w:lvlJc w:val="left"/>
      <w:lvlText w:val="(%1)"/>
      <w:numFmt w:val="lowerLetter"/>
      <w:start w:val="1"/>
    </w:lvl>
  </w:abstractNum>
  <w:abstractNum w:abstractNumId="66">
    <w:nsid w:val="A0382C5"/>
    <w:multiLevelType w:val="hybridMultilevel"/>
    <w:lvl w:ilvl="0">
      <w:lvlJc w:val="left"/>
      <w:lvlText w:val="(%1)"/>
      <w:numFmt w:val="lowerLetter"/>
      <w:start w:val="2"/>
    </w:lvl>
  </w:abstractNum>
  <w:abstractNum w:abstractNumId="67">
    <w:nsid w:val="8F2B15E"/>
    <w:multiLevelType w:val="hybridMultilevel"/>
    <w:lvl w:ilvl="0">
      <w:lvlJc w:val="left"/>
      <w:lvlText w:val="(%1)"/>
      <w:numFmt w:val="lowerLetter"/>
      <w:start w:val="1"/>
    </w:lvl>
  </w:abstractNum>
  <w:abstractNum w:abstractNumId="68">
    <w:nsid w:val="1A32234B"/>
    <w:multiLevelType w:val="hybridMultilevel"/>
    <w:lvl w:ilvl="0">
      <w:lvlJc w:val="left"/>
      <w:lvlText w:val="(%1)"/>
      <w:numFmt w:val="lowerLetter"/>
      <w:start w:val="1"/>
    </w:lvl>
  </w:abstractNum>
  <w:abstractNum w:abstractNumId="69">
    <w:nsid w:val="3B0FD379"/>
    <w:multiLevelType w:val="hybridMultilevel"/>
    <w:lvl w:ilvl="0">
      <w:lvlJc w:val="left"/>
      <w:lvlText w:val="(%1)"/>
      <w:numFmt w:val="upperLetter"/>
      <w:start w:val="1"/>
    </w:lvl>
  </w:abstractNum>
  <w:abstractNum w:abstractNumId="70">
    <w:nsid w:val="68EB2F63"/>
    <w:multiLevelType w:val="hybridMultilevel"/>
    <w:lvl w:ilvl="0">
      <w:lvlJc w:val="left"/>
      <w:lvlText w:val="%1"/>
      <w:numFmt w:val="upperLetter"/>
      <w:start w:val="1"/>
    </w:lvl>
    <w:lvl w:ilvl="1">
      <w:lvlJc w:val="left"/>
      <w:lvlText w:val="(%2)"/>
      <w:numFmt w:val="lowerLetter"/>
      <w:start w:val="1"/>
    </w:lvl>
  </w:abstractNum>
  <w:abstractNum w:abstractNumId="71">
    <w:nsid w:val="4962813B"/>
    <w:multiLevelType w:val="hybridMultilevel"/>
    <w:lvl w:ilvl="0">
      <w:lvlJc w:val="left"/>
      <w:lvlText w:val="(%1)"/>
      <w:numFmt w:val="upperLetter"/>
      <w:start w:val="2"/>
    </w:lvl>
    <w:lvl w:ilvl="1">
      <w:lvlJc w:val="left"/>
      <w:lvlText w:val="(%2)"/>
      <w:numFmt w:val="lowerLetter"/>
      <w:start w:val="2"/>
    </w:lvl>
  </w:abstractNum>
  <w:abstractNum w:abstractNumId="72">
    <w:nsid w:val="60B6DF70"/>
    <w:multiLevelType w:val="hybridMultilevel"/>
    <w:lvl w:ilvl="0">
      <w:lvlJc w:val="left"/>
      <w:lvlText w:val="(%1)"/>
      <w:numFmt w:val="lowerLetter"/>
      <w:start w:val="3"/>
    </w:lvl>
  </w:abstractNum>
  <w:abstractNum w:abstractNumId="73">
    <w:nsid w:val="6A5EE64"/>
    <w:multiLevelType w:val="hybridMultilevel"/>
    <w:lvl w:ilvl="0">
      <w:lvlJc w:val="left"/>
      <w:lvlText w:val="(%1)"/>
      <w:numFmt w:val="lowerLetter"/>
      <w:start w:val="1"/>
    </w:lvl>
  </w:abstractNum>
  <w:abstractNum w:abstractNumId="74">
    <w:nsid w:val="14330624"/>
    <w:multiLevelType w:val="hybridMultilevel"/>
    <w:lvl w:ilvl="0">
      <w:lvlJc w:val="left"/>
      <w:lvlText w:val="(%1)"/>
      <w:numFmt w:val="lowerLetter"/>
      <w:start w:val="2"/>
    </w:lvl>
    <w:lvl w:ilvl="1">
      <w:lvlJc w:val="left"/>
      <w:lvlText w:val="(%2)"/>
      <w:numFmt w:val="lowerRoman"/>
      <w:start w:val="1"/>
    </w:lvl>
  </w:abstractNum>
  <w:abstractNum w:abstractNumId="75">
    <w:nsid w:val="7FFFCA11"/>
    <w:multiLevelType w:val="hybridMultilevel"/>
    <w:lvl w:ilvl="0">
      <w:lvlJc w:val="left"/>
      <w:lvlText w:val="(%1)"/>
      <w:numFmt w:val="lowerLetter"/>
      <w:start w:val="1"/>
    </w:lvl>
  </w:abstractNum>
  <w:abstractNum w:abstractNumId="76">
    <w:nsid w:val="1A27709E"/>
    <w:multiLevelType w:val="hybridMultilevel"/>
    <w:lvl w:ilvl="0">
      <w:lvlJc w:val="left"/>
      <w:lvlText w:val="(%1)"/>
      <w:numFmt w:val="lowerLetter"/>
      <w:start w:val="2"/>
    </w:lvl>
  </w:abstractNum>
  <w:abstractNum w:abstractNumId="77">
    <w:nsid w:val="71EA1109"/>
    <w:multiLevelType w:val="hybridMultilevel"/>
    <w:lvl w:ilvl="0">
      <w:lvlJc w:val="left"/>
      <w:lvlText w:val="(%1)"/>
      <w:numFmt w:val="lowerLetter"/>
      <w:start w:val="1"/>
    </w:lvl>
  </w:abstractNum>
  <w:abstractNum w:abstractNumId="78">
    <w:nsid w:val="100F59DC"/>
    <w:multiLevelType w:val="hybridMultilevel"/>
    <w:lvl w:ilvl="0">
      <w:lvlJc w:val="left"/>
      <w:lvlText w:val="%1."/>
      <w:numFmt w:val="decimal"/>
      <w:start w:val="1"/>
    </w:lvl>
  </w:abstractNum>
  <w:abstractNum w:abstractNumId="79">
    <w:nsid w:val="7FB7E0AA"/>
    <w:multiLevelType w:val="hybridMultilevel"/>
    <w:lvl w:ilvl="0">
      <w:lvlJc w:val="left"/>
      <w:lvlText w:val="%1."/>
      <w:numFmt w:val="decimal"/>
      <w:start w:val="2"/>
    </w:lvl>
  </w:abstractNum>
  <w:abstractNum w:abstractNumId="80">
    <w:nsid w:val="6EB5BD4"/>
    <w:multiLevelType w:val="hybridMultilevel"/>
    <w:lvl w:ilvl="0">
      <w:lvlJc w:val="left"/>
      <w:lvlText w:val="%1."/>
      <w:numFmt w:val="decimal"/>
      <w:start w:val="3"/>
    </w:lvl>
  </w:abstractNum>
  <w:abstractNum w:abstractNumId="81">
    <w:nsid w:val="6F6DD9AC"/>
    <w:multiLevelType w:val="hybridMultilevel"/>
    <w:lvl w:ilvl="0">
      <w:lvlJc w:val="left"/>
      <w:lvlText w:val="%1."/>
      <w:numFmt w:val="decimal"/>
      <w:start w:val="1"/>
    </w:lvl>
  </w:abstractNum>
  <w:abstractNum w:abstractNumId="82">
    <w:nsid w:val="94211F2"/>
    <w:multiLevelType w:val="hybridMultilevel"/>
    <w:lvl w:ilvl="0">
      <w:lvlJc w:val="left"/>
      <w:lvlText w:val="%1."/>
      <w:numFmt w:val="decimal"/>
      <w:start w:val="2"/>
    </w:lvl>
  </w:abstractNum>
  <w:abstractNum w:abstractNumId="83">
    <w:nsid w:val="885E1B"/>
    <w:multiLevelType w:val="hybridMultilevel"/>
    <w:lvl w:ilvl="0">
      <w:lvlJc w:val="left"/>
      <w:lvlText w:val="%1."/>
      <w:numFmt w:val="decimal"/>
      <w:start w:val="3"/>
    </w:lvl>
  </w:abstractNum>
  <w:abstractNum w:abstractNumId="84">
    <w:nsid w:val="76272110"/>
    <w:multiLevelType w:val="hybridMultilevel"/>
    <w:lvl w:ilvl="0">
      <w:lvlJc w:val="left"/>
      <w:lvlText w:val="%1."/>
      <w:numFmt w:val="decimal"/>
      <w:start w:val="1"/>
    </w:lvl>
  </w:abstractNum>
  <w:abstractNum w:abstractNumId="85">
    <w:nsid w:val="4C04A8AF"/>
    <w:multiLevelType w:val="hybridMultilevel"/>
    <w:lvl w:ilvl="0">
      <w:lvlJc w:val="left"/>
      <w:lvlText w:val="%1."/>
      <w:numFmt w:val="decimal"/>
      <w:start w:val="2"/>
    </w:lvl>
  </w:abstractNum>
  <w:abstractNum w:abstractNumId="86">
    <w:nsid w:val="1716703B"/>
    <w:multiLevelType w:val="hybridMultilevel"/>
    <w:lvl w:ilvl="0">
      <w:lvlJc w:val="left"/>
      <w:lvlText w:val="%1:"/>
      <w:numFmt w:val="decimal"/>
      <w:start w:val="2"/>
    </w:lvl>
  </w:abstractNum>
  <w:abstractNum w:abstractNumId="87">
    <w:nsid w:val="14E17E33"/>
    <w:multiLevelType w:val="hybridMultilevel"/>
    <w:lvl w:ilvl="0">
      <w:lvlJc w:val="left"/>
      <w:lvlText w:val="%1:"/>
      <w:numFmt w:val="decimal"/>
      <w:start w:val="2"/>
    </w:lvl>
  </w:abstractNum>
  <w:abstractNum w:abstractNumId="88">
    <w:nsid w:val="3222E7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2026-06-09T15:24:50Z</dcterms:created>
  <dcterms:modified xsi:type="dcterms:W3CDTF">2026-06-09T15:24:50Z</dcterms:modified>
</cp:coreProperties>
</file>