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180340</wp:posOffset>
            </wp:positionV>
            <wp:extent cx="2631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216535</wp:posOffset>
            </wp:positionV>
            <wp:extent cx="2631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200025</wp:posOffset>
            </wp:positionV>
            <wp:extent cx="2631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GOSSAMER BIO, INC.</w:t>
      </w:r>
    </w:p>
    <w:p>
      <w:pPr>
        <w:spacing w:after="0" w:line="5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193675</wp:posOffset>
            </wp:positionV>
            <wp:extent cx="2631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tbl>
      <w:tblPr>
        <w:tblLayout w:type="fixed"/>
        <w:tblInd w:w="1020" w:type="dxa"/>
        <w:tblCellMar>
          <w:top w:w="0" w:type="dxa"/>
          <w:left w:w="0" w:type="dxa"/>
          <w:bottom w:w="0" w:type="dxa"/>
          <w:right w:w="0" w:type="dxa"/>
        </w:tblCellMar>
      </w:tblPr>
      <w:tr>
        <w:trPr>
          <w:trHeight w:val="227"/>
        </w:trPr>
        <w:tc>
          <w:tcPr>
            <w:tcW w:w="2140" w:type="dxa"/>
            <w:vAlign w:val="bottom"/>
          </w:tcPr>
          <w:p>
            <w:pPr>
              <w:jc w:val="center"/>
              <w:ind w:right="3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06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001-38796</w:t>
            </w:r>
          </w:p>
        </w:tc>
        <w:tc>
          <w:tcPr>
            <w:tcW w:w="1680" w:type="dxa"/>
            <w:vAlign w:val="bottom"/>
          </w:tcPr>
          <w:p>
            <w:pPr>
              <w:jc w:val="center"/>
              <w:ind w:left="482"/>
              <w:spacing w:after="0"/>
              <w:rPr>
                <w:sz w:val="20"/>
                <w:szCs w:val="20"/>
                <w:color w:val="auto"/>
              </w:rPr>
            </w:pPr>
            <w:r>
              <w:rPr>
                <w:rFonts w:ascii="Times New Roman" w:cs="Times New Roman" w:eastAsia="Times New Roman" w:hAnsi="Times New Roman"/>
                <w:sz w:val="18"/>
                <w:szCs w:val="18"/>
                <w:b w:val="1"/>
                <w:bCs w:val="1"/>
                <w:color w:val="auto"/>
              </w:rPr>
              <w:t>47-5461709</w:t>
            </w:r>
          </w:p>
        </w:tc>
        <w:tc>
          <w:tcPr>
            <w:tcW w:w="0" w:type="dxa"/>
            <w:vAlign w:val="bottom"/>
          </w:tcPr>
          <w:p>
            <w:pPr>
              <w:spacing w:after="0"/>
              <w:rPr>
                <w:sz w:val="1"/>
                <w:szCs w:val="1"/>
                <w:color w:val="auto"/>
              </w:rPr>
            </w:pPr>
          </w:p>
        </w:tc>
      </w:tr>
      <w:tr>
        <w:trPr>
          <w:trHeight w:val="146"/>
        </w:trPr>
        <w:tc>
          <w:tcPr>
            <w:tcW w:w="2140" w:type="dxa"/>
            <w:vAlign w:val="bottom"/>
          </w:tcPr>
          <w:p>
            <w:pPr>
              <w:jc w:val="center"/>
              <w:ind w:right="36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060" w:type="dxa"/>
            <w:vAlign w:val="bottom"/>
            <w:vMerge w:val="restart"/>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1680" w:type="dxa"/>
            <w:vAlign w:val="bottom"/>
          </w:tcPr>
          <w:p>
            <w:pPr>
              <w:jc w:val="center"/>
              <w:ind w:left="48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140" w:type="dxa"/>
            <w:vAlign w:val="bottom"/>
          </w:tcPr>
          <w:p>
            <w:pPr>
              <w:jc w:val="center"/>
              <w:ind w:right="3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060" w:type="dxa"/>
            <w:vAlign w:val="bottom"/>
            <w:vMerge w:val="continue"/>
          </w:tcPr>
          <w:p>
            <w:pPr>
              <w:spacing w:after="0"/>
              <w:rPr>
                <w:sz w:val="16"/>
                <w:szCs w:val="16"/>
                <w:color w:val="auto"/>
              </w:rPr>
            </w:pPr>
          </w:p>
        </w:tc>
        <w:tc>
          <w:tcPr>
            <w:tcW w:w="1680" w:type="dxa"/>
            <w:vAlign w:val="bottom"/>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00"/>
        </w:trPr>
        <w:tc>
          <w:tcPr>
            <w:tcW w:w="2140" w:type="dxa"/>
            <w:vAlign w:val="bottom"/>
          </w:tcPr>
          <w:p>
            <w:pPr>
              <w:spacing w:after="0"/>
              <w:rPr>
                <w:sz w:val="24"/>
                <w:szCs w:val="24"/>
                <w:color w:val="auto"/>
              </w:rPr>
            </w:pPr>
          </w:p>
        </w:tc>
        <w:tc>
          <w:tcPr>
            <w:tcW w:w="506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3115 Merryfield Row, Suite 120</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p>
        </w:tc>
        <w:tc>
          <w:tcPr>
            <w:tcW w:w="506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2140" w:type="dxa"/>
            <w:vAlign w:val="bottom"/>
          </w:tcPr>
          <w:p>
            <w:pPr>
              <w:spacing w:after="0"/>
              <w:rPr>
                <w:sz w:val="24"/>
                <w:szCs w:val="24"/>
                <w:color w:val="auto"/>
              </w:rPr>
            </w:pPr>
          </w:p>
        </w:tc>
        <w:tc>
          <w:tcPr>
            <w:tcW w:w="50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140" w:type="dxa"/>
            <w:vAlign w:val="bottom"/>
          </w:tcPr>
          <w:p>
            <w:pPr>
              <w:spacing w:after="0"/>
              <w:rPr>
                <w:sz w:val="24"/>
                <w:szCs w:val="24"/>
                <w:color w:val="auto"/>
              </w:rPr>
            </w:pPr>
          </w:p>
        </w:tc>
        <w:tc>
          <w:tcPr>
            <w:tcW w:w="506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(858) 684-1300</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140" w:type="dxa"/>
            <w:vAlign w:val="bottom"/>
          </w:tcPr>
          <w:p>
            <w:pPr>
              <w:spacing w:after="0"/>
              <w:rPr>
                <w:sz w:val="16"/>
                <w:szCs w:val="16"/>
                <w:color w:val="auto"/>
              </w:rPr>
            </w:pPr>
          </w:p>
        </w:tc>
        <w:tc>
          <w:tcPr>
            <w:tcW w:w="50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2140" w:type="dxa"/>
            <w:vAlign w:val="bottom"/>
          </w:tcPr>
          <w:p>
            <w:pPr>
              <w:spacing w:after="0"/>
              <w:rPr>
                <w:sz w:val="24"/>
                <w:szCs w:val="24"/>
                <w:color w:val="auto"/>
              </w:rPr>
            </w:pPr>
          </w:p>
        </w:tc>
        <w:tc>
          <w:tcPr>
            <w:tcW w:w="506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rPr>
              <w:t>N/A</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140" w:type="dxa"/>
            <w:vAlign w:val="bottom"/>
          </w:tcPr>
          <w:p>
            <w:pPr>
              <w:spacing w:after="0"/>
              <w:rPr>
                <w:sz w:val="16"/>
                <w:szCs w:val="16"/>
                <w:color w:val="auto"/>
              </w:rPr>
            </w:pPr>
          </w:p>
        </w:tc>
        <w:tc>
          <w:tcPr>
            <w:tcW w:w="50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177800</wp:posOffset>
            </wp:positionV>
            <wp:extent cx="2631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81"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right="2300" w:firstLine="26"/>
        <w:spacing w:after="0" w:line="371" w:lineRule="auto"/>
        <w:tabs>
          <w:tab w:leader="none" w:pos="73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41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40" w:type="dxa"/>
            <w:vAlign w:val="bottom"/>
            <w:gridSpan w:val="2"/>
          </w:tcPr>
          <w:p>
            <w:pPr>
              <w:jc w:val="center"/>
              <w:ind w:right="12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4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5"/>
        </w:trPr>
        <w:tc>
          <w:tcPr>
            <w:tcW w:w="4180" w:type="dxa"/>
            <w:vAlign w:val="bottom"/>
            <w:gridSpan w:val="2"/>
            <w:vMerge w:val="continue"/>
          </w:tcPr>
          <w:p>
            <w:pPr>
              <w:spacing w:after="0"/>
              <w:rPr>
                <w:sz w:val="16"/>
                <w:szCs w:val="16"/>
                <w:color w:val="auto"/>
              </w:rPr>
            </w:pP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40" w:type="dxa"/>
            <w:vAlign w:val="bottom"/>
          </w:tcPr>
          <w:p>
            <w:pPr>
              <w:spacing w:after="0"/>
              <w:rPr>
                <w:sz w:val="20"/>
                <w:szCs w:val="20"/>
                <w:color w:val="auto"/>
              </w:rPr>
            </w:pPr>
          </w:p>
        </w:tc>
        <w:tc>
          <w:tcPr>
            <w:tcW w:w="1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GOSS</w:t>
            </w:r>
          </w:p>
        </w:tc>
        <w:tc>
          <w:tcPr>
            <w:tcW w:w="120" w:type="dxa"/>
            <w:vAlign w:val="bottom"/>
          </w:tcPr>
          <w:p>
            <w:pPr>
              <w:spacing w:after="0"/>
              <w:rPr>
                <w:sz w:val="20"/>
                <w:szCs w:val="20"/>
                <w:color w:val="auto"/>
              </w:rPr>
            </w:pPr>
          </w:p>
        </w:tc>
        <w:tc>
          <w:tcPr>
            <w:tcW w:w="4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2"/>
          <w:szCs w:val="12"/>
          <w:color w:val="auto"/>
        </w:rPr>
        <w:t>☐</w:t>
      </w:r>
    </w:p>
    <w:p>
      <w:pPr>
        <w:spacing w:after="0" w:line="171" w:lineRule="exact"/>
        <w:rPr>
          <w:sz w:val="24"/>
          <w:szCs w:val="24"/>
          <w:color w:val="auto"/>
        </w:rPr>
      </w:pPr>
    </w:p>
    <w:p>
      <w:pPr>
        <w:spacing w:after="0" w:line="22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542290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91"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83"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The following is a brief description of the matter voted upon at the special meeting of stockholders of Gossamer Bio, Inc. (the “Company”) held on October 27, 2026 (the “Special Meeting”) and the number of votes cast for or against, the number of abstentions and the number of broker non-votes with respect to the matter, as applicable. Capitalized terms used herein but not otherwise defined shall have the meanings ascribed to them in the Company’s definitive proxy statement relating to the Special Meeting, dated as of and filed with the U.S. Securities and Exchange Commission on September 16, 2026 (the “Proxy Statement”).</w:t>
      </w:r>
    </w:p>
    <w:p>
      <w:pPr>
        <w:spacing w:after="0" w:line="191" w:lineRule="exact"/>
        <w:rPr>
          <w:sz w:val="20"/>
          <w:szCs w:val="20"/>
          <w:color w:val="auto"/>
        </w:rPr>
      </w:pPr>
    </w:p>
    <w:p>
      <w:pPr>
        <w:ind w:left="340"/>
        <w:spacing w:after="0" w:line="293" w:lineRule="auto"/>
        <w:rPr>
          <w:sz w:val="20"/>
          <w:szCs w:val="20"/>
          <w:color w:val="auto"/>
        </w:rPr>
      </w:pPr>
      <w:r>
        <w:rPr>
          <w:rFonts w:ascii="Times New Roman" w:cs="Times New Roman" w:eastAsia="Times New Roman" w:hAnsi="Times New Roman"/>
          <w:sz w:val="18"/>
          <w:szCs w:val="18"/>
          <w:color w:val="auto"/>
        </w:rPr>
        <w:t>The approval, in accordance with Nasdaq Listing Rules 5635(c) and 5635(d), of the potential issuance of shares of the Company's common stock, par value $0.0001 per share (the “Common Stock”), pursuant to the Securities Purchase Agreement, dated August 20, 2026, by and among the Company and the purchasers party thereto (the “Purchase Agreement”), including shares of Common Stock issuable upon (i) the exercise of the Pre-Funded Warrants issued or issuable pursuant to the Purchase Agreement, (ii) the exercise of the FDA Approval Warrants issuable pursuant to the Purchase Agreement, and (iii) the conversion of shares of the Series A-1 Preferred Stock, Series A-2 Preferred Stock and Series A-3 Preferred Stock, in each case issuable upon exercise of the Pre-Funded Warrants and the FDA Approval Warrants, as applicable, including shares of Common Stock issuable to certain executive officers and directors of the Company, which issuances of Common Stock would, in the aggregate, exceed 20% of the number of shares of Common Stock issued and outstanding immediately prior to the Initial Closing pursuant to the Purchase Agreement, as described in Proposal No. 1 in the Proxy Statement. The proposal was approved by the votes indicated:</w:t>
      </w:r>
    </w:p>
    <w:p>
      <w:pPr>
        <w:spacing w:after="0" w:line="219" w:lineRule="exact"/>
        <w:rPr>
          <w:sz w:val="20"/>
          <w:szCs w:val="20"/>
          <w:color w:val="auto"/>
        </w:rPr>
      </w:pPr>
    </w:p>
    <w:tbl>
      <w:tblPr>
        <w:tblLayout w:type="fixed"/>
        <w:tblInd w:w="740" w:type="dxa"/>
        <w:tblCellMar>
          <w:top w:w="0" w:type="dxa"/>
          <w:left w:w="0" w:type="dxa"/>
          <w:bottom w:w="0" w:type="dxa"/>
          <w:right w:w="0" w:type="dxa"/>
        </w:tblCellMar>
      </w:tblPr>
      <w:tr>
        <w:trPr>
          <w:trHeight w:val="238"/>
        </w:trPr>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20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60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23"/>
        </w:trPr>
        <w:tc>
          <w:tcPr>
            <w:tcW w:w="242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2,808,000</w:t>
            </w:r>
          </w:p>
        </w:tc>
        <w:tc>
          <w:tcPr>
            <w:tcW w:w="23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37,814</w:t>
            </w:r>
          </w:p>
        </w:tc>
        <w:tc>
          <w:tcPr>
            <w:tcW w:w="220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29,441</w:t>
            </w:r>
          </w:p>
        </w:tc>
        <w:tc>
          <w:tcPr>
            <w:tcW w:w="260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80"/>
        <w:spacing w:after="0" w:line="329" w:lineRule="auto"/>
        <w:rPr>
          <w:sz w:val="20"/>
          <w:szCs w:val="20"/>
          <w:color w:val="auto"/>
        </w:rPr>
      </w:pPr>
      <w:r>
        <w:rPr>
          <w:rFonts w:ascii="Times New Roman" w:cs="Times New Roman" w:eastAsia="Times New Roman" w:hAnsi="Times New Roman"/>
          <w:sz w:val="18"/>
          <w:szCs w:val="18"/>
          <w:color w:val="auto"/>
        </w:rPr>
        <w:t>Because the Company’s stockholders approved the foregoing proposal, a vote on the proposal to adjourn the Special Meeting, as described in the Proxy Statement, was not called during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504190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70" w:lineRule="exact"/>
        <w:rPr>
          <w:sz w:val="20"/>
          <w:szCs w:val="20"/>
          <w:color w:val="auto"/>
        </w:rPr>
      </w:pPr>
    </w:p>
    <w:p>
      <w:pPr>
        <w:ind w:right="220" w:firstLine="729"/>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2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GOSSAMER BIO, INC.</w:t>
            </w:r>
          </w:p>
        </w:tc>
      </w:tr>
      <w:tr>
        <w:trPr>
          <w:trHeight w:val="48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2026</w:t>
            </w:r>
          </w:p>
        </w:tc>
        <w:tc>
          <w:tcPr>
            <w:tcW w:w="752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Christian Waage</w:t>
            </w:r>
          </w:p>
        </w:tc>
      </w:tr>
      <w:tr>
        <w:trPr>
          <w:trHeight w:val="218"/>
        </w:trPr>
        <w:tc>
          <w:tcPr>
            <w:tcW w:w="37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Christian Waage</w:t>
            </w:r>
          </w:p>
        </w:tc>
      </w:tr>
      <w:tr>
        <w:trPr>
          <w:trHeight w:val="234"/>
        </w:trPr>
        <w:tc>
          <w:tcPr>
            <w:tcW w:w="37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General Counsel</w:t>
            </w:r>
          </w:p>
        </w:tc>
      </w:tr>
    </w:tbl>
    <w:p>
      <w:pPr>
        <w:spacing w:after="0" w:line="1" w:lineRule="exact"/>
        <w:rPr>
          <w:sz w:val="20"/>
          <w:szCs w:val="20"/>
          <w:color w:val="auto"/>
        </w:rPr>
      </w:pP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2026-10-28T15:05:32Z</dcterms:created>
  <dcterms:modified xsi:type="dcterms:W3CDTF">2026-10-28T15:05:32Z</dcterms:modified>
</cp:coreProperties>
</file>