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Gossamer Bio,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06/04/2026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DeepCurrents Investment Group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27,646,139.00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37,665,073.00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37,665,073.00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7.7 %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(1) The figure in Item 6 represents shares of Common Stock, $0.0001 par value per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share ("Common Stock") of Gossamer Bio, Inc. (the "Issuer") held by DCIG Capital Master Fund LP, a Delaware limited partnership (the "Fund"). (2) The figures in Items 8 and 9 include: (a) 27,646,139 shares of Common Stock held by the Fund, and</w:t>
      </w:r>
    </w:p>
    <w:p>
      <w:pPr>
        <w:spacing w:after="0" w:line="2" w:lineRule="exact"/>
        <w:rPr>
          <w:sz w:val="20"/>
          <w:szCs w:val="20"/>
          <w:color w:val="auto"/>
        </w:rPr>
      </w:pPr>
    </w:p>
    <w:p>
      <w:pPr>
        <w:ind w:right="120" w:firstLine="8"/>
        <w:spacing w:after="0" w:line="249" w:lineRule="auto"/>
        <w:tabs>
          <w:tab w:leader="none" w:pos="306"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10,018,934 shares of Common Stock held by a separately managed account. See Item 2 for more information. (3) The figure in Item 11 included above is based upon 488,846,722 shares of Common Stock outstanding as of June 5, 2026, as disclosed on the Issuer's Schedule 14A filed with the U.S. Securities and Exchange Commission (the "SEC") on June 9, 2026.</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DCIG GP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27,646,139.00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27,646,139.00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1">
            <w:col w:w="11200"/>
          </w:cols>
          <w:pgMar w:left="320" w:top="102" w:right="379" w:bottom="0" w:gutter="0" w:footer="0" w:header="0"/>
        </w:sectPr>
      </w:pPr>
    </w:p>
    <w:bookmarkStart w:id="2" w:name="page3"/>
    <w:bookmarkEnd w:id="2"/>
    <w:p>
      <w:pPr>
        <w:ind w:left="1160"/>
        <w:spacing w:after="0"/>
        <w:rPr>
          <w:sz w:val="20"/>
          <w:szCs w:val="20"/>
          <w:color w:val="auto"/>
        </w:rPr>
      </w:pPr>
      <w:r>
        <w:rPr>
          <w:rFonts w:ascii="Times New Roman" w:cs="Times New Roman" w:eastAsia="Times New Roman" w:hAnsi="Times New Roman"/>
          <w:sz w:val="22"/>
          <w:szCs w:val="22"/>
          <w:color w:val="auto"/>
        </w:rPr>
        <w:t>27,646,139.00</w:t>
      </w:r>
    </w:p>
    <w:p>
      <w:pPr>
        <w:spacing w:after="0" w:line="3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5.7 %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46" w:lineRule="exact"/>
        <w:rPr>
          <w:sz w:val="20"/>
          <w:szCs w:val="20"/>
          <w:color w:val="auto"/>
        </w:rPr>
      </w:pPr>
    </w:p>
    <w:p>
      <w:pPr>
        <w:jc w:val="both"/>
        <w:ind w:right="140"/>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(1) The figures in Items 6, 8, and 9 represent shares of Common Stock held by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Fund. (2) The figure in Item 11 included above is based upon 488,846,722 shares of Common Stock outstanding as of June 5, 2026, as disclosed on the Issuer's Schedule 14A filed with the SEC on June 9, 2026.</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DCIG Capital Master Fund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100"/>
          </w:cols>
          <w:pgMar w:left="320" w:top="111" w:right="479" w:bottom="21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8020"/>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804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27,646,139.00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27,646,139.00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27,646,139.00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100" w:space="60"/>
            <w:col w:w="9940"/>
          </w:cols>
          <w:pgMar w:left="320" w:top="111" w:right="479" w:bottom="210" w:gutter="0" w:footer="0" w:header="0"/>
          <w:type w:val="continuous"/>
        </w:sectPr>
      </w:pPr>
    </w:p>
    <w:p>
      <w:pPr>
        <w:spacing w:after="0" w:line="7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figure in Item 11 included above is based upon 488,846,722 shares of Common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Stock outstanding as of June 5, 2026, as disclosed on the Issuer's Schedule 14A filed with the SEC on June 9, 2026.</w:t>
      </w:r>
    </w:p>
    <w:p>
      <w:pPr>
        <w:sectPr>
          <w:pgSz w:w="11900" w:h="16838" w:orient="portrait"/>
          <w:cols w:equalWidth="0" w:num="1">
            <w:col w:w="11100"/>
          </w:cols>
          <w:pgMar w:left="320" w:top="111" w:right="479" w:bottom="210" w:gutter="0" w:footer="0" w:header="0"/>
          <w:type w:val="continuous"/>
        </w:sectPr>
      </w:pPr>
    </w:p>
    <w:bookmarkStart w:id="3" w:name="page4"/>
    <w:bookmarkEnd w:id="3"/>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Kai Zheng</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60" w:hanging="1112"/>
        <w:spacing w:after="0"/>
        <w:tabs>
          <w:tab w:leader="none" w:pos="1160" w:val="left"/>
        </w:tabs>
        <w:numPr>
          <w:ilvl w:val="0"/>
          <w:numId w:val="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20"/>
          </w:cols>
          <w:pgMar w:left="320" w:top="110" w:right="359" w:bottom="10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27,646,139.00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37,665,073.00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37,665,073.00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38" w:orient="portrait"/>
          <w:cols w:equalWidth="0" w:num="2">
            <w:col w:w="1100" w:space="60"/>
            <w:col w:w="10060"/>
          </w:cols>
          <w:pgMar w:left="320" w:top="110" w:right="359" w:bottom="100" w:gutter="0" w:footer="0" w:header="0"/>
          <w:type w:val="continuous"/>
        </w:sectPr>
      </w:pPr>
    </w:p>
    <w:p>
      <w:pPr>
        <w:spacing w:after="0" w:line="70"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(1) The figure in Items 6 represents shares of Common Stock held by the Fund. (2)</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figures in Items 8 and 9 includes: (a) 27,646,139 shares of Common Stock held by the Fund, and (b) 10,018,934 shares of Common Stock held by a separately managed account. See Item 2 for more information. (3) The figure in Item 11 included above is based upon 488,846,722 shares of Common Stock outstanding as of June 5, 2026, as disclosed on the Issuer's Schedule 14A filed with the SEC on June 9, 2026.</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Gossamer Bio,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3115 Merryfield Row Suite 120 San Diego, CA, 92121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hanging="912"/>
        <w:spacing w:after="0"/>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person filing:</w:t>
      </w:r>
    </w:p>
    <w:p>
      <w:pPr>
        <w:sectPr>
          <w:pgSz w:w="11900" w:h="16838" w:orient="portrait"/>
          <w:cols w:equalWidth="0" w:num="1">
            <w:col w:w="11220"/>
          </w:cols>
          <w:pgMar w:left="320" w:top="110" w:right="359" w:bottom="100" w:gutter="0" w:footer="0" w:header="0"/>
          <w:type w:val="continuous"/>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line="242" w:lineRule="auto"/>
        <w:rPr>
          <w:sz w:val="20"/>
          <w:szCs w:val="20"/>
          <w:color w:val="auto"/>
        </w:rPr>
      </w:pPr>
      <w:r>
        <w:rPr>
          <w:rFonts w:ascii="Times New Roman" w:cs="Times New Roman" w:eastAsia="Times New Roman" w:hAnsi="Times New Roman"/>
          <w:sz w:val="21"/>
          <w:szCs w:val="21"/>
          <w:color w:val="auto"/>
        </w:rPr>
        <w:t>This statement is filed jointly by and on behalf of each of DeepCurrents Investment Group, LLC, a Delaware limited liability company ("DeepCurrents"), DCIG Capital Master Fund LP, a Cayman Islands limited partnership (the "Fund"), DCIG GP LLC, a Delaware limited liability company ( "DeepCurrents GP"), and Kai Zheng (each, a "Reporting Person" and collectively, the "Reporting Persons"). DeepCurrents is the investment manager of, and may be deemed to indirectly beneficially own securities owned by, the Fund. DeepCurrents is also an investment adviser to a separately managed account of an advisory client (the "Managed Account") and may be deemed to beneficially own securities directly in the Managed Account, but DeepCurrents does not have any voting authority with respect to any securities in the Managed Account. DeepCurrents GP is the general partner of, and may be deemed to indirectly beneficially own securities owned by, the Fund. Mr. Zheng is the President and Managing Member of DeepCurrents and Managing Member of DeepCurrents GP, and may be deemed to indirectly beneficially own securities beneficially owned by DeepCurrents and DeepCurrents GP. The Fund and the Managed Account are the record and direct beneficial owners of the shares of Common Stock covered by this statement. Each Reporting Person disclaims beneficial ownership of the shares of Common Stock held directly by the other Reporting Persons. Each Reporting Person declares that neither the filing of this statement nor anything herein shall be construed as an admission that such Reporting Person is, for the purposes of Section 13(d) or 13(g) of the Act or any other purpose, the beneficial owner of any securities covered by this statement. Each Reporting Person may be deemed to be a member of a group with respect to the Issuer or securities of the Issuer for the purposes of Section 13(d) or 13(g) of the Act. Each of the Reporting Persons declares that neither the filing of this statement nor anything herein shall be construed as an admission that such Reporting Person is, for the purposes of Section 13(d) or 13(g) of the Act or any other purpose,</w:t>
      </w:r>
    </w:p>
    <w:p>
      <w:pPr>
        <w:spacing w:after="0" w:line="15" w:lineRule="exact"/>
        <w:rPr>
          <w:sz w:val="20"/>
          <w:szCs w:val="20"/>
          <w:color w:val="auto"/>
        </w:rPr>
      </w:pPr>
    </w:p>
    <w:p>
      <w:pPr>
        <w:ind w:firstLine="6"/>
        <w:spacing w:after="0" w:line="234" w:lineRule="auto"/>
        <w:tabs>
          <w:tab w:leader="none" w:pos="25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acting (or has agreed or is agreeing to act together with any other person) as a partnership, limited partnership, syndicate, or other group for the purpose of acquiring, holding, or disposing of securities of the Issuer or otherwise with respect to the Issuer or any securities of the Issuer or (ii) a member of any group with respect to the Issuer or any securities of the Issuer.</w:t>
      </w:r>
    </w:p>
    <w:p>
      <w:pPr>
        <w:spacing w:after="0" w:line="15"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22"/>
          <w:szCs w:val="22"/>
          <w:color w:val="auto"/>
        </w:rPr>
        <w:t>The address of the principal business office of each of the Reporting Persons is 575 Fifth Avenue, 21st Floor, New York, NY 10017.</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4 on the cover page(s) hereto.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$0.0001 par value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60"/>
        <w:spacing w:after="0" w:line="258" w:lineRule="auto"/>
        <w:rPr>
          <w:sz w:val="20"/>
          <w:szCs w:val="20"/>
          <w:color w:val="auto"/>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00"/>
        <w:spacing w:after="0" w:line="241" w:lineRule="auto"/>
        <w:rPr>
          <w:sz w:val="20"/>
          <w:szCs w:val="20"/>
          <w:color w:val="auto"/>
        </w:rPr>
      </w:pPr>
      <w:r>
        <w:rPr>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sectPr>
          <w:pgSz w:w="11900" w:h="16838" w:orient="portrait"/>
          <w:cols w:equalWidth="0" w:num="2">
            <w:col w:w="620" w:space="300"/>
            <w:col w:w="10200"/>
          </w:cols>
          <w:pgMar w:left="360" w:top="112" w:right="419" w:bottom="0" w:gutter="0" w:footer="0" w:header="0"/>
        </w:sectPr>
      </w:pPr>
    </w:p>
    <w:p>
      <w:pPr>
        <w:ind w:left="920" w:hanging="912"/>
        <w:spacing w:after="0"/>
        <w:tabs>
          <w:tab w:leader="none" w:pos="920"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Group, in accordance with Rule 240.13d-1(b)(1)(ii)(K).</w:t>
      </w:r>
    </w:p>
    <w:p>
      <w:pPr>
        <w:spacing w:after="0" w:line="34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See Item 9 on the cover pages(s) hereto.</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See Item 11 on the cover page(s) hereto. %</w:t>
      </w:r>
    </w:p>
    <w:p>
      <w:pPr>
        <w:spacing w:after="0" w:line="20" w:lineRule="exact"/>
        <w:rPr>
          <w:sz w:val="20"/>
          <w:szCs w:val="20"/>
          <w:color w:val="auto"/>
        </w:rPr>
      </w:pPr>
    </w:p>
    <w:p>
      <w:pPr>
        <w:ind w:left="920" w:hanging="912"/>
        <w:spacing w:after="0"/>
        <w:tabs>
          <w:tab w:leader="none" w:pos="9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Item 5 on the cover pages hereto.</w:t>
      </w:r>
    </w:p>
    <w:p>
      <w:pPr>
        <w:sectPr>
          <w:pgSz w:w="11900" w:h="16838" w:orient="portrait"/>
          <w:cols w:equalWidth="0" w:num="1">
            <w:col w:w="11120"/>
          </w:cols>
          <w:pgMar w:left="360" w:top="112" w:right="419" w:bottom="0" w:gutter="0" w:footer="0" w:header="0"/>
          <w:type w:val="continuous"/>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ind w:right="6240" w:firstLine="6"/>
        <w:spacing w:after="0" w:line="486" w:lineRule="auto"/>
        <w:tabs>
          <w:tab w:leader="none" w:pos="318"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See Item 6 on the cover pages hereto.</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See Item 7 on the cover pages hereto.</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Item 8 on the cover pages hereto.</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409" w:right="399" w:bottom="0" w:gutter="0" w:footer="0" w:header="0"/>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2"/>
          <w:szCs w:val="22"/>
          <w:color w:val="auto"/>
        </w:rPr>
        <w:t>DeepCurrents Investment Group LLC</w:t>
      </w:r>
    </w:p>
    <w:p>
      <w:pPr>
        <w:spacing w:after="0" w:line="152" w:lineRule="exact"/>
        <w:rPr>
          <w:sz w:val="20"/>
          <w:szCs w:val="20"/>
          <w:color w:val="auto"/>
        </w:rPr>
      </w:pPr>
    </w:p>
    <w:p>
      <w:pPr>
        <w:ind w:left="5200"/>
        <w:spacing w:after="0"/>
        <w:tabs>
          <w:tab w:leader="none" w:pos="6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Kai Zheng</w:t>
      </w:r>
    </w:p>
    <w:p>
      <w:pPr>
        <w:spacing w:after="0" w:line="4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Name/Title: Kai Zheng, Managing Member and President</w:t>
      </w:r>
    </w:p>
    <w:p>
      <w:pPr>
        <w:spacing w:after="0" w:line="44" w:lineRule="exact"/>
        <w:rPr>
          <w:sz w:val="20"/>
          <w:szCs w:val="20"/>
          <w:color w:val="auto"/>
        </w:rPr>
      </w:pPr>
    </w:p>
    <w:p>
      <w:pPr>
        <w:ind w:left="5200"/>
        <w:spacing w:after="0"/>
        <w:tabs>
          <w:tab w:leader="none" w:pos="62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06/11/2026</w:t>
      </w:r>
    </w:p>
    <w:p>
      <w:pPr>
        <w:spacing w:after="0" w:line="15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DCIG GP LLC</w:t>
      </w:r>
    </w:p>
    <w:p>
      <w:pPr>
        <w:spacing w:after="0" w:line="152" w:lineRule="exact"/>
        <w:rPr>
          <w:sz w:val="20"/>
          <w:szCs w:val="20"/>
          <w:color w:val="auto"/>
        </w:rPr>
      </w:pPr>
    </w:p>
    <w:p>
      <w:pPr>
        <w:ind w:left="3980"/>
        <w:spacing w:after="0"/>
        <w:tabs>
          <w:tab w:leader="none" w:pos="5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Kai Zheng</w:t>
      </w:r>
    </w:p>
    <w:p>
      <w:pPr>
        <w:spacing w:after="0" w:line="44"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color w:val="auto"/>
        </w:rPr>
        <w:t>Name/Title: Kai Zheng, Managing Member</w:t>
      </w:r>
    </w:p>
    <w:p>
      <w:pPr>
        <w:spacing w:after="0" w:line="44" w:lineRule="exact"/>
        <w:rPr>
          <w:sz w:val="20"/>
          <w:szCs w:val="20"/>
          <w:color w:val="auto"/>
        </w:rPr>
      </w:pPr>
    </w:p>
    <w:p>
      <w:pPr>
        <w:ind w:left="3980"/>
        <w:spacing w:after="0"/>
        <w:tabs>
          <w:tab w:leader="none" w:pos="50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06/11/2026</w:t>
      </w:r>
    </w:p>
    <w:p>
      <w:pPr>
        <w:spacing w:after="0" w:line="152"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2"/>
          <w:szCs w:val="22"/>
          <w:color w:val="auto"/>
        </w:rPr>
        <w:t>DCIG Capital Master Fund LP</w:t>
      </w:r>
    </w:p>
    <w:p>
      <w:pPr>
        <w:spacing w:after="0" w:line="152" w:lineRule="exact"/>
        <w:rPr>
          <w:sz w:val="20"/>
          <w:szCs w:val="20"/>
          <w:color w:val="auto"/>
        </w:rPr>
      </w:pPr>
    </w:p>
    <w:p>
      <w:pPr>
        <w:ind w:left="2640"/>
        <w:spacing w:after="0"/>
        <w:tabs>
          <w:tab w:leader="none" w:pos="3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DCIG GP LLC</w:t>
      </w:r>
    </w:p>
    <w:p>
      <w:pPr>
        <w:spacing w:after="0" w:line="44"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2"/>
          <w:szCs w:val="22"/>
          <w:color w:val="auto"/>
        </w:rPr>
        <w:t>Name/Title: General Partner</w:t>
      </w:r>
    </w:p>
    <w:p>
      <w:pPr>
        <w:spacing w:after="0" w:line="44" w:lineRule="exact"/>
        <w:rPr>
          <w:sz w:val="20"/>
          <w:szCs w:val="20"/>
          <w:color w:val="auto"/>
        </w:rPr>
      </w:pPr>
    </w:p>
    <w:p>
      <w:pPr>
        <w:ind w:left="2640"/>
        <w:spacing w:after="0"/>
        <w:tabs>
          <w:tab w:leader="none" w:pos="3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06/11/2026</w:t>
      </w:r>
    </w:p>
    <w:p>
      <w:pPr>
        <w:spacing w:after="0" w:line="152" w:lineRule="exact"/>
        <w:rPr>
          <w:sz w:val="20"/>
          <w:szCs w:val="20"/>
          <w:color w:val="auto"/>
        </w:rPr>
      </w:pPr>
    </w:p>
    <w:p>
      <w:pPr>
        <w:ind w:left="3980"/>
        <w:spacing w:after="0"/>
        <w:tabs>
          <w:tab w:leader="none" w:pos="5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Kai Zheng</w:t>
      </w:r>
    </w:p>
    <w:p>
      <w:pPr>
        <w:spacing w:after="0" w:line="44"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color w:val="auto"/>
        </w:rPr>
        <w:t>Name/Title: Kai Zheng, Managing Member</w:t>
      </w:r>
    </w:p>
    <w:p>
      <w:pPr>
        <w:spacing w:after="0" w:line="44" w:lineRule="exact"/>
        <w:rPr>
          <w:sz w:val="20"/>
          <w:szCs w:val="20"/>
          <w:color w:val="auto"/>
        </w:rPr>
      </w:pPr>
    </w:p>
    <w:p>
      <w:pPr>
        <w:ind w:left="3980"/>
        <w:spacing w:after="0"/>
        <w:tabs>
          <w:tab w:leader="none" w:pos="50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06/11/2026</w:t>
      </w:r>
    </w:p>
    <w:p>
      <w:pPr>
        <w:spacing w:after="0" w:line="15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2"/>
          <w:szCs w:val="22"/>
          <w:color w:val="auto"/>
        </w:rPr>
        <w:t>Kai Zheng</w:t>
      </w:r>
    </w:p>
    <w:p>
      <w:pPr>
        <w:spacing w:after="0" w:line="152" w:lineRule="exact"/>
        <w:rPr>
          <w:sz w:val="20"/>
          <w:szCs w:val="20"/>
          <w:color w:val="auto"/>
        </w:rPr>
      </w:pPr>
    </w:p>
    <w:p>
      <w:pPr>
        <w:ind w:left="2460"/>
        <w:spacing w:after="0"/>
        <w:tabs>
          <w:tab w:leader="none" w:pos="35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Kai Zheng</w:t>
      </w:r>
    </w:p>
    <w:p>
      <w:pPr>
        <w:spacing w:after="0" w:line="44"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2"/>
          <w:szCs w:val="22"/>
          <w:color w:val="auto"/>
        </w:rPr>
        <w:t>Name/Title: Kai Zheng</w:t>
      </w:r>
    </w:p>
    <w:p>
      <w:pPr>
        <w:spacing w:after="0" w:line="44" w:lineRule="exact"/>
        <w:rPr>
          <w:sz w:val="20"/>
          <w:szCs w:val="20"/>
          <w:color w:val="auto"/>
        </w:rPr>
      </w:pPr>
    </w:p>
    <w:p>
      <w:pPr>
        <w:ind w:left="2460"/>
        <w:spacing w:after="0"/>
        <w:tabs>
          <w:tab w:leader="none" w:pos="35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06/11/2026</w:t>
      </w:r>
    </w:p>
    <w:p>
      <w:pPr>
        <w:spacing w:after="0" w:line="10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ectPr>
          <w:pgSz w:w="11900" w:h="16838" w:orient="portrait"/>
          <w:cols w:equalWidth="0" w:num="1">
            <w:col w:w="11140"/>
          </w:cols>
          <w:pgMar w:left="360" w:top="409" w:right="399" w:bottom="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21"/>
          <w:szCs w:val="21"/>
          <w:color w:val="auto"/>
        </w:rPr>
        <w:t>Exhibit 99.1 - Joint Filing Agreement (filed herewith).</w:t>
      </w:r>
    </w:p>
    <w:p>
      <w:pPr>
        <w:sectPr>
          <w:pgSz w:w="11900" w:h="16838" w:orient="portrait"/>
          <w:cols w:equalWidth="0" w:num="1">
            <w:col w:w="10099"/>
          </w:cols>
          <w:pgMar w:left="360" w:top="409" w:right="1440"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11, 2026</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Pursuant to and in accordance with the Securities Exchange Act of 1934, as amended (the “</w:t>
      </w:r>
      <w:r>
        <w:rPr>
          <w:rFonts w:ascii="Times New Roman" w:cs="Times New Roman" w:eastAsia="Times New Roman" w:hAnsi="Times New Roman"/>
          <w:sz w:val="18"/>
          <w:szCs w:val="18"/>
          <w:b w:val="1"/>
          <w:bCs w:val="1"/>
          <w:i w:val="1"/>
          <w:iCs w:val="1"/>
          <w:color w:val="auto"/>
        </w:rPr>
        <w:t>Act</w:t>
      </w:r>
      <w:r>
        <w:rPr>
          <w:rFonts w:ascii="Times New Roman" w:cs="Times New Roman" w:eastAsia="Times New Roman" w:hAnsi="Times New Roman"/>
          <w:sz w:val="18"/>
          <w:szCs w:val="18"/>
          <w:color w:val="auto"/>
        </w:rPr>
        <w:t>”), and the rules and regulations thereunder, each party hereto hereby agrees to the joint filing, on behalf of each of them, of any filing required by such party under Section 13 or Section 16 of the Act or any rule or regulation thereunder (including any amendment, restatement, supplement, and/or exhibit thereto) with the Securities and Exchange Commission (and, if such security is registered on a national securities exchange, also with the exchange), and further agrees to the filing, furnishing, and/or incorporation by reference of this Joint Filing Agreement as an exhibit thereto. This Joint Filing Agreement shall remain in full force and effect until revoked by any party hereto in a signed writing provided to each other party hereto, and then only with respect to such revoking party.</w:t>
      </w:r>
    </w:p>
    <w:p>
      <w:pPr>
        <w:spacing w:after="0" w:line="18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each party hereto, being duly authorized, has caused this Joint Filing Agreement to be executed and effective as of the date first written above.</w:t>
      </w:r>
    </w:p>
    <w:p>
      <w:pPr>
        <w:spacing w:after="0" w:line="37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DEEPCURRENTS INVESTMENT GROUP, LLC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Kai Zheng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Kai Zheng, President and Managing Member</w:t>
      </w:r>
    </w:p>
    <w:p>
      <w:pPr>
        <w:spacing w:after="0" w:line="2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DCIG GP LLC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Kai Zheng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Kai Zheng, Managing Member</w:t>
      </w:r>
    </w:p>
    <w:p>
      <w:pPr>
        <w:spacing w:after="0" w:line="2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DCIG CAPITAL MASTER FUND LP</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DCIG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2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Kai Zheng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Kai Zheng, Managing Member</w:t>
      </w:r>
    </w:p>
    <w:p>
      <w:pPr>
        <w:spacing w:after="0" w:line="2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KAI ZHENG</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Kai Zheng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355727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5572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1B71EFB"/>
    <w:multiLevelType w:val="hybridMultilevel"/>
    <w:lvl w:ilvl="0">
      <w:lvlJc w:val="left"/>
      <w:lvlText w:val="2"/>
      <w:numFmt w:val="bullet"/>
      <w:start w:val="1"/>
    </w:lvl>
  </w:abstractNum>
  <w:abstractNum w:abstractNumId="1">
    <w:nsid w:val="79E2A9E3"/>
    <w:multiLevelType w:val="hybridMultilevel"/>
    <w:lvl w:ilvl="0">
      <w:lvlJc w:val="left"/>
      <w:lvlText w:val="3"/>
      <w:numFmt w:val="bullet"/>
      <w:start w:val="1"/>
    </w:lvl>
  </w:abstractNum>
  <w:abstractNum w:abstractNumId="2">
    <w:nsid w:val="7545E146"/>
    <w:multiLevelType w:val="hybridMultilevel"/>
    <w:lvl w:ilvl="0">
      <w:lvlJc w:val="left"/>
      <w:lvlText w:val="(%1)"/>
      <w:numFmt w:val="lowerLetter"/>
      <w:start w:val="2"/>
    </w:lvl>
  </w:abstractNum>
  <w:abstractNum w:abstractNumId="3">
    <w:nsid w:val="515F007C"/>
    <w:multiLevelType w:val="hybridMultilevel"/>
    <w:lvl w:ilvl="0">
      <w:lvlJc w:val="left"/>
      <w:lvlText w:val="2"/>
      <w:numFmt w:val="bullet"/>
      <w:start w:val="1"/>
    </w:lvl>
  </w:abstractNum>
  <w:abstractNum w:abstractNumId="4">
    <w:nsid w:val="5BD062C2"/>
    <w:multiLevelType w:val="hybridMultilevel"/>
    <w:lvl w:ilvl="0">
      <w:lvlJc w:val="left"/>
      <w:lvlText w:val="3"/>
      <w:numFmt w:val="bullet"/>
      <w:start w:val="1"/>
    </w:lvl>
  </w:abstractNum>
  <w:abstractNum w:abstractNumId="5">
    <w:nsid w:val="12200854"/>
    <w:multiLevelType w:val="hybridMultilevel"/>
    <w:lvl w:ilvl="0">
      <w:lvlJc w:val="left"/>
      <w:lvlText w:val="9"/>
      <w:numFmt w:val="bullet"/>
      <w:start w:val="1"/>
    </w:lvl>
  </w:abstractNum>
  <w:abstractNum w:abstractNumId="6">
    <w:nsid w:val="4DB127F8"/>
    <w:multiLevelType w:val="hybridMultilevel"/>
    <w:lvl w:ilvl="0">
      <w:lvlJc w:val="left"/>
      <w:lvlText w:val="2"/>
      <w:numFmt w:val="bullet"/>
      <w:start w:val="1"/>
    </w:lvl>
  </w:abstractNum>
  <w:abstractNum w:abstractNumId="7">
    <w:nsid w:val="216231B"/>
    <w:multiLevelType w:val="hybridMultilevel"/>
    <w:lvl w:ilvl="0">
      <w:lvlJc w:val="left"/>
      <w:lvlText w:val="2"/>
      <w:numFmt w:val="bullet"/>
      <w:start w:val="1"/>
    </w:lvl>
  </w:abstractNum>
  <w:abstractNum w:abstractNumId="8">
    <w:nsid w:val="1F16E9E8"/>
    <w:multiLevelType w:val="hybridMultilevel"/>
    <w:lvl w:ilvl="0">
      <w:lvlJc w:val="left"/>
      <w:lvlText w:val="(%1)"/>
      <w:numFmt w:val="lowerLetter"/>
      <w:start w:val="1"/>
    </w:lvl>
  </w:abstractNum>
  <w:abstractNum w:abstractNumId="9">
    <w:nsid w:val="1190CDE7"/>
    <w:multiLevelType w:val="hybridMultilevel"/>
    <w:lvl w:ilvl="0">
      <w:lvlJc w:val="left"/>
      <w:lvlText w:val="(%1)"/>
      <w:numFmt w:val="lowerRoman"/>
      <w:start w:val="1"/>
    </w:lvl>
  </w:abstractNum>
  <w:abstractNum w:abstractNumId="10">
    <w:nsid w:val="66EF438D"/>
    <w:multiLevelType w:val="hybridMultilevel"/>
    <w:lvl w:ilvl="0">
      <w:lvlJc w:val="left"/>
      <w:lvlText w:val="(%1)"/>
      <w:numFmt w:val="lowerLetter"/>
      <w:start w:val="11"/>
    </w:lvl>
  </w:abstractNum>
  <w:abstractNum w:abstractNumId="11">
    <w:nsid w:val="140E0F76"/>
    <w:multiLevelType w:val="hybridMultilevel"/>
    <w:lvl w:ilvl="0">
      <w:lvlJc w:val="left"/>
      <w:lvlText w:val="(%1)"/>
      <w:numFmt w:val="lowerLetter"/>
      <w:start w:val="3"/>
    </w:lvl>
  </w:abstractNum>
  <w:abstractNum w:abstractNumId="12">
    <w:nsid w:val="3352255A"/>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2026-06-11T19:12:27Z</dcterms:created>
  <dcterms:modified xsi:type="dcterms:W3CDTF">2026-06-11T19:12:27Z</dcterms:modified>
</cp:coreProperties>
</file>