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180340</wp:posOffset>
            </wp:positionV>
            <wp:extent cx="2631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216535</wp:posOffset>
            </wp:positionV>
            <wp:extent cx="2631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200025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GOSSAMER BIO, INC.</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193675</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6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001-38796</w:t>
            </w:r>
          </w:p>
        </w:tc>
        <w:tc>
          <w:tcPr>
            <w:tcW w:w="168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rPr>
              <w:t>47-5461709</w:t>
            </w:r>
          </w:p>
        </w:tc>
        <w:tc>
          <w:tcPr>
            <w:tcW w:w="0" w:type="dxa"/>
            <w:vAlign w:val="bottom"/>
          </w:tcPr>
          <w:p>
            <w:pPr>
              <w:spacing w:after="0"/>
              <w:rPr>
                <w:sz w:val="1"/>
                <w:szCs w:val="1"/>
                <w:color w:val="auto"/>
              </w:rPr>
            </w:pPr>
          </w:p>
        </w:tc>
      </w:tr>
      <w:tr>
        <w:trPr>
          <w:trHeight w:val="146"/>
        </w:trPr>
        <w:tc>
          <w:tcPr>
            <w:tcW w:w="2140" w:type="dxa"/>
            <w:vAlign w:val="bottom"/>
          </w:tcPr>
          <w:p>
            <w:pPr>
              <w:jc w:val="center"/>
              <w:ind w:right="36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680" w:type="dxa"/>
            <w:vAlign w:val="bottom"/>
          </w:tcPr>
          <w:p>
            <w:pPr>
              <w:jc w:val="center"/>
              <w:ind w:left="4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vMerge w:val="continue"/>
          </w:tcPr>
          <w:p>
            <w:pPr>
              <w:spacing w:after="0"/>
              <w:rPr>
                <w:sz w:val="16"/>
                <w:szCs w:val="16"/>
                <w:color w:val="auto"/>
              </w:rPr>
            </w:pPr>
          </w:p>
        </w:tc>
        <w:tc>
          <w:tcPr>
            <w:tcW w:w="168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76"/>
        </w:trPr>
        <w:tc>
          <w:tcPr>
            <w:tcW w:w="2140" w:type="dxa"/>
            <w:vAlign w:val="bottom"/>
          </w:tcPr>
          <w:p>
            <w:pPr>
              <w:spacing w:after="0"/>
              <w:rPr>
                <w:sz w:val="24"/>
                <w:szCs w:val="24"/>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3115 Merryfield Row, Suite 120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(858) 684-1300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N/A</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177800</wp:posOffset>
            </wp:positionV>
            <wp:extent cx="263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81"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300" w:firstLine="26"/>
        <w:spacing w:after="0" w:line="371" w:lineRule="auto"/>
        <w:tabs>
          <w:tab w:leader="none" w:pos="73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4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180" w:type="dxa"/>
            <w:vAlign w:val="bottom"/>
            <w:gridSpan w:val="2"/>
            <w:vMerge w:val="continue"/>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4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GOSS</w:t>
            </w:r>
          </w:p>
        </w:tc>
        <w:tc>
          <w:tcPr>
            <w:tcW w:w="120" w:type="dxa"/>
            <w:vAlign w:val="bottom"/>
          </w:tcPr>
          <w:p>
            <w:pPr>
              <w:spacing w:after="0"/>
              <w:rPr>
                <w:sz w:val="20"/>
                <w:szCs w:val="20"/>
                <w:color w:val="auto"/>
              </w:rPr>
            </w:pPr>
          </w:p>
        </w:tc>
        <w:tc>
          <w:tcPr>
            <w:tcW w:w="4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2"/>
          <w:szCs w:val="12"/>
          <w:color w:val="auto"/>
        </w:rPr>
        <w:t>☐</w:t>
      </w:r>
    </w:p>
    <w:p>
      <w:pPr>
        <w:spacing w:after="0" w:line="171"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1"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brief description of each matter voted upon at the Annual Meeting and the number of votes cast for, withheld or against, the number of abstentions and the number of broker non-votes with respect to each matter, as applicable.</w:t>
      </w:r>
    </w:p>
    <w:p>
      <w:pPr>
        <w:spacing w:after="0" w:line="162" w:lineRule="exact"/>
        <w:rPr>
          <w:sz w:val="20"/>
          <w:szCs w:val="20"/>
          <w:color w:val="auto"/>
        </w:rPr>
      </w:pPr>
    </w:p>
    <w:p>
      <w:pPr>
        <w:ind w:left="660" w:right="70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directors to serve as Class II directors for a three-year term to expire at the 2029 annual meeting of stockholders. The following two Class II directors were re-elected by the votes indicated:</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Withheld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Faheem Hasnain</w:t>
            </w: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92,301,637</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26,667,876</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45,450,098</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Cox</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88,975,980</w:t>
            </w:r>
          </w:p>
        </w:tc>
        <w:tc>
          <w:tcPr>
            <w:tcW w:w="1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29,993,533</w:t>
            </w: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45,450,098</w:t>
            </w:r>
          </w:p>
        </w:tc>
      </w:tr>
    </w:tbl>
    <w:p>
      <w:pPr>
        <w:spacing w:after="0" w:line="287" w:lineRule="exact"/>
        <w:rPr>
          <w:sz w:val="20"/>
          <w:szCs w:val="20"/>
          <w:color w:val="auto"/>
        </w:rPr>
      </w:pPr>
    </w:p>
    <w:p>
      <w:pPr>
        <w:ind w:left="660" w:right="1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Ernst &amp; Young LLP as the Company’s independent registered public accounting firm for the fiscal year ending December 31, 2026. The selection was ratified by the votes indicated:</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Against</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Abstain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3"/>
        </w:trPr>
        <w:tc>
          <w:tcPr>
            <w:tcW w:w="402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163,185,993</w:t>
            </w:r>
          </w:p>
        </w:tc>
        <w:tc>
          <w:tcPr>
            <w:tcW w:w="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1,192,448</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41,170</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79" w:lineRule="exact"/>
        <w:rPr>
          <w:sz w:val="20"/>
          <w:szCs w:val="20"/>
          <w:color w:val="auto"/>
        </w:rPr>
      </w:pPr>
    </w:p>
    <w:p>
      <w:pPr>
        <w:ind w:left="660" w:right="2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the compensation of the Company's named executive officers. The compensation of the named executive officers was approved, on an advisory basis, by the votes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340" w:type="dxa"/>
            <w:vAlign w:val="bottom"/>
          </w:tcPr>
          <w:p>
            <w:pPr>
              <w:spacing w:after="0"/>
              <w:rPr>
                <w:sz w:val="19"/>
                <w:szCs w:val="19"/>
                <w:color w:val="auto"/>
              </w:rPr>
            </w:pPr>
          </w:p>
        </w:tc>
        <w:tc>
          <w:tcPr>
            <w:tcW w:w="402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111,286,550</w:t>
            </w:r>
          </w:p>
        </w:tc>
        <w:tc>
          <w:tcPr>
            <w:tcW w:w="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7,545,502</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137,461</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45,450,098</w:t>
            </w:r>
          </w:p>
        </w:tc>
        <w:tc>
          <w:tcPr>
            <w:tcW w:w="320" w:type="dxa"/>
            <w:vAlign w:val="bottom"/>
          </w:tcPr>
          <w:p>
            <w:pPr>
              <w:spacing w:after="0"/>
              <w:rPr>
                <w:sz w:val="19"/>
                <w:szCs w:val="19"/>
                <w:color w:val="auto"/>
              </w:rPr>
            </w:pPr>
          </w:p>
        </w:tc>
      </w:tr>
      <w:tr>
        <w:trPr>
          <w:trHeight w:val="864"/>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6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GOSSAMER BIO, INC.</w:t>
            </w:r>
          </w:p>
        </w:tc>
      </w:tr>
      <w:tr>
        <w:trPr>
          <w:trHeight w:val="45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76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Christian Waage</w:t>
            </w:r>
          </w:p>
        </w:tc>
      </w:tr>
      <w:tr>
        <w:trPr>
          <w:trHeight w:val="218"/>
        </w:trPr>
        <w:tc>
          <w:tcPr>
            <w:tcW w:w="35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Christian Waage</w:t>
            </w:r>
          </w:p>
        </w:tc>
      </w:tr>
      <w:tr>
        <w:trPr>
          <w:trHeight w:val="234"/>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2026-06-05T05:15:29Z</dcterms:created>
  <dcterms:modified xsi:type="dcterms:W3CDTF">2026-06-05T05:15:29Z</dcterms:modified>
</cp:coreProperties>
</file>