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December 21, 2018</w:t>
      </w:r>
    </w:p>
    <w:p>
      <w:pPr>
        <w:spacing w:after="0" w:line="42" w:lineRule="exact"/>
        <w:rPr>
          <w:sz w:val="24"/>
          <w:szCs w:val="24"/>
          <w:color w:val="auto"/>
        </w:rPr>
      </w:pPr>
    </w:p>
    <w:p>
      <w:pPr>
        <w:ind w:left="9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117475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GOSSAMER BIO, INC.</w:t>
      </w:r>
    </w:p>
    <w:p>
      <w:pPr>
        <w:spacing w:after="0" w:line="7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9"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200" w:type="dxa"/>
            <w:vAlign w:val="bottom"/>
          </w:tcPr>
          <w:p>
            <w:pPr>
              <w:jc w:val="center"/>
              <w:ind w:right="22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2834</w:t>
            </w:r>
          </w:p>
        </w:tc>
        <w:tc>
          <w:tcPr>
            <w:tcW w:w="1460" w:type="dxa"/>
            <w:vAlign w:val="bottom"/>
          </w:tcPr>
          <w:p>
            <w:pPr>
              <w:spacing w:after="0"/>
              <w:rPr>
                <w:sz w:val="14"/>
                <w:szCs w:val="14"/>
                <w:color w:val="auto"/>
              </w:rPr>
            </w:pPr>
          </w:p>
        </w:tc>
        <w:tc>
          <w:tcPr>
            <w:tcW w:w="2100" w:type="dxa"/>
            <w:vAlign w:val="bottom"/>
          </w:tcPr>
          <w:p>
            <w:pPr>
              <w:jc w:val="right"/>
              <w:ind w:right="448"/>
              <w:spacing w:after="0"/>
              <w:rPr>
                <w:sz w:val="20"/>
                <w:szCs w:val="20"/>
                <w:color w:val="auto"/>
              </w:rPr>
            </w:pPr>
            <w:r>
              <w:rPr>
                <w:rFonts w:ascii="Arial" w:cs="Arial" w:eastAsia="Arial" w:hAnsi="Arial"/>
                <w:sz w:val="14"/>
                <w:szCs w:val="14"/>
                <w:b w:val="1"/>
                <w:bCs w:val="1"/>
                <w:color w:val="auto"/>
              </w:rPr>
              <w:t>47-5461709</w:t>
            </w:r>
          </w:p>
        </w:tc>
      </w:tr>
      <w:tr>
        <w:trPr>
          <w:trHeight w:val="149"/>
        </w:trPr>
        <w:tc>
          <w:tcPr>
            <w:tcW w:w="2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spacing w:after="0"/>
              <w:rPr>
                <w:sz w:val="12"/>
                <w:szCs w:val="12"/>
                <w:color w:val="auto"/>
              </w:rPr>
            </w:pPr>
          </w:p>
        </w:tc>
        <w:tc>
          <w:tcPr>
            <w:tcW w:w="35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200" w:type="dxa"/>
            <w:vAlign w:val="bottom"/>
          </w:tcPr>
          <w:p>
            <w:pPr>
              <w:jc w:val="center"/>
              <w:ind w:right="248"/>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spacing w:after="0"/>
              <w:rPr>
                <w:sz w:val="16"/>
                <w:szCs w:val="16"/>
                <w:color w:val="auto"/>
              </w:rPr>
            </w:pPr>
          </w:p>
        </w:tc>
        <w:tc>
          <w:tcPr>
            <w:tcW w:w="35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2"/>
              </w:rPr>
              <w:t>Classification Code Number)</w:t>
            </w:r>
          </w:p>
        </w:tc>
        <w:tc>
          <w:tcPr>
            <w:tcW w:w="210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Identification No.)</w:t>
            </w:r>
          </w:p>
        </w:tc>
      </w:tr>
      <w:tr>
        <w:trPr>
          <w:trHeight w:val="178"/>
        </w:trPr>
        <w:tc>
          <w:tcPr>
            <w:tcW w:w="2200" w:type="dxa"/>
            <w:vAlign w:val="bottom"/>
          </w:tcPr>
          <w:p>
            <w:pPr>
              <w:spacing w:after="0"/>
              <w:rPr>
                <w:sz w:val="15"/>
                <w:szCs w:val="15"/>
                <w:color w:val="auto"/>
              </w:rPr>
            </w:pPr>
          </w:p>
        </w:tc>
        <w:tc>
          <w:tcPr>
            <w:tcW w:w="4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3013 Science Park Road, Suite 200</w:t>
            </w:r>
          </w:p>
        </w:tc>
        <w:tc>
          <w:tcPr>
            <w:tcW w:w="2100" w:type="dxa"/>
            <w:vAlign w:val="bottom"/>
          </w:tcPr>
          <w:p>
            <w:pPr>
              <w:spacing w:after="0"/>
              <w:rPr>
                <w:sz w:val="15"/>
                <w:szCs w:val="15"/>
                <w:color w:val="auto"/>
              </w:rPr>
            </w:pPr>
          </w:p>
        </w:tc>
      </w:tr>
      <w:tr>
        <w:trPr>
          <w:trHeight w:val="149"/>
        </w:trPr>
        <w:tc>
          <w:tcPr>
            <w:tcW w:w="2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San Diego, California 92121</w:t>
            </w:r>
          </w:p>
        </w:tc>
        <w:tc>
          <w:tcPr>
            <w:tcW w:w="2100" w:type="dxa"/>
            <w:vAlign w:val="bottom"/>
          </w:tcPr>
          <w:p>
            <w:pPr>
              <w:spacing w:after="0"/>
              <w:rPr>
                <w:sz w:val="12"/>
                <w:szCs w:val="12"/>
                <w:color w:val="auto"/>
              </w:rPr>
            </w:pPr>
          </w:p>
        </w:tc>
      </w:tr>
      <w:tr>
        <w:trPr>
          <w:trHeight w:val="186"/>
        </w:trPr>
        <w:tc>
          <w:tcPr>
            <w:tcW w:w="2200" w:type="dxa"/>
            <w:vAlign w:val="bottom"/>
          </w:tcPr>
          <w:p>
            <w:pPr>
              <w:spacing w:after="0"/>
              <w:rPr>
                <w:sz w:val="16"/>
                <w:szCs w:val="16"/>
                <w:color w:val="auto"/>
              </w:rPr>
            </w:pPr>
          </w:p>
        </w:tc>
        <w:tc>
          <w:tcPr>
            <w:tcW w:w="3480" w:type="dxa"/>
            <w:vAlign w:val="bottom"/>
            <w:gridSpan w:val="2"/>
          </w:tcPr>
          <w:p>
            <w:pPr>
              <w:jc w:val="center"/>
              <w:ind w:left="1308"/>
              <w:spacing w:after="0"/>
              <w:rPr>
                <w:sz w:val="20"/>
                <w:szCs w:val="20"/>
                <w:color w:val="auto"/>
              </w:rPr>
            </w:pPr>
            <w:r>
              <w:rPr>
                <w:rFonts w:ascii="Arial" w:cs="Arial" w:eastAsia="Arial" w:hAnsi="Arial"/>
                <w:sz w:val="14"/>
                <w:szCs w:val="14"/>
                <w:b w:val="1"/>
                <w:bCs w:val="1"/>
                <w:color w:val="auto"/>
                <w:w w:val="93"/>
              </w:rPr>
              <w:t>(858) 684-1300</w:t>
            </w:r>
          </w:p>
        </w:tc>
        <w:tc>
          <w:tcPr>
            <w:tcW w:w="14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65"/>
        </w:trPr>
        <w:tc>
          <w:tcPr>
            <w:tcW w:w="2200" w:type="dxa"/>
            <w:vAlign w:val="bottom"/>
          </w:tcPr>
          <w:p>
            <w:pPr>
              <w:spacing w:after="0"/>
              <w:rPr>
                <w:sz w:val="14"/>
                <w:szCs w:val="14"/>
                <w:color w:val="auto"/>
              </w:rPr>
            </w:pPr>
          </w:p>
        </w:tc>
        <w:tc>
          <w:tcPr>
            <w:tcW w:w="4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(Address, including zip code, and telephone number, including</w:t>
            </w:r>
          </w:p>
        </w:tc>
        <w:tc>
          <w:tcPr>
            <w:tcW w:w="2100" w:type="dxa"/>
            <w:vAlign w:val="bottom"/>
          </w:tcPr>
          <w:p>
            <w:pPr>
              <w:spacing w:after="0"/>
              <w:rPr>
                <w:sz w:val="14"/>
                <w:szCs w:val="14"/>
                <w:color w:val="auto"/>
              </w:rPr>
            </w:pPr>
          </w:p>
        </w:tc>
      </w:tr>
      <w:tr>
        <w:trPr>
          <w:trHeight w:val="186"/>
        </w:trPr>
        <w:tc>
          <w:tcPr>
            <w:tcW w:w="2200" w:type="dxa"/>
            <w:vAlign w:val="bottom"/>
          </w:tcPr>
          <w:p>
            <w:pPr>
              <w:spacing w:after="0"/>
              <w:rPr>
                <w:sz w:val="16"/>
                <w:szCs w:val="16"/>
                <w:color w:val="auto"/>
              </w:rPr>
            </w:pPr>
          </w:p>
        </w:tc>
        <w:tc>
          <w:tcPr>
            <w:tcW w:w="4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area code, of registrant’s principal executive offices)</w:t>
            </w:r>
          </w:p>
        </w:tc>
        <w:tc>
          <w:tcPr>
            <w:tcW w:w="2100" w:type="dxa"/>
            <w:vAlign w:val="bottom"/>
          </w:tcPr>
          <w:p>
            <w:pPr>
              <w:spacing w:after="0"/>
              <w:rPr>
                <w:sz w:val="16"/>
                <w:szCs w:val="16"/>
                <w:color w:val="auto"/>
              </w:rPr>
            </w:pPr>
          </w:p>
        </w:tc>
      </w:tr>
      <w:tr>
        <w:trPr>
          <w:trHeight w:val="93"/>
        </w:trPr>
        <w:tc>
          <w:tcPr>
            <w:tcW w:w="2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100" w:type="dxa"/>
            <w:vAlign w:val="bottom"/>
          </w:tcPr>
          <w:p>
            <w:pPr>
              <w:spacing w:after="0"/>
              <w:rPr>
                <w:sz w:val="8"/>
                <w:szCs w:val="8"/>
                <w:color w:val="auto"/>
              </w:rPr>
            </w:pPr>
          </w:p>
        </w:tc>
      </w:tr>
      <w:tr>
        <w:trPr>
          <w:trHeight w:val="173"/>
        </w:trPr>
        <w:tc>
          <w:tcPr>
            <w:tcW w:w="2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56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Sheila Gujrathi, M.D.</w:t>
            </w:r>
          </w:p>
        </w:tc>
        <w:tc>
          <w:tcPr>
            <w:tcW w:w="2100" w:type="dxa"/>
            <w:vAlign w:val="bottom"/>
          </w:tcPr>
          <w:p>
            <w:pPr>
              <w:spacing w:after="0"/>
              <w:rPr>
                <w:sz w:val="15"/>
                <w:szCs w:val="15"/>
                <w:color w:val="auto"/>
              </w:rPr>
            </w:pPr>
          </w:p>
        </w:tc>
      </w:tr>
      <w:tr>
        <w:trPr>
          <w:trHeight w:val="149"/>
        </w:trPr>
        <w:tc>
          <w:tcPr>
            <w:tcW w:w="2200" w:type="dxa"/>
            <w:vAlign w:val="bottom"/>
          </w:tcPr>
          <w:p>
            <w:pPr>
              <w:spacing w:after="0"/>
              <w:rPr>
                <w:sz w:val="12"/>
                <w:szCs w:val="12"/>
                <w:color w:val="auto"/>
              </w:rPr>
            </w:pPr>
          </w:p>
        </w:tc>
        <w:tc>
          <w:tcPr>
            <w:tcW w:w="4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21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1"/>
              </w:rPr>
              <w:t>Gossamer Bio, Inc.</w:t>
            </w:r>
          </w:p>
        </w:tc>
        <w:tc>
          <w:tcPr>
            <w:tcW w:w="21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4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3013 Science Park Road, Suite 200</w:t>
            </w:r>
          </w:p>
        </w:tc>
        <w:tc>
          <w:tcPr>
            <w:tcW w:w="21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San Diego, California 92121</w:t>
            </w:r>
          </w:p>
        </w:tc>
        <w:tc>
          <w:tcPr>
            <w:tcW w:w="21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3480" w:type="dxa"/>
            <w:vAlign w:val="bottom"/>
            <w:gridSpan w:val="2"/>
          </w:tcPr>
          <w:p>
            <w:pPr>
              <w:jc w:val="center"/>
              <w:ind w:left="1308"/>
              <w:spacing w:after="0" w:line="149" w:lineRule="exact"/>
              <w:rPr>
                <w:sz w:val="20"/>
                <w:szCs w:val="20"/>
                <w:color w:val="auto"/>
              </w:rPr>
            </w:pPr>
            <w:r>
              <w:rPr>
                <w:rFonts w:ascii="Arial" w:cs="Arial" w:eastAsia="Arial" w:hAnsi="Arial"/>
                <w:sz w:val="14"/>
                <w:szCs w:val="14"/>
                <w:b w:val="1"/>
                <w:bCs w:val="1"/>
                <w:color w:val="auto"/>
                <w:w w:val="93"/>
              </w:rPr>
              <w:t>(858) 684-1300</w:t>
            </w:r>
          </w:p>
        </w:tc>
        <w:tc>
          <w:tcPr>
            <w:tcW w:w="14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4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 including</w:t>
            </w:r>
          </w:p>
        </w:tc>
        <w:tc>
          <w:tcPr>
            <w:tcW w:w="2100" w:type="dxa"/>
            <w:vAlign w:val="bottom"/>
          </w:tcPr>
          <w:p>
            <w:pPr>
              <w:spacing w:after="0"/>
              <w:rPr>
                <w:sz w:val="12"/>
                <w:szCs w:val="12"/>
                <w:color w:val="auto"/>
              </w:rPr>
            </w:pPr>
          </w:p>
        </w:tc>
      </w:tr>
      <w:tr>
        <w:trPr>
          <w:trHeight w:val="186"/>
        </w:trPr>
        <w:tc>
          <w:tcPr>
            <w:tcW w:w="2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56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0"/>
              </w:rPr>
              <w:t>area code, of agent for service)</w:t>
            </w:r>
          </w:p>
        </w:tc>
        <w:tc>
          <w:tcPr>
            <w:tcW w:w="2100" w:type="dxa"/>
            <w:vAlign w:val="bottom"/>
          </w:tcPr>
          <w:p>
            <w:pPr>
              <w:spacing w:after="0"/>
              <w:rPr>
                <w:sz w:val="16"/>
                <w:szCs w:val="16"/>
                <w:color w:val="auto"/>
              </w:rPr>
            </w:pPr>
          </w:p>
        </w:tc>
      </w:tr>
      <w:tr>
        <w:trPr>
          <w:trHeight w:val="161"/>
        </w:trPr>
        <w:tc>
          <w:tcPr>
            <w:tcW w:w="2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211"/>
        </w:trPr>
        <w:tc>
          <w:tcPr>
            <w:tcW w:w="2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60" w:type="dxa"/>
            <w:vAlign w:val="bottom"/>
            <w:gridSpan w:val="2"/>
          </w:tcPr>
          <w:p>
            <w:pPr>
              <w:jc w:val="center"/>
              <w:ind w:right="1440"/>
              <w:spacing w:after="0"/>
              <w:rPr>
                <w:sz w:val="20"/>
                <w:szCs w:val="20"/>
                <w:color w:val="auto"/>
              </w:rPr>
            </w:pPr>
            <w:r>
              <w:rPr>
                <w:rFonts w:ascii="Arial" w:cs="Arial" w:eastAsia="Arial" w:hAnsi="Arial"/>
                <w:sz w:val="14"/>
                <w:szCs w:val="14"/>
                <w:b w:val="1"/>
                <w:bCs w:val="1"/>
                <w:i w:val="1"/>
                <w:iCs w:val="1"/>
                <w:color w:val="auto"/>
                <w:w w:val="87"/>
              </w:rPr>
              <w:t>Copies to:</w:t>
            </w:r>
          </w:p>
        </w:tc>
        <w:tc>
          <w:tcPr>
            <w:tcW w:w="2100" w:type="dxa"/>
            <w:vAlign w:val="bottom"/>
          </w:tcPr>
          <w:p>
            <w:pPr>
              <w:spacing w:after="0"/>
              <w:rPr>
                <w:sz w:val="18"/>
                <w:szCs w:val="18"/>
                <w:color w:val="auto"/>
              </w:rPr>
            </w:pPr>
          </w:p>
        </w:tc>
      </w:tr>
      <w:tr>
        <w:trPr>
          <w:trHeight w:val="178"/>
        </w:trPr>
        <w:tc>
          <w:tcPr>
            <w:tcW w:w="2200" w:type="dxa"/>
            <w:vAlign w:val="bottom"/>
          </w:tcPr>
          <w:p>
            <w:pPr>
              <w:jc w:val="center"/>
              <w:ind w:right="228"/>
              <w:spacing w:after="0"/>
              <w:rPr>
                <w:sz w:val="20"/>
                <w:szCs w:val="20"/>
                <w:color w:val="auto"/>
              </w:rPr>
            </w:pPr>
            <w:r>
              <w:rPr>
                <w:rFonts w:ascii="Arial" w:cs="Arial" w:eastAsia="Arial" w:hAnsi="Arial"/>
                <w:sz w:val="14"/>
                <w:szCs w:val="14"/>
                <w:b w:val="1"/>
                <w:bCs w:val="1"/>
                <w:color w:val="auto"/>
                <w:w w:val="95"/>
              </w:rPr>
              <w:t>Matthew T. Bush</w:t>
            </w:r>
          </w:p>
        </w:tc>
        <w:tc>
          <w:tcPr>
            <w:tcW w:w="1380" w:type="dxa"/>
            <w:vAlign w:val="bottom"/>
          </w:tcPr>
          <w:p>
            <w:pPr>
              <w:spacing w:after="0"/>
              <w:rPr>
                <w:sz w:val="15"/>
                <w:szCs w:val="15"/>
                <w:color w:val="auto"/>
              </w:rPr>
            </w:pPr>
          </w:p>
        </w:tc>
        <w:tc>
          <w:tcPr>
            <w:tcW w:w="35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Christian Waage</w:t>
            </w:r>
          </w:p>
        </w:tc>
        <w:tc>
          <w:tcPr>
            <w:tcW w:w="210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Charles S. Kim</w:t>
            </w:r>
          </w:p>
        </w:tc>
      </w:tr>
      <w:tr>
        <w:trPr>
          <w:trHeight w:val="149"/>
        </w:trPr>
        <w:tc>
          <w:tcPr>
            <w:tcW w:w="2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Cheston J. Larson</w:t>
            </w:r>
          </w:p>
        </w:tc>
        <w:tc>
          <w:tcPr>
            <w:tcW w:w="1380" w:type="dxa"/>
            <w:vAlign w:val="bottom"/>
          </w:tcPr>
          <w:p>
            <w:pPr>
              <w:spacing w:after="0"/>
              <w:rPr>
                <w:sz w:val="12"/>
                <w:szCs w:val="12"/>
                <w:color w:val="auto"/>
              </w:rPr>
            </w:pPr>
          </w:p>
        </w:tc>
        <w:tc>
          <w:tcPr>
            <w:tcW w:w="35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1"/>
              </w:rPr>
              <w:t>Executive Vice President</w:t>
            </w:r>
          </w:p>
        </w:tc>
        <w:tc>
          <w:tcPr>
            <w:tcW w:w="21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2"/>
              </w:rPr>
              <w:t>Sean Clayton</w:t>
            </w:r>
          </w:p>
        </w:tc>
      </w:tr>
      <w:tr>
        <w:trPr>
          <w:trHeight w:val="149"/>
        </w:trPr>
        <w:tc>
          <w:tcPr>
            <w:tcW w:w="22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2"/>
              </w:rPr>
              <w:t>Kevin C. Reyes</w:t>
            </w:r>
          </w:p>
        </w:tc>
        <w:tc>
          <w:tcPr>
            <w:tcW w:w="1380" w:type="dxa"/>
            <w:vAlign w:val="bottom"/>
          </w:tcPr>
          <w:p>
            <w:pPr>
              <w:spacing w:after="0"/>
              <w:rPr>
                <w:sz w:val="12"/>
                <w:szCs w:val="12"/>
                <w:color w:val="auto"/>
              </w:rPr>
            </w:pPr>
          </w:p>
        </w:tc>
        <w:tc>
          <w:tcPr>
            <w:tcW w:w="356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and General Counsel</w:t>
            </w:r>
          </w:p>
        </w:tc>
        <w:tc>
          <w:tcPr>
            <w:tcW w:w="2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1"/>
              </w:rPr>
              <w:t>David Peinsipp</w:t>
            </w:r>
          </w:p>
        </w:tc>
      </w:tr>
      <w:tr>
        <w:trPr>
          <w:trHeight w:val="149"/>
        </w:trPr>
        <w:tc>
          <w:tcPr>
            <w:tcW w:w="22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1380" w:type="dxa"/>
            <w:vAlign w:val="bottom"/>
          </w:tcPr>
          <w:p>
            <w:pPr>
              <w:spacing w:after="0"/>
              <w:rPr>
                <w:sz w:val="12"/>
                <w:szCs w:val="12"/>
                <w:color w:val="auto"/>
              </w:rPr>
            </w:pPr>
          </w:p>
        </w:tc>
        <w:tc>
          <w:tcPr>
            <w:tcW w:w="35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1"/>
              </w:rPr>
              <w:t>Gossamer Bio, Inc.</w:t>
            </w:r>
          </w:p>
        </w:tc>
        <w:tc>
          <w:tcPr>
            <w:tcW w:w="21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Kristin VanderPas</w:t>
            </w:r>
          </w:p>
        </w:tc>
      </w:tr>
      <w:tr>
        <w:trPr>
          <w:trHeight w:val="149"/>
        </w:trPr>
        <w:tc>
          <w:tcPr>
            <w:tcW w:w="22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5"/>
              </w:rPr>
              <w:t>12670 High Bluff Drive</w:t>
            </w:r>
          </w:p>
        </w:tc>
        <w:tc>
          <w:tcPr>
            <w:tcW w:w="1380" w:type="dxa"/>
            <w:vAlign w:val="bottom"/>
          </w:tcPr>
          <w:p>
            <w:pPr>
              <w:spacing w:after="0"/>
              <w:rPr>
                <w:sz w:val="12"/>
                <w:szCs w:val="12"/>
                <w:color w:val="auto"/>
              </w:rPr>
            </w:pPr>
          </w:p>
        </w:tc>
        <w:tc>
          <w:tcPr>
            <w:tcW w:w="35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3013 Science Park Road, Suite 200</w:t>
            </w:r>
          </w:p>
        </w:tc>
        <w:tc>
          <w:tcPr>
            <w:tcW w:w="21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San Diego, California 92130</w:t>
            </w:r>
          </w:p>
        </w:tc>
        <w:tc>
          <w:tcPr>
            <w:tcW w:w="1380" w:type="dxa"/>
            <w:vAlign w:val="bottom"/>
          </w:tcPr>
          <w:p>
            <w:pPr>
              <w:spacing w:after="0"/>
              <w:rPr>
                <w:sz w:val="12"/>
                <w:szCs w:val="12"/>
                <w:color w:val="auto"/>
              </w:rPr>
            </w:pPr>
          </w:p>
        </w:tc>
        <w:tc>
          <w:tcPr>
            <w:tcW w:w="35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3"/>
              </w:rPr>
              <w:t>San Diego, California 92121</w:t>
            </w:r>
          </w:p>
        </w:tc>
        <w:tc>
          <w:tcPr>
            <w:tcW w:w="2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4401 Eastgate Mall</w:t>
            </w:r>
          </w:p>
        </w:tc>
      </w:tr>
      <w:tr>
        <w:trPr>
          <w:trHeight w:val="149"/>
        </w:trPr>
        <w:tc>
          <w:tcPr>
            <w:tcW w:w="220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3"/>
              </w:rPr>
              <w:t>(858) 523-5400</w:t>
            </w:r>
          </w:p>
        </w:tc>
        <w:tc>
          <w:tcPr>
            <w:tcW w:w="3480" w:type="dxa"/>
            <w:vAlign w:val="bottom"/>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(858) 684-1300</w:t>
            </w:r>
          </w:p>
        </w:tc>
        <w:tc>
          <w:tcPr>
            <w:tcW w:w="1460" w:type="dxa"/>
            <w:vAlign w:val="bottom"/>
          </w:tcPr>
          <w:p>
            <w:pPr>
              <w:spacing w:after="0"/>
              <w:rPr>
                <w:sz w:val="12"/>
                <w:szCs w:val="12"/>
                <w:color w:val="auto"/>
              </w:rPr>
            </w:pPr>
          </w:p>
        </w:tc>
        <w:tc>
          <w:tcPr>
            <w:tcW w:w="2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San Diego, California 92121</w:t>
            </w:r>
          </w:p>
        </w:tc>
      </w:tr>
      <w:tr>
        <w:trPr>
          <w:trHeight w:val="186"/>
        </w:trPr>
        <w:tc>
          <w:tcPr>
            <w:tcW w:w="2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00" w:type="dxa"/>
            <w:vAlign w:val="bottom"/>
          </w:tcPr>
          <w:p>
            <w:pPr>
              <w:jc w:val="right"/>
              <w:ind w:right="328"/>
              <w:spacing w:after="0"/>
              <w:rPr>
                <w:sz w:val="20"/>
                <w:szCs w:val="20"/>
                <w:color w:val="auto"/>
              </w:rPr>
            </w:pPr>
            <w:r>
              <w:rPr>
                <w:rFonts w:ascii="Arial" w:cs="Arial" w:eastAsia="Arial" w:hAnsi="Arial"/>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110490</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30" w:lineRule="exact"/>
        <w:rPr>
          <w:sz w:val="24"/>
          <w:szCs w:val="24"/>
          <w:color w:val="auto"/>
        </w:rPr>
      </w:pPr>
    </w:p>
    <w:p>
      <w:pPr>
        <w:ind w:left="200" w:right="600" w:firstLine="77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660" w:firstLine="77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40" w:firstLine="77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20" w:firstLine="77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9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8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12" w:lineRule="exact"/>
        <w:rPr>
          <w:sz w:val="24"/>
          <w:szCs w:val="24"/>
          <w:color w:val="auto"/>
        </w:rPr>
      </w:pPr>
    </w:p>
    <w:p>
      <w:pPr>
        <w:ind w:left="200" w:right="260" w:firstLine="77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100965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12"/>
                <w:szCs w:val="12"/>
                <w:b w:val="1"/>
                <w:bCs w:val="1"/>
                <w:color w:val="auto"/>
                <w:w w:val="93"/>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$264,500,000</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$32,057.40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316"/>
        <w:spacing w:after="0" w:line="23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20" w:right="200" w:hanging="316"/>
        <w:spacing w:after="0" w:line="237"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 Includes shares of common stock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102235</wp:posOffset>
            </wp:positionV>
            <wp:extent cx="1329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6" w:lineRule="exact"/>
        <w:rPr>
          <w:sz w:val="24"/>
          <w:szCs w:val="24"/>
          <w:color w:val="auto"/>
        </w:rPr>
      </w:pPr>
    </w:p>
    <w:p>
      <w:pPr>
        <w:ind w:left="200" w:right="140" w:firstLine="77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C21128"/>
        </w:rPr>
        <w:t>Subject to Completion</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C21128"/>
        </w:rPr>
        <w:t>Preliminary Prospectus dated December 21, 2018</w:t>
      </w:r>
    </w:p>
    <w:p>
      <w:pPr>
        <w:spacing w:after="0" w:line="184" w:lineRule="exact"/>
        <w:rPr>
          <w:sz w:val="20"/>
          <w:szCs w:val="20"/>
          <w:color w:val="auto"/>
        </w:rPr>
      </w:pPr>
    </w:p>
    <w:p>
      <w:pPr>
        <w:ind w:left="61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24130</wp:posOffset>
            </wp:positionV>
            <wp:extent cx="2564130" cy="127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243840</wp:posOffset>
            </wp:positionV>
            <wp:extent cx="1329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980"/>
        <w:spacing w:after="0"/>
        <w:tabs>
          <w:tab w:leader="none" w:pos="8220" w:val="left"/>
        </w:tabs>
        <w:rPr>
          <w:sz w:val="20"/>
          <w:szCs w:val="20"/>
          <w:color w:val="auto"/>
        </w:rPr>
      </w:pPr>
      <w:r>
        <w:rPr>
          <w:rFonts w:ascii="Arial" w:cs="Arial" w:eastAsia="Arial" w:hAnsi="Arial"/>
          <w:sz w:val="18"/>
          <w:szCs w:val="18"/>
          <w:color w:val="auto"/>
        </w:rPr>
        <w:t>This is an initial public offering of shares of common stock of Gossamer Bio, Inc. All of the</w:t>
      </w:r>
      <w:r>
        <w:rPr>
          <w:sz w:val="20"/>
          <w:szCs w:val="20"/>
          <w:color w:val="auto"/>
        </w:rPr>
        <w:tab/>
      </w:r>
      <w:r>
        <w:rPr>
          <w:rFonts w:ascii="Arial" w:cs="Arial" w:eastAsia="Arial" w:hAnsi="Arial"/>
          <w:sz w:val="16"/>
          <w:szCs w:val="16"/>
          <w:color w:val="auto"/>
        </w:rPr>
        <w:t>shares of common stock are being sold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company.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this offering, there has been no public market for our common stock. It is currently estimated that the initial public offering price will</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be between $ and $ per share. We have applied to have our common stock listed on the Nasdaq Global Select Market under the symbol “GOSS.”</w:t>
      </w:r>
    </w:p>
    <w:p>
      <w:pPr>
        <w:spacing w:after="0" w:line="184" w:lineRule="exact"/>
        <w:rPr>
          <w:sz w:val="20"/>
          <w:szCs w:val="20"/>
          <w:color w:val="auto"/>
        </w:rPr>
      </w:pPr>
    </w:p>
    <w:p>
      <w:pPr>
        <w:ind w:left="200" w:right="420" w:firstLine="771"/>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157" w:lineRule="exact"/>
        <w:rPr>
          <w:sz w:val="20"/>
          <w:szCs w:val="20"/>
          <w:color w:val="auto"/>
        </w:rPr>
      </w:pPr>
    </w:p>
    <w:p>
      <w:pPr>
        <w:ind w:left="200" w:right="420" w:firstLine="7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that are described in the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206375</wp:posOffset>
            </wp:positionV>
            <wp:extent cx="1329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208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12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85725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1400" w:hanging="318"/>
        <w:spacing w:after="0"/>
        <w:tabs>
          <w:tab w:leader="none" w:pos="1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208" w:lineRule="exact"/>
        <w:rPr>
          <w:sz w:val="20"/>
          <w:szCs w:val="20"/>
          <w:color w:val="auto"/>
        </w:rPr>
      </w:pPr>
    </w:p>
    <w:p>
      <w:pPr>
        <w:ind w:left="980"/>
        <w:spacing w:after="0"/>
        <w:tabs>
          <w:tab w:leader="none" w:pos="512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shares of common stock, the underwriters have the option to purchase up to an</w:t>
      </w:r>
    </w:p>
    <w:p>
      <w:pPr>
        <w:spacing w:after="0" w:line="23" w:lineRule="exact"/>
        <w:rPr>
          <w:sz w:val="20"/>
          <w:szCs w:val="20"/>
          <w:color w:val="auto"/>
        </w:rPr>
      </w:pPr>
    </w:p>
    <w:p>
      <w:pPr>
        <w:ind w:left="200"/>
        <w:spacing w:after="0"/>
        <w:tabs>
          <w:tab w:leader="none" w:pos="154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shares of common stock from us at the initial public offering price less the underwriting discount.</w:t>
      </w:r>
    </w:p>
    <w:p>
      <w:pPr>
        <w:spacing w:after="0" w:line="207" w:lineRule="exact"/>
        <w:rPr>
          <w:sz w:val="20"/>
          <w:szCs w:val="20"/>
          <w:color w:val="auto"/>
        </w:rPr>
      </w:pPr>
    </w:p>
    <w:p>
      <w:pPr>
        <w:ind w:left="200" w:right="340" w:firstLine="77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120" w:lineRule="exact"/>
        <w:rPr>
          <w:sz w:val="20"/>
          <w:szCs w:val="20"/>
          <w:color w:val="auto"/>
        </w:rPr>
      </w:pPr>
    </w:p>
    <w:p>
      <w:pPr>
        <w:ind w:left="980"/>
        <w:spacing w:after="0"/>
        <w:tabs>
          <w:tab w:leader="none" w:pos="8300" w:val="left"/>
        </w:tabs>
        <w:rPr>
          <w:sz w:val="20"/>
          <w:szCs w:val="20"/>
          <w:color w:val="auto"/>
        </w:rPr>
      </w:pPr>
      <w:r>
        <w:rPr>
          <w:rFonts w:ascii="Arial" w:cs="Arial" w:eastAsia="Arial" w:hAnsi="Arial"/>
          <w:sz w:val="18"/>
          <w:szCs w:val="18"/>
          <w:color w:val="auto"/>
        </w:rPr>
        <w:t>The underwriters expect to deliver the shares of common stock to purchasers on or about</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238125</wp:posOffset>
            </wp:positionV>
            <wp:extent cx="1329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tabs>
          <w:tab w:leader="none" w:pos="4240" w:val="left"/>
          <w:tab w:leader="none" w:pos="7360" w:val="left"/>
          <w:tab w:leader="none" w:pos="9640" w:val="left"/>
        </w:tabs>
        <w:rPr>
          <w:sz w:val="20"/>
          <w:szCs w:val="20"/>
          <w:color w:val="auto"/>
        </w:rPr>
      </w:pPr>
      <w:r>
        <w:rPr>
          <w:rFonts w:ascii="Arial" w:cs="Arial" w:eastAsia="Arial" w:hAnsi="Arial"/>
          <w:sz w:val="29"/>
          <w:szCs w:val="29"/>
          <w:b w:val="1"/>
          <w:bCs w:val="1"/>
          <w:color w:val="auto"/>
        </w:rPr>
        <w:t>BofA Merrill Lynch</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6"/>
          <w:szCs w:val="26"/>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245745</wp:posOffset>
            </wp:positionV>
            <wp:extent cx="1329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2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820" w:type="dxa"/>
            <w:vAlign w:val="bottom"/>
            <w:tcBorders>
              <w:top w:val="single" w:sz="8" w:color="0000EE"/>
            </w:tcBorders>
            <w:gridSpan w:val="7"/>
          </w:tcPr>
          <w:p>
            <w:pPr>
              <w:spacing w:after="0"/>
              <w:rPr>
                <w:sz w:val="18"/>
                <w:szCs w:val="18"/>
                <w:color w:val="auto"/>
              </w:rPr>
            </w:pPr>
          </w:p>
        </w:tc>
        <w:tc>
          <w:tcPr>
            <w:tcW w:w="8580" w:type="dxa"/>
            <w:vAlign w:val="bottom"/>
            <w:gridSpan w:val="1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SPECIAL NOTE REGARDING FORWARD-LOOKING STATEMENTS</w:t>
              </w:r>
            </w:hyperlink>
          </w:p>
        </w:tc>
        <w:tc>
          <w:tcPr>
            <w:tcW w:w="5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MARKET AND INDUSTRY DATA</w:t>
              </w:r>
            </w:hyperlink>
          </w:p>
        </w:tc>
        <w:tc>
          <w:tcPr>
            <w:tcW w:w="80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USE OF PROCEEDS</w:t>
              </w:r>
            </w:hyperlink>
          </w:p>
        </w:tc>
        <w:tc>
          <w:tcPr>
            <w:tcW w:w="90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DIVIDEND POLICY</w:t>
              </w:r>
            </w:hyperlink>
          </w:p>
        </w:tc>
        <w:tc>
          <w:tcPr>
            <w:tcW w:w="90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CAPITALIZATION</w:t>
              </w:r>
            </w:hyperlink>
          </w:p>
        </w:tc>
        <w:tc>
          <w:tcPr>
            <w:tcW w:w="91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978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66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BUSINESS</w:t>
              </w:r>
            </w:hyperlink>
          </w:p>
        </w:tc>
        <w:tc>
          <w:tcPr>
            <w:tcW w:w="98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0660" w:type="dxa"/>
            <w:vAlign w:val="bottom"/>
            <w:gridSpan w:val="23"/>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EXECUTIVE AND DIRECTOR COMPENSATION</w:t>
              </w:r>
            </w:hyperlink>
          </w:p>
        </w:tc>
        <w:tc>
          <w:tcPr>
            <w:tcW w:w="6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0660" w:type="dxa"/>
            <w:vAlign w:val="bottom"/>
            <w:gridSpan w:val="23"/>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CERTAIN RELATIONSHIPS AND RELATED PERSON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169">
              <w:r>
                <w:rPr>
                  <w:rFonts w:ascii="Arial" w:cs="Arial" w:eastAsia="Arial" w:hAnsi="Arial"/>
                  <w:sz w:val="18"/>
                  <w:szCs w:val="18"/>
                  <w:color w:val="0000EE"/>
                  <w:w w:val="95"/>
                </w:rPr>
                <w:t>PRINCIPAL STOCKHOLDERS</w:t>
              </w:r>
            </w:hyperlink>
          </w:p>
        </w:tc>
        <w:tc>
          <w:tcPr>
            <w:tcW w:w="3180" w:type="dxa"/>
            <w:vAlign w:val="bottom"/>
            <w:tcBorders>
              <w:top w:val="single" w:sz="8" w:color="0000EE"/>
            </w:tcBorders>
            <w:gridSpan w:val="8"/>
          </w:tcPr>
          <w:p>
            <w:pPr>
              <w:spacing w:after="0"/>
              <w:rPr>
                <w:sz w:val="17"/>
                <w:szCs w:val="17"/>
                <w:color w:val="auto"/>
              </w:rPr>
            </w:pPr>
          </w:p>
        </w:tc>
        <w:tc>
          <w:tcPr>
            <w:tcW w:w="50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72">
              <w:r>
                <w:rPr>
                  <w:rFonts w:ascii="Arial" w:cs="Arial" w:eastAsia="Arial" w:hAnsi="Arial"/>
                  <w:sz w:val="18"/>
                  <w:szCs w:val="18"/>
                  <w:color w:val="0000EE"/>
                  <w:w w:val="95"/>
                </w:rPr>
                <w:t>DESCRIPTION OF CAPITAL STOCK</w:t>
              </w:r>
            </w:hyperlink>
          </w:p>
        </w:tc>
        <w:tc>
          <w:tcPr>
            <w:tcW w:w="77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10660" w:type="dxa"/>
            <w:vAlign w:val="bottom"/>
            <w:gridSpan w:val="2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MATERIAL UNITED STATES FEDERAL INCOME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84">
              <w:r>
                <w:rPr>
                  <w:rFonts w:ascii="Arial" w:cs="Arial" w:eastAsia="Arial" w:hAnsi="Arial"/>
                  <w:sz w:val="18"/>
                  <w:szCs w:val="18"/>
                  <w:color w:val="0000EE"/>
                  <w:w w:val="97"/>
                </w:rPr>
                <w:t>UNDERWRITING</w:t>
              </w:r>
            </w:hyperlink>
          </w:p>
        </w:tc>
        <w:tc>
          <w:tcPr>
            <w:tcW w:w="6340" w:type="dxa"/>
            <w:vAlign w:val="bottom"/>
            <w:tcBorders>
              <w:top w:val="single" w:sz="8" w:color="0000EE"/>
            </w:tcBorders>
            <w:gridSpan w:val="15"/>
          </w:tcPr>
          <w:p>
            <w:pPr>
              <w:spacing w:after="0"/>
              <w:rPr>
                <w:sz w:val="17"/>
                <w:szCs w:val="17"/>
                <w:color w:val="auto"/>
              </w:rPr>
            </w:pPr>
          </w:p>
        </w:tc>
        <w:tc>
          <w:tcPr>
            <w:tcW w:w="29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92">
              <w:r>
                <w:rPr>
                  <w:rFonts w:ascii="Arial" w:cs="Arial" w:eastAsia="Arial" w:hAnsi="Arial"/>
                  <w:sz w:val="18"/>
                  <w:szCs w:val="18"/>
                  <w:color w:val="0000EE"/>
                  <w:w w:val="96"/>
                </w:rPr>
                <w:t>LEGAL MATTERS</w:t>
              </w:r>
            </w:hyperlink>
          </w:p>
        </w:tc>
        <w:tc>
          <w:tcPr>
            <w:tcW w:w="92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EXPERTS</w:t>
              </w:r>
            </w:hyperlink>
          </w:p>
        </w:tc>
        <w:tc>
          <w:tcPr>
            <w:tcW w:w="988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92">
              <w:r>
                <w:rPr>
                  <w:rFonts w:ascii="Arial" w:cs="Arial" w:eastAsia="Arial" w:hAnsi="Arial"/>
                  <w:sz w:val="18"/>
                  <w:szCs w:val="18"/>
                  <w:color w:val="0000EE"/>
                  <w:w w:val="97"/>
                </w:rPr>
                <w:t>WHERE YOU CAN FIND MORE INFORMATION</w:t>
              </w:r>
            </w:hyperlink>
          </w:p>
        </w:tc>
        <w:tc>
          <w:tcPr>
            <w:tcW w:w="68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INDEX TO CONSOLIDATED FINANCIAL STATEMENTS</w:t>
              </w:r>
            </w:hyperlink>
          </w:p>
        </w:tc>
        <w:tc>
          <w:tcPr>
            <w:tcW w:w="62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240030</wp:posOffset>
            </wp:positionV>
            <wp:extent cx="1329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78"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74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titled “Risk Factors” and our financial statements and the related notes thereto included at the end of this prospectus, before making an investment decision. As used in this prospectus, unless the context otherwise requires, references to “we,” “us,” “our,” “the Company” and “Gossamer Bio” refer to Gossamer Bio, Inc. and its subsidiaries on a consolidated basis.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80" w:right="20" w:firstLine="746"/>
        <w:spacing w:after="0" w:line="255" w:lineRule="auto"/>
        <w:rPr>
          <w:sz w:val="20"/>
          <w:szCs w:val="20"/>
          <w:color w:val="auto"/>
        </w:rPr>
      </w:pPr>
      <w:r>
        <w:rPr>
          <w:rFonts w:ascii="Arial" w:cs="Arial" w:eastAsia="Arial" w:hAnsi="Arial"/>
          <w:sz w:val="18"/>
          <w:szCs w:val="18"/>
          <w:color w:val="auto"/>
        </w:rPr>
        <w:t>We are a clinical-stage biopharmaceutical company focused on discovering, acquiring, developing and commercializing therapeutics in the disease areas of immunology, inflammation and oncology. Our goal is to be an industry leader in each of these therapeutic areas and to enhance and extend the lives of patients suffering from such diseases. To accomplish this goal, we have assembled a deeply experienced and highly skilled group of industry veterans, scientists, clinicians and key opinion leaders from leading biotechnology and pharmaceutical companies, as well as leading academic centers from around the world. Our collective immunology and translational discovery and development expertise serves as the foundation of our company. We intend to maintain a scientifically rigorous and inclusive corporate culture where employees strive to bring improved therapeutic options to patients.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Development Programs</w:t>
      </w:r>
    </w:p>
    <w:p>
      <w:pPr>
        <w:spacing w:after="0" w:line="229" w:lineRule="exact"/>
        <w:rPr>
          <w:sz w:val="20"/>
          <w:szCs w:val="20"/>
          <w:color w:val="auto"/>
        </w:rPr>
      </w:pPr>
    </w:p>
    <w:p>
      <w:pPr>
        <w:ind w:left="380" w:right="20" w:firstLine="746"/>
        <w:spacing w:after="0" w:line="312" w:lineRule="auto"/>
        <w:rPr>
          <w:sz w:val="20"/>
          <w:szCs w:val="20"/>
          <w:color w:val="auto"/>
        </w:rPr>
      </w:pPr>
      <w:r>
        <w:rPr>
          <w:rFonts w:ascii="Arial" w:cs="Arial" w:eastAsia="Arial" w:hAnsi="Arial"/>
          <w:sz w:val="16"/>
          <w:szCs w:val="16"/>
          <w:color w:val="auto"/>
        </w:rPr>
        <w:t>We are pursuing product candidates with strong scientific rationale to address indications where there is both a high unmet need and an opportunity to develop best-in-class or first-in-class therapeutics. We currently have six programs: three clinical-stage product candidates and three preclinical programs. We commenced a Phase 2b clinical trial for our most advanced product candidate, GB001, in October 2018.</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our current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GB001 (DP2 Antagonist)</w:t>
      </w:r>
    </w:p>
    <w:p>
      <w:pPr>
        <w:spacing w:after="0" w:line="225" w:lineRule="exact"/>
        <w:rPr>
          <w:sz w:val="20"/>
          <w:szCs w:val="20"/>
          <w:color w:val="auto"/>
        </w:rPr>
      </w:pPr>
    </w:p>
    <w:p>
      <w:pPr>
        <w:ind w:left="380" w:firstLine="746"/>
        <w:spacing w:after="0" w:line="286" w:lineRule="auto"/>
        <w:rPr>
          <w:sz w:val="20"/>
          <w:szCs w:val="20"/>
          <w:color w:val="auto"/>
        </w:rPr>
      </w:pPr>
      <w:r>
        <w:rPr>
          <w:rFonts w:ascii="Arial" w:cs="Arial" w:eastAsia="Arial" w:hAnsi="Arial"/>
          <w:sz w:val="16"/>
          <w:szCs w:val="16"/>
          <w:color w:val="auto"/>
        </w:rPr>
        <w:t>GB001 is an oral antagonist of prostaglandin D</w:t>
      </w:r>
      <w:r>
        <w:rPr>
          <w:rFonts w:ascii="Arial" w:cs="Arial" w:eastAsia="Arial" w:hAnsi="Arial"/>
          <w:sz w:val="13"/>
          <w:szCs w:val="13"/>
          <w:color w:val="auto"/>
        </w:rPr>
        <w:t>2</w:t>
      </w:r>
      <w:r>
        <w:rPr>
          <w:rFonts w:ascii="Arial" w:cs="Arial" w:eastAsia="Arial" w:hAnsi="Arial"/>
          <w:sz w:val="16"/>
          <w:szCs w:val="16"/>
          <w:color w:val="auto"/>
        </w:rPr>
        <w:t xml:space="preserve"> receptor 2, or DP2, in development for the treatment of moderate-to-severe eosinophilic asthma and other allergic conditions. Eosinophilic asthma is caused by high levels of white blood cells known as eosinophils and is associated with more severe symptoms, late-onset disease and resistance to steroid treatment. We estimate that approximately 50% of severe asthma patients in the United States have eosinophilic asthma. Despite the availability of new biologic therapies for these patients, asthma exacerbations remain a significant healthcare problem and unmet medical need. As of December 15, 2018, GB001 had been studied in 409 subjects in total and was generally well tolerated. In a Phase 2 clinical trial conducted in Japan, GB001 showed a statistically significant improvement in time-to-first asthma exacerbation compared to placebo. In a separate 248 subject Phase 2 clinical trial, neither treatment group, GB001 nor montelukast, achieved the primary endpoint of improvement in forced expiratory volume in one second, or FEV</w:t>
      </w:r>
      <w:r>
        <w:rPr>
          <w:rFonts w:ascii="Arial" w:cs="Arial" w:eastAsia="Arial" w:hAnsi="Arial"/>
          <w:sz w:val="13"/>
          <w:szCs w:val="13"/>
          <w:color w:val="auto"/>
        </w:rPr>
        <w:t>1</w:t>
      </w:r>
      <w:r>
        <w:rPr>
          <w:rFonts w:ascii="Arial" w:cs="Arial" w:eastAsia="Arial" w:hAnsi="Arial"/>
          <w:sz w:val="16"/>
          <w:szCs w:val="16"/>
          <w:color w:val="auto"/>
        </w:rPr>
        <w:t>, as compared to placebo, which we believe was primarily related to study design and execution issues related to patient selection, including adherence to inhaled corticosteroid therapy, eosinophilic phenotype thresholds and disease severity. A single serious adverse event deemed by the investigator likely to be related to study drug was observed in a Japanese patient who had received a 160 mg dose of GB001 in a Phase 1 clinical trial conducted by Teijin Pharma Limited, or Teijin. The patient had GB001 levels approximately three to five times higher than the other patients receiving the 160 mg dose, and the dose was significantly higher than the highest dose of 60 mg currently being evaluated in our ongoing Phase 2b clinical trial. We commenced a Phase 2b clinical trial in moderate-to-severe eosinophilic asthma in October 2018.</w:t>
      </w:r>
    </w:p>
    <w:p>
      <w:pPr>
        <w:spacing w:after="0" w:line="172" w:lineRule="exact"/>
        <w:rPr>
          <w:sz w:val="20"/>
          <w:szCs w:val="20"/>
          <w:color w:val="auto"/>
        </w:rPr>
      </w:pPr>
    </w:p>
    <w:p>
      <w:pPr>
        <w:ind w:left="380" w:right="380" w:firstLine="746"/>
        <w:spacing w:after="0" w:line="259" w:lineRule="auto"/>
        <w:rPr>
          <w:sz w:val="20"/>
          <w:szCs w:val="20"/>
          <w:color w:val="auto"/>
        </w:rPr>
      </w:pPr>
      <w:r>
        <w:rPr>
          <w:rFonts w:ascii="Arial" w:cs="Arial" w:eastAsia="Arial" w:hAnsi="Arial"/>
          <w:sz w:val="18"/>
          <w:szCs w:val="18"/>
          <w:color w:val="auto"/>
        </w:rPr>
        <w:t>Furthermore, we believe that there are a number of indications along the allergic spectrum for which GB001 may provide benefit. Accordingly, we plan to pursue the parallel development of GB001 in chronic rhinosinusitis with nasal polyps, or CRSwNP, and chronic spontaneous urticaria, or CSU. We expect to initiate proof-of-concept Phase 2 clinical trials for these indications in 2019. We retain worldwide rights to GB001, excluding Japan.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GB002 (PDGF Receptor Kinase Inhibitor)</w:t>
      </w:r>
    </w:p>
    <w:p>
      <w:pPr>
        <w:spacing w:after="0" w:line="225" w:lineRule="exact"/>
        <w:rPr>
          <w:sz w:val="20"/>
          <w:szCs w:val="20"/>
          <w:color w:val="auto"/>
        </w:rPr>
      </w:pPr>
    </w:p>
    <w:p>
      <w:pPr>
        <w:ind w:left="380" w:right="80" w:firstLine="746"/>
        <w:spacing w:after="0" w:line="287" w:lineRule="auto"/>
        <w:rPr>
          <w:sz w:val="20"/>
          <w:szCs w:val="20"/>
          <w:color w:val="auto"/>
        </w:rPr>
      </w:pPr>
      <w:r>
        <w:rPr>
          <w:rFonts w:ascii="Arial" w:cs="Arial" w:eastAsia="Arial" w:hAnsi="Arial"/>
          <w:sz w:val="16"/>
          <w:szCs w:val="16"/>
          <w:color w:val="auto"/>
        </w:rPr>
        <w:t>GB002 is an orally inhaled, small molecule, selective platelet-derived growth factor, or PDGF, receptor kinase inhibitor in development for the treatment of pulmonary arterial hypertension, or PAH, an orphan disease with high unmet medical need. PAH is characterized by abnormally high pressure in the blood vessels transporting blood from the right side of the heart to the lungs and is a progressive and often fatal disease. In contrast to the three classes of marketed vasodilatory therapies for PAH, GB002 has the potential to be the first treatment with disease-modifying effects. Modulation of the PDGF pathway has been shown to be therapeutically relevant in PAH. In 2013, Novartis Pharmaceutical Corporation announced results from a Phase 3 clinical trial in PAH of imatinib (Gleevec), a tyrosine kinase inhibitor with known activity against PDGF and marketed for oncology indications. These results were notable for not only achievement of statistically significant improvement in the study’s primary efficacy endpoint, but also for systemic toxicities. To our knowledge, no further development of the drug has occurred in PAH. To date, these toxicities have not been observed with GB002 in our ongoing Phase 1 studies in healthy volunteers. We plan to commence a Phase 1b clinical trial in PAH in the first half of 2019 and a Phase 2/3 clinical trial in PAH in the second half of 2019. We retain worldwide rights to GB002. The U.S. Food and Drug Administration, or FDA, has granted GB002 orphan drug designation for the treatment of patients with PAH.</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GB004 (HIF-1</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Stabilizer)</w:t>
      </w:r>
    </w:p>
    <w:p>
      <w:pPr>
        <w:spacing w:after="0" w:line="225" w:lineRule="exact"/>
        <w:rPr>
          <w:sz w:val="20"/>
          <w:szCs w:val="20"/>
          <w:color w:val="auto"/>
        </w:rPr>
      </w:pPr>
    </w:p>
    <w:p>
      <w:pPr>
        <w:ind w:left="380" w:right="140" w:firstLine="746"/>
        <w:spacing w:after="0" w:line="259" w:lineRule="auto"/>
        <w:rPr>
          <w:sz w:val="20"/>
          <w:szCs w:val="20"/>
          <w:color w:val="auto"/>
        </w:rPr>
      </w:pPr>
      <w:r>
        <w:rPr>
          <w:rFonts w:ascii="Arial" w:cs="Arial" w:eastAsia="Arial" w:hAnsi="Arial"/>
          <w:sz w:val="18"/>
          <w:szCs w:val="18"/>
          <w:color w:val="auto"/>
        </w:rPr>
        <w:t>GB004 is a novel, gut-targeted, oral small molecule in development for the treatment of inflammatory bowel disease, or IBD, including ulcerative colitis, or UC, and Crohn’s disease, or CD. GB004 stabilizes hypoxia inducible factor-1a, or HIF-1a, through the inhibition of prolyl hydroxylase domain proteins, or PHDs, key enzymes involved in HIF degradation. Preclinical data from animal models of IBD demonstrated that HIF-1a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stabilization restores intestinal epithelial barrier integrity and function and results in immunomodulatory effects that we believe are important in reducing inflammation and enhancing mucosal healing in IBD patients. We have completed a Phase 1 single-ascending-dose, or SAD, study in healthy volunteers and are dosing healthy volunteers in a Phase 1 multiple-ascending-dose, or MAD, study. We plan to pursue clinical development in both UC and CD patients and, following submission of an Investigational New Drug, or IND, application with the FDA, initiate a Phase 1b clinical trial in UC in the first half of 2019. We also plan to initiate a Phase 2 clinical trial in UC in the first half of 2020. We retain worldwide rights to GB004.</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Research Capabilities and Preclinical Programs</w:t>
      </w:r>
    </w:p>
    <w:p>
      <w:pPr>
        <w:spacing w:after="0" w:line="225" w:lineRule="exact"/>
        <w:rPr>
          <w:sz w:val="20"/>
          <w:szCs w:val="20"/>
          <w:color w:val="auto"/>
        </w:rPr>
      </w:pPr>
    </w:p>
    <w:p>
      <w:pPr>
        <w:ind w:left="380" w:right="120" w:firstLine="746"/>
        <w:spacing w:after="0" w:line="255" w:lineRule="auto"/>
        <w:rPr>
          <w:sz w:val="20"/>
          <w:szCs w:val="20"/>
          <w:color w:val="auto"/>
        </w:rPr>
      </w:pPr>
      <w:r>
        <w:rPr>
          <w:rFonts w:ascii="Arial" w:cs="Arial" w:eastAsia="Arial" w:hAnsi="Arial"/>
          <w:sz w:val="18"/>
          <w:szCs w:val="18"/>
          <w:color w:val="auto"/>
        </w:rPr>
        <w:t>We currently have three programs in preclinical development. GB1275 is an oral small molecule, CD11b agonist in preclinical development for the treatment of oncology indications for which we plan to submit an IND application and, after acceptance, initiate a Phase 1 clinical trial in 2019. We are also currently evaluating a portfolio of novel BTK inhibitors for the treatment of autoimmune indications and small molecule cancer metabolism modulators for the treatment of solid tumors. We are continuing to build our research capabilities, specifically focusing on our areas of expertise within immunology, inflammation and oncology, in order to advance new programs into the clinic, as well as to optimize our existing programs.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80" w:right="20" w:firstLine="746"/>
        <w:spacing w:after="0" w:line="286" w:lineRule="auto"/>
        <w:rPr>
          <w:sz w:val="20"/>
          <w:szCs w:val="20"/>
          <w:color w:val="auto"/>
        </w:rPr>
      </w:pPr>
      <w:r>
        <w:rPr>
          <w:rFonts w:ascii="Arial" w:cs="Arial" w:eastAsia="Arial" w:hAnsi="Arial"/>
          <w:sz w:val="17"/>
          <w:szCs w:val="17"/>
          <w:color w:val="auto"/>
        </w:rPr>
        <w:t>Our founders and management team have held senior positions at leading biopharmaceutical companies, including Receptos, Inc., Genentech USA, Inc. (Roche), or Genentech, Bristol-Myers Squibb Company, GlaxoSmithKline LLC and Celgene Corporation, among others, and possess substantial experience and expertise across the spectrum of drug discovery, development and commercialization.</w:t>
      </w:r>
    </w:p>
    <w:p>
      <w:pPr>
        <w:spacing w:after="0" w:line="166" w:lineRule="exact"/>
        <w:rPr>
          <w:sz w:val="20"/>
          <w:szCs w:val="20"/>
          <w:color w:val="auto"/>
        </w:rPr>
      </w:pPr>
    </w:p>
    <w:p>
      <w:pPr>
        <w:ind w:left="380" w:right="200" w:firstLine="746"/>
        <w:spacing w:after="0" w:line="255" w:lineRule="auto"/>
        <w:rPr>
          <w:sz w:val="20"/>
          <w:szCs w:val="20"/>
          <w:color w:val="auto"/>
        </w:rPr>
      </w:pPr>
      <w:r>
        <w:rPr>
          <w:rFonts w:ascii="Arial" w:cs="Arial" w:eastAsia="Arial" w:hAnsi="Arial"/>
          <w:sz w:val="18"/>
          <w:szCs w:val="18"/>
          <w:color w:val="auto"/>
        </w:rPr>
        <w:t>Sheila Gujrathi, M.D., our Co-Founder and President and Chief Executive Officer, was previously Chief Medical Officer of Receptos until its acquisition by Celgene in 2015, and has also served in senior leadership roles at Bristol-Myers Squibb and Genentech. Faheem Hasnain, our Co-Founder and Executive Chairman and former Chief Executive Officer, previously served as Chief Executive Officer at Receptos, and has over 30 years of senior leadership experience at both large and small biopharmaceutical companies. Luisa Salter-Cid, Ph.D., our Chief Scientific Officer, was previously the Head of Immunology Discovery at Bristol-Myers Squibb, having overseen immunology and immuno-oncology discovery efforts since 2005.</w:t>
      </w:r>
    </w:p>
    <w:p>
      <w:pPr>
        <w:spacing w:after="0" w:line="193" w:lineRule="exact"/>
        <w:rPr>
          <w:sz w:val="20"/>
          <w:szCs w:val="20"/>
          <w:color w:val="auto"/>
        </w:rPr>
      </w:pPr>
    </w:p>
    <w:p>
      <w:pPr>
        <w:ind w:left="380" w:right="100" w:firstLine="746"/>
        <w:spacing w:after="0" w:line="277" w:lineRule="auto"/>
        <w:rPr>
          <w:sz w:val="20"/>
          <w:szCs w:val="20"/>
          <w:color w:val="auto"/>
        </w:rPr>
      </w:pPr>
      <w:r>
        <w:rPr>
          <w:rFonts w:ascii="Arial" w:cs="Arial" w:eastAsia="Arial" w:hAnsi="Arial"/>
          <w:sz w:val="18"/>
          <w:szCs w:val="18"/>
          <w:color w:val="auto"/>
        </w:rPr>
        <w:t>The development and operational expertise of our executive and senior scientific team will be essential as we execute on our strategy of building a large, diversified biopharmaceutical company to deliver significant value to both patients and shareholders.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80" w:right="100" w:firstLine="746"/>
        <w:spacing w:after="0" w:line="277" w:lineRule="auto"/>
        <w:rPr>
          <w:sz w:val="20"/>
          <w:szCs w:val="20"/>
          <w:color w:val="auto"/>
        </w:rPr>
      </w:pPr>
      <w:r>
        <w:rPr>
          <w:rFonts w:ascii="Arial" w:cs="Arial" w:eastAsia="Arial" w:hAnsi="Arial"/>
          <w:sz w:val="18"/>
          <w:szCs w:val="18"/>
          <w:color w:val="auto"/>
        </w:rPr>
        <w:t>Our goal is to be an industry leader in the disease areas of immunology, inflammation and oncology and to enhance and extend the lives of patients suffering from such diseases. Critical components of our business strategy include:</w:t>
      </w:r>
    </w:p>
    <w:p>
      <w:pPr>
        <w:spacing w:after="0" w:line="197" w:lineRule="exact"/>
        <w:rPr>
          <w:sz w:val="20"/>
          <w:szCs w:val="20"/>
          <w:color w:val="auto"/>
        </w:rPr>
      </w:pPr>
    </w:p>
    <w:p>
      <w:pPr>
        <w:ind w:left="1540" w:right="680" w:hanging="303"/>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deep therapeutic centers of excellence by leveraging our immunology and translational discovery and development expertise.</w:t>
      </w:r>
    </w:p>
    <w:p>
      <w:pPr>
        <w:spacing w:after="0" w:line="197" w:lineRule="exact"/>
        <w:rPr>
          <w:rFonts w:ascii="Arial" w:cs="Arial" w:eastAsia="Arial" w:hAnsi="Arial"/>
          <w:sz w:val="18"/>
          <w:szCs w:val="18"/>
          <w:color w:val="auto"/>
        </w:rPr>
      </w:pPr>
    </w:p>
    <w:p>
      <w:pPr>
        <w:ind w:left="1540" w:hanging="303"/>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impact of our product candidates by expanding development across multiple indications.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5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65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540" w:right="620" w:hanging="30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Expeditiously generate proof-of-concept data from our preclinical programs to facilitate value creation and efficient capital deployment.</w:t>
      </w:r>
    </w:p>
    <w:p>
      <w:pPr>
        <w:spacing w:after="0" w:line="197" w:lineRule="exact"/>
        <w:rPr>
          <w:rFonts w:ascii="Arial" w:cs="Arial" w:eastAsia="Arial" w:hAnsi="Arial"/>
          <w:sz w:val="18"/>
          <w:szCs w:val="18"/>
          <w:color w:val="auto"/>
        </w:rPr>
      </w:pPr>
    </w:p>
    <w:p>
      <w:pPr>
        <w:ind w:left="1540" w:hanging="30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drug discovery, development and commercialization expertise of our world-class team.</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380" w:right="420" w:firstLine="746"/>
        <w:spacing w:after="0" w:line="277" w:lineRule="auto"/>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titled “Risk Factors” immediately following this Prospectus Summary. These risks include, among others:</w:t>
      </w:r>
    </w:p>
    <w:p>
      <w:pPr>
        <w:spacing w:after="0" w:line="197" w:lineRule="exact"/>
        <w:rPr>
          <w:sz w:val="20"/>
          <w:szCs w:val="20"/>
          <w:color w:val="auto"/>
        </w:rPr>
      </w:pPr>
    </w:p>
    <w:p>
      <w:pPr>
        <w:jc w:val="both"/>
        <w:ind w:left="1540" w:right="160" w:hanging="303"/>
        <w:spacing w:after="0" w:line="26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208" w:lineRule="exact"/>
        <w:rPr>
          <w:rFonts w:ascii="Arial" w:cs="Arial" w:eastAsia="Arial" w:hAnsi="Arial"/>
          <w:sz w:val="18"/>
          <w:szCs w:val="18"/>
          <w:color w:val="auto"/>
        </w:rPr>
      </w:pPr>
    </w:p>
    <w:p>
      <w:pPr>
        <w:ind w:left="1540" w:hanging="303"/>
        <w:spacing w:after="0" w:line="26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08" w:lineRule="exact"/>
        <w:rPr>
          <w:rFonts w:ascii="Arial" w:cs="Arial" w:eastAsia="Arial" w:hAnsi="Arial"/>
          <w:sz w:val="18"/>
          <w:szCs w:val="18"/>
          <w:color w:val="auto"/>
        </w:rPr>
      </w:pPr>
    </w:p>
    <w:p>
      <w:pPr>
        <w:ind w:left="1540" w:right="60" w:hanging="303"/>
        <w:spacing w:after="0" w:line="312"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heavily on the success of GB001, GB002 and GB004, which are in either Phase 1 or Phase 2 clinical development. If we are unable to advance our product candidates in clinical development, obtain regulatory approval and ultimately commercialize our product candidates, or experience significant delays in doing so, our business will be materially harmed.</w:t>
      </w:r>
    </w:p>
    <w:p>
      <w:pPr>
        <w:spacing w:after="0" w:line="173" w:lineRule="exact"/>
        <w:rPr>
          <w:rFonts w:ascii="Arial" w:cs="Arial" w:eastAsia="Arial" w:hAnsi="Arial"/>
          <w:sz w:val="16"/>
          <w:szCs w:val="16"/>
          <w:color w:val="auto"/>
        </w:rPr>
      </w:pPr>
    </w:p>
    <w:p>
      <w:pPr>
        <w:ind w:left="1540" w:right="80" w:hanging="303"/>
        <w:spacing w:after="0" w:line="25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and the results of preclinical studies and early clinical trials are not necessarily predictive of future results. In addition, our assumptions about why our product candidates are worthy of future development and potential approval are based on data primarily collected by other companies. Our product candidates may not have favorable results in later clinical trials, if any, or receive regulatory approval on a timely basis, or at all.</w:t>
      </w:r>
    </w:p>
    <w:p>
      <w:pPr>
        <w:spacing w:after="0" w:line="215" w:lineRule="exact"/>
        <w:rPr>
          <w:rFonts w:ascii="Arial" w:cs="Arial" w:eastAsia="Arial" w:hAnsi="Arial"/>
          <w:sz w:val="18"/>
          <w:szCs w:val="18"/>
          <w:color w:val="auto"/>
        </w:rPr>
      </w:pPr>
    </w:p>
    <w:p>
      <w:pPr>
        <w:ind w:left="1540" w:right="360" w:hanging="303"/>
        <w:spacing w:after="0" w:line="26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208" w:lineRule="exact"/>
        <w:rPr>
          <w:rFonts w:ascii="Arial" w:cs="Arial" w:eastAsia="Arial" w:hAnsi="Arial"/>
          <w:sz w:val="18"/>
          <w:szCs w:val="18"/>
          <w:color w:val="auto"/>
        </w:rPr>
      </w:pPr>
    </w:p>
    <w:p>
      <w:pPr>
        <w:ind w:left="1540" w:right="240" w:hanging="303"/>
        <w:spacing w:after="0" w:line="342"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50" w:lineRule="exact"/>
        <w:rPr>
          <w:rFonts w:ascii="Arial" w:cs="Arial" w:eastAsia="Arial" w:hAnsi="Arial"/>
          <w:sz w:val="16"/>
          <w:szCs w:val="16"/>
          <w:color w:val="auto"/>
        </w:rPr>
      </w:pPr>
    </w:p>
    <w:p>
      <w:pPr>
        <w:ind w:left="1540" w:right="260" w:hanging="30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many of our preclinical studies and clinical trials and to manufacture our product candidates, and these third parties may not perform satisfactorily.</w:t>
      </w:r>
    </w:p>
    <w:p>
      <w:pPr>
        <w:spacing w:after="0" w:line="197" w:lineRule="exact"/>
        <w:rPr>
          <w:rFonts w:ascii="Arial" w:cs="Arial" w:eastAsia="Arial" w:hAnsi="Arial"/>
          <w:sz w:val="18"/>
          <w:szCs w:val="18"/>
          <w:color w:val="auto"/>
        </w:rPr>
      </w:pPr>
    </w:p>
    <w:p>
      <w:pPr>
        <w:ind w:left="1540" w:hanging="30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52" w:lineRule="exact"/>
        <w:rPr>
          <w:rFonts w:ascii="Arial" w:cs="Arial" w:eastAsia="Arial" w:hAnsi="Arial"/>
          <w:sz w:val="18"/>
          <w:szCs w:val="18"/>
          <w:color w:val="auto"/>
        </w:rPr>
      </w:pPr>
    </w:p>
    <w:p>
      <w:pPr>
        <w:ind w:left="1540" w:right="240" w:hanging="30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recently substantially increased the size of our organization, and we may encounter difficulties in managing our growth and expanding our operations successfully.</w:t>
      </w:r>
    </w:p>
    <w:p>
      <w:pPr>
        <w:spacing w:after="0" w:line="197" w:lineRule="exact"/>
        <w:rPr>
          <w:rFonts w:ascii="Arial" w:cs="Arial" w:eastAsia="Arial" w:hAnsi="Arial"/>
          <w:sz w:val="18"/>
          <w:szCs w:val="18"/>
          <w:color w:val="auto"/>
        </w:rPr>
      </w:pPr>
    </w:p>
    <w:p>
      <w:pPr>
        <w:ind w:left="1540" w:right="200" w:hanging="30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including for GB002 and GB004, or otherwise experience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73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540" w:right="280"/>
        <w:spacing w:after="0" w:line="286" w:lineRule="auto"/>
        <w:rPr>
          <w:sz w:val="20"/>
          <w:szCs w:val="20"/>
          <w:color w:val="auto"/>
        </w:rPr>
      </w:pPr>
      <w:r>
        <w:rPr>
          <w:rFonts w:ascii="Arial" w:cs="Arial" w:eastAsia="Arial" w:hAnsi="Arial"/>
          <w:sz w:val="17"/>
          <w:szCs w:val="17"/>
          <w:color w:val="auto"/>
        </w:rPr>
        <w:t>disruptions to our business relationships with our licensors, we could lose license rights that are important to our business. Additionally, several of our license agreements include sublicenses from a third party, including for GB002 and GB004, and we must rely on the direct licensor’s compliance with its obligations under its original license agreement.</w:t>
      </w:r>
    </w:p>
    <w:p>
      <w:pPr>
        <w:spacing w:after="0" w:line="193" w:lineRule="exact"/>
        <w:rPr>
          <w:sz w:val="20"/>
          <w:szCs w:val="20"/>
          <w:color w:val="auto"/>
        </w:rPr>
      </w:pPr>
    </w:p>
    <w:p>
      <w:pPr>
        <w:ind w:left="1540" w:right="20" w:hanging="303"/>
        <w:spacing w:after="0" w:line="25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this offering, our executive officers, directors and principal stockholders, if they choose to act together, will continue to have the ability to control or significantly influence all matters submitted to stockholders for approval. Furthermore, many of our current directors were appointed by our principal stockholders, and one such principal stockholder, HH Goss Holdings LLC, has the right to designate one member to our board of directors and have such member appointed to any board committee that it requests effective as of the closing of this offering.</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firstLine="746"/>
        <w:spacing w:after="0" w:line="302" w:lineRule="auto"/>
        <w:rPr>
          <w:sz w:val="20"/>
          <w:szCs w:val="20"/>
          <w:color w:val="auto"/>
        </w:rPr>
      </w:pPr>
      <w:r>
        <w:rPr>
          <w:rFonts w:ascii="Arial" w:cs="Arial" w:eastAsia="Arial" w:hAnsi="Arial"/>
          <w:sz w:val="16"/>
          <w:szCs w:val="16"/>
          <w:color w:val="auto"/>
        </w:rPr>
        <w:t>We were incorporated under the laws of the state of Delaware on October 26, 2015 under the name FSG, Bio, Inc. and changed our name to Gossamer Bio, Inc. in 2017. Our principal executive offices are located at 3013 Science Park Road, Suite 200, San Diego, California 92121, and our telephone number is (858) 684-1300. Our website address is www.gossamerbio.com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contained in, or accessible through, our website does not constitute part of this prospectus. We have included our website address as an inactive textual reference only.</w:t>
      </w:r>
    </w:p>
    <w:p>
      <w:pPr>
        <w:spacing w:after="0" w:line="154" w:lineRule="exact"/>
        <w:rPr>
          <w:sz w:val="20"/>
          <w:szCs w:val="20"/>
          <w:color w:val="auto"/>
        </w:rPr>
      </w:pPr>
    </w:p>
    <w:p>
      <w:pPr>
        <w:jc w:val="both"/>
        <w:ind w:left="380" w:right="80" w:firstLine="746"/>
        <w:spacing w:after="0" w:line="259" w:lineRule="auto"/>
        <w:rPr>
          <w:sz w:val="20"/>
          <w:szCs w:val="20"/>
          <w:color w:val="auto"/>
        </w:rPr>
      </w:pPr>
      <w:r>
        <w:rPr>
          <w:rFonts w:ascii="Arial" w:cs="Arial" w:eastAsia="Arial" w:hAnsi="Arial"/>
          <w:sz w:val="18"/>
          <w:szCs w:val="18"/>
          <w:color w:val="auto"/>
        </w:rPr>
        <w:t xml:space="preserve">This prospectus includes trademarks, tradenames and service marks that are the property of other organizations. Solely for convenience,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80" w:firstLine="746"/>
        <w:spacing w:after="0" w:line="312"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or the JOBS Act, enacted in April 2012. An emerging growth company may take advantage of reduced reporting requirements that are otherwise applicable to public companies. These provisions include, but are not limited to:</w:t>
      </w:r>
    </w:p>
    <w:p>
      <w:pPr>
        <w:spacing w:after="0" w:line="174" w:lineRule="exact"/>
        <w:rPr>
          <w:sz w:val="20"/>
          <w:szCs w:val="20"/>
          <w:color w:val="auto"/>
        </w:rPr>
      </w:pPr>
    </w:p>
    <w:p>
      <w:pPr>
        <w:ind w:left="1540" w:right="1000" w:hanging="30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&amp; Analysis of Financial Condition and Results of Operations in this prospectus;</w:t>
      </w:r>
    </w:p>
    <w:p>
      <w:pPr>
        <w:spacing w:after="0" w:line="197" w:lineRule="exact"/>
        <w:rPr>
          <w:rFonts w:ascii="Arial" w:cs="Arial" w:eastAsia="Arial" w:hAnsi="Arial"/>
          <w:sz w:val="18"/>
          <w:szCs w:val="18"/>
          <w:color w:val="auto"/>
        </w:rPr>
      </w:pPr>
    </w:p>
    <w:p>
      <w:pPr>
        <w:ind w:left="1540" w:right="560" w:hanging="30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w:t>
      </w:r>
    </w:p>
    <w:p>
      <w:pPr>
        <w:spacing w:after="0" w:line="197" w:lineRule="exact"/>
        <w:rPr>
          <w:rFonts w:ascii="Arial" w:cs="Arial" w:eastAsia="Arial" w:hAnsi="Arial"/>
          <w:sz w:val="18"/>
          <w:szCs w:val="18"/>
          <w:color w:val="auto"/>
        </w:rPr>
      </w:pPr>
    </w:p>
    <w:p>
      <w:pPr>
        <w:ind w:left="1540" w:right="80" w:hanging="30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197" w:lineRule="exact"/>
        <w:rPr>
          <w:rFonts w:ascii="Arial" w:cs="Arial" w:eastAsia="Arial" w:hAnsi="Arial"/>
          <w:sz w:val="18"/>
          <w:szCs w:val="18"/>
          <w:color w:val="auto"/>
        </w:rPr>
      </w:pPr>
    </w:p>
    <w:p>
      <w:pPr>
        <w:ind w:left="1540" w:right="140" w:hanging="30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left="380" w:right="40" w:firstLine="746"/>
        <w:spacing w:after="0" w:line="26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933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occur in 2023. However, if certain events occur prior to the end of such five-year period, including if we become a “large accelerated filer” as defined in Rule 12b-2 under the Securities Exchange Act of 1934, or the Exchange Act, our annual gross revenues exceed $1.07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jc w:val="both"/>
        <w:ind w:left="380" w:right="120" w:firstLine="746"/>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7" w:lineRule="exact"/>
        <w:rPr>
          <w:sz w:val="20"/>
          <w:szCs w:val="20"/>
          <w:color w:val="auto"/>
        </w:rPr>
      </w:pPr>
    </w:p>
    <w:p>
      <w:pPr>
        <w:jc w:val="both"/>
        <w:ind w:left="380" w:firstLine="746"/>
        <w:spacing w:after="0" w:line="286"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8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384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80" w:type="dxa"/>
            <w:vAlign w:val="bottom"/>
            <w:gridSpan w:val="2"/>
          </w:tcPr>
          <w:p>
            <w:pPr>
              <w:ind w:left="32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5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shares</w:t>
            </w:r>
          </w:p>
        </w:tc>
        <w:tc>
          <w:tcPr>
            <w:tcW w:w="5120" w:type="dxa"/>
            <w:vAlign w:val="bottom"/>
          </w:tcPr>
          <w:p>
            <w:pPr>
              <w:spacing w:after="0"/>
              <w:rPr>
                <w:sz w:val="24"/>
                <w:szCs w:val="24"/>
                <w:color w:val="auto"/>
              </w:rPr>
            </w:pPr>
          </w:p>
        </w:tc>
      </w:tr>
      <w:tr>
        <w:trPr>
          <w:trHeight w:val="458"/>
        </w:trPr>
        <w:tc>
          <w:tcPr>
            <w:tcW w:w="402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w:t>
            </w:r>
          </w:p>
        </w:tc>
        <w:tc>
          <w:tcPr>
            <w:tcW w:w="5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shares (</w:t>
            </w:r>
          </w:p>
        </w:tc>
        <w:tc>
          <w:tcPr>
            <w:tcW w:w="5120" w:type="dxa"/>
            <w:vAlign w:val="bottom"/>
          </w:tcPr>
          <w:p>
            <w:pPr>
              <w:ind w:left="280"/>
              <w:spacing w:after="0"/>
              <w:rPr>
                <w:sz w:val="20"/>
                <w:szCs w:val="20"/>
                <w:color w:val="auto"/>
              </w:rPr>
            </w:pPr>
            <w:r>
              <w:rPr>
                <w:rFonts w:ascii="Arial" w:cs="Arial" w:eastAsia="Arial" w:hAnsi="Arial"/>
                <w:sz w:val="18"/>
                <w:szCs w:val="18"/>
                <w:color w:val="auto"/>
              </w:rPr>
              <w:t>shares if the underwriters exercise their option to purchase</w:t>
            </w:r>
          </w:p>
        </w:tc>
      </w:tr>
      <w:tr>
        <w:trPr>
          <w:trHeight w:val="230"/>
        </w:trPr>
        <w:tc>
          <w:tcPr>
            <w:tcW w:w="4020" w:type="dxa"/>
            <w:vAlign w:val="bottom"/>
          </w:tcPr>
          <w:p>
            <w:pPr>
              <w:ind w:left="80"/>
              <w:spacing w:after="0"/>
              <w:rPr>
                <w:sz w:val="20"/>
                <w:szCs w:val="20"/>
                <w:color w:val="auto"/>
              </w:rPr>
            </w:pPr>
            <w:r>
              <w:rPr>
                <w:rFonts w:ascii="Arial" w:cs="Arial" w:eastAsia="Arial" w:hAnsi="Arial"/>
                <w:sz w:val="18"/>
                <w:szCs w:val="18"/>
                <w:color w:val="auto"/>
              </w:rPr>
              <w:t>offering</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additional shares of common stock in full)</w:t>
            </w:r>
          </w:p>
        </w:tc>
      </w:tr>
      <w:tr>
        <w:trPr>
          <w:trHeight w:val="458"/>
        </w:trPr>
        <w:tc>
          <w:tcPr>
            <w:tcW w:w="402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89"/>
              </w:rPr>
              <w:t>We have granted the underwriters an option exercisable for a period of 30 days to purchase</w:t>
            </w:r>
          </w:p>
        </w:tc>
      </w:tr>
      <w:tr>
        <w:trPr>
          <w:trHeight w:val="230"/>
        </w:trPr>
        <w:tc>
          <w:tcPr>
            <w:tcW w:w="40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up to</w:t>
            </w:r>
          </w:p>
        </w:tc>
        <w:tc>
          <w:tcPr>
            <w:tcW w:w="6080" w:type="dxa"/>
            <w:vAlign w:val="bottom"/>
            <w:gridSpan w:val="2"/>
          </w:tcPr>
          <w:p>
            <w:pPr>
              <w:ind w:left="600"/>
              <w:spacing w:after="0"/>
              <w:rPr>
                <w:sz w:val="20"/>
                <w:szCs w:val="20"/>
                <w:color w:val="auto"/>
              </w:rPr>
            </w:pPr>
            <w:r>
              <w:rPr>
                <w:rFonts w:ascii="Arial" w:cs="Arial" w:eastAsia="Arial" w:hAnsi="Arial"/>
                <w:sz w:val="18"/>
                <w:szCs w:val="18"/>
                <w:color w:val="auto"/>
              </w:rPr>
              <w:t>additional shares of our common stock.</w:t>
            </w:r>
          </w:p>
        </w:tc>
      </w:tr>
      <w:tr>
        <w:trPr>
          <w:trHeight w:val="445"/>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0"/>
              </w:rPr>
              <w:t>We intend to use the net proceeds of this offering to fund research and development of our</w:t>
            </w:r>
          </w:p>
        </w:tc>
      </w:tr>
      <w:tr>
        <w:trPr>
          <w:trHeight w:val="216"/>
        </w:trPr>
        <w:tc>
          <w:tcPr>
            <w:tcW w:w="40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8"/>
              </w:rPr>
              <w:t>product candidates and development programs and for working capital and general</w:t>
            </w:r>
          </w:p>
        </w:tc>
      </w:tr>
      <w:tr>
        <w:trPr>
          <w:trHeight w:val="216"/>
        </w:trPr>
        <w:tc>
          <w:tcPr>
            <w:tcW w:w="40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89"/>
              </w:rPr>
              <w:t>corporate purposes. See “Use of Proceeds” for a more complete description of the intended</w:t>
            </w:r>
          </w:p>
        </w:tc>
      </w:tr>
      <w:tr>
        <w:trPr>
          <w:trHeight w:val="230"/>
        </w:trPr>
        <w:tc>
          <w:tcPr>
            <w:tcW w:w="40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use of proceeds from this offering.</w:t>
            </w:r>
          </w:p>
        </w:tc>
      </w:tr>
      <w:tr>
        <w:trPr>
          <w:trHeight w:val="445"/>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2"/>
              </w:rPr>
              <w:t>You should read the “Risk Factors” section of this prospectus and the other information in</w:t>
            </w:r>
          </w:p>
        </w:tc>
      </w:tr>
      <w:tr>
        <w:trPr>
          <w:trHeight w:val="216"/>
        </w:trPr>
        <w:tc>
          <w:tcPr>
            <w:tcW w:w="40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1"/>
              </w:rPr>
              <w:t>this prospectus for a discussion of factors to consider carefully before deciding to invest in</w:t>
            </w:r>
          </w:p>
        </w:tc>
      </w:tr>
      <w:tr>
        <w:trPr>
          <w:trHeight w:val="230"/>
        </w:trPr>
        <w:tc>
          <w:tcPr>
            <w:tcW w:w="40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shares of our common stock.</w:t>
            </w:r>
          </w:p>
        </w:tc>
      </w:tr>
      <w:tr>
        <w:trPr>
          <w:trHeight w:val="661"/>
        </w:trPr>
        <w:tc>
          <w:tcPr>
            <w:tcW w:w="4020" w:type="dxa"/>
            <w:vAlign w:val="bottom"/>
          </w:tcPr>
          <w:p>
            <w:pPr>
              <w:spacing w:after="0"/>
              <w:rPr>
                <w:sz w:val="20"/>
                <w:szCs w:val="20"/>
                <w:color w:val="auto"/>
              </w:rPr>
            </w:pPr>
            <w:r>
              <w:rPr>
                <w:rFonts w:ascii="Arial" w:cs="Arial" w:eastAsia="Arial" w:hAnsi="Arial"/>
                <w:sz w:val="18"/>
                <w:szCs w:val="18"/>
                <w:color w:val="auto"/>
              </w:rPr>
              <w:t>Directed shares</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3"/>
              </w:rPr>
              <w:t>At our request, the underwriters have reserved for sale, at the initial public offering price,</w:t>
            </w:r>
          </w:p>
        </w:tc>
      </w:tr>
      <w:tr>
        <w:trPr>
          <w:trHeight w:val="216"/>
        </w:trPr>
        <w:tc>
          <w:tcPr>
            <w:tcW w:w="40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6"/>
              </w:rPr>
              <w:t>up to 5% of the shares offered hereby for our directors, officers, employees, business</w:t>
            </w:r>
          </w:p>
        </w:tc>
      </w:tr>
      <w:tr>
        <w:trPr>
          <w:trHeight w:val="216"/>
        </w:trPr>
        <w:tc>
          <w:tcPr>
            <w:tcW w:w="40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88"/>
              </w:rPr>
              <w:t>associates and related persons who have expressed an interest in purchasing common stock</w:t>
            </w:r>
          </w:p>
        </w:tc>
      </w:tr>
      <w:tr>
        <w:trPr>
          <w:trHeight w:val="230"/>
        </w:trPr>
        <w:tc>
          <w:tcPr>
            <w:tcW w:w="40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in the offering. See “Underwriting” for more information.</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Proposed Nasdaq Global Select Market Symbol</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“GOSS”</w:t>
            </w:r>
          </w:p>
        </w:tc>
        <w:tc>
          <w:tcPr>
            <w:tcW w:w="5120" w:type="dxa"/>
            <w:vAlign w:val="bottom"/>
          </w:tcPr>
          <w:p>
            <w:pPr>
              <w:spacing w:after="0"/>
              <w:rPr>
                <w:sz w:val="24"/>
                <w:szCs w:val="24"/>
                <w:color w:val="auto"/>
              </w:rPr>
            </w:pPr>
          </w:p>
        </w:tc>
      </w:tr>
    </w:tbl>
    <w:p>
      <w:pPr>
        <w:spacing w:after="0" w:line="215" w:lineRule="exact"/>
        <w:rPr>
          <w:sz w:val="20"/>
          <w:szCs w:val="20"/>
          <w:color w:val="auto"/>
        </w:rPr>
      </w:pPr>
    </w:p>
    <w:p>
      <w:pPr>
        <w:ind w:left="380" w:right="240" w:firstLine="746"/>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set forth above is based on 207,121,355 shares of our common stock outstanding as of September 30, 2018, including 35,098,238 shares subject to forfeiture, after giving effect to the automatic conversion of all outstanding shares of our convertible preferred stock into 137,220,799 shares of our common stock immediately prior to the closing of this offering, and excludes:</w:t>
      </w:r>
    </w:p>
    <w:p>
      <w:pPr>
        <w:spacing w:after="0" w:line="214" w:lineRule="exact"/>
        <w:rPr>
          <w:sz w:val="20"/>
          <w:szCs w:val="20"/>
          <w:color w:val="auto"/>
        </w:rPr>
      </w:pPr>
    </w:p>
    <w:p>
      <w:pPr>
        <w:ind w:left="1540" w:right="200" w:hanging="303"/>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9,469,500 shares of common stock issuable upon exercise of stock options outstanding as of September 30, 2018, at a weighted-average exercise price of $0.65 per share;</w:t>
      </w:r>
    </w:p>
    <w:p>
      <w:pPr>
        <w:spacing w:after="0" w:line="197" w:lineRule="exact"/>
        <w:rPr>
          <w:rFonts w:ascii="Arial" w:cs="Arial" w:eastAsia="Arial" w:hAnsi="Arial"/>
          <w:sz w:val="18"/>
          <w:szCs w:val="18"/>
          <w:color w:val="auto"/>
        </w:rPr>
      </w:pPr>
    </w:p>
    <w:p>
      <w:pPr>
        <w:ind w:left="1540" w:right="420" w:hanging="303"/>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13,558,900 shares of common stock issuable upon exercise of stock options granted after September 30, 2018, at a weighted-average exercise price of $2.38 per share;</w:t>
      </w:r>
    </w:p>
    <w:p>
      <w:pPr>
        <w:spacing w:after="0" w:line="197" w:lineRule="exact"/>
        <w:rPr>
          <w:rFonts w:ascii="Arial" w:cs="Arial" w:eastAsia="Arial" w:hAnsi="Arial"/>
          <w:sz w:val="18"/>
          <w:szCs w:val="18"/>
          <w:color w:val="auto"/>
        </w:rPr>
      </w:pPr>
    </w:p>
    <w:p>
      <w:pPr>
        <w:ind w:left="2080" w:hanging="843"/>
        <w:spacing w:after="0"/>
        <w:tabs>
          <w:tab w:leader="none" w:pos="2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2019 equity incentive plan, or the 2019 Plan, which will</w:t>
      </w:r>
    </w:p>
    <w:p>
      <w:pPr>
        <w:spacing w:after="0" w:line="46" w:lineRule="exact"/>
        <w:rPr>
          <w:sz w:val="20"/>
          <w:szCs w:val="20"/>
          <w:color w:val="auto"/>
        </w:rPr>
      </w:pPr>
    </w:p>
    <w:p>
      <w:pPr>
        <w:ind w:left="1540" w:right="120"/>
        <w:spacing w:after="0" w:line="254" w:lineRule="auto"/>
        <w:rPr>
          <w:sz w:val="20"/>
          <w:szCs w:val="20"/>
          <w:color w:val="auto"/>
        </w:rPr>
      </w:pPr>
      <w:r>
        <w:rPr>
          <w:rFonts w:ascii="Arial" w:cs="Arial" w:eastAsia="Arial" w:hAnsi="Arial"/>
          <w:sz w:val="18"/>
          <w:szCs w:val="18"/>
          <w:color w:val="auto"/>
        </w:rPr>
        <w:t>become effective in connection with this offering (which number includes shares remaining available for issuance under our 2017 equity incentive plan, or the 2017 Plan, as of September 30, 2018, which will become available for issuance under the 2019 Plan upon its effectiveness, but does not include any potential evergreen increases pursuant to the terms of the 2019 Plan);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997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2997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540" w:hanging="303"/>
        <w:spacing w:after="0" w:line="264" w:lineRule="auto"/>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2019 employee stock purchase plan, or the ESPP, which will become effective in connection with this offering (which number does not include any potential evergreen increases pursuant to the terms of the ESPP).</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Unless otherwise indicated, this prospectus assumes or gives effect to the following:</w:t>
      </w:r>
    </w:p>
    <w:p>
      <w:pPr>
        <w:spacing w:after="0" w:line="252" w:lineRule="exact"/>
        <w:rPr>
          <w:sz w:val="20"/>
          <w:szCs w:val="20"/>
          <w:color w:val="auto"/>
        </w:rPr>
      </w:pPr>
    </w:p>
    <w:p>
      <w:pPr>
        <w:ind w:left="1540" w:right="140" w:hanging="303"/>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197" w:lineRule="exact"/>
        <w:rPr>
          <w:rFonts w:ascii="Arial" w:cs="Arial" w:eastAsia="Arial" w:hAnsi="Arial"/>
          <w:sz w:val="18"/>
          <w:szCs w:val="18"/>
          <w:color w:val="auto"/>
        </w:rPr>
      </w:pPr>
    </w:p>
    <w:p>
      <w:pPr>
        <w:ind w:left="1540" w:right="40" w:hanging="303"/>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137,220,799 shares of our common stock immediately prior to the closing of this offering;</w:t>
      </w:r>
    </w:p>
    <w:p>
      <w:pPr>
        <w:spacing w:after="0" w:line="197" w:lineRule="exact"/>
        <w:rPr>
          <w:rFonts w:ascii="Arial" w:cs="Arial" w:eastAsia="Arial" w:hAnsi="Arial"/>
          <w:sz w:val="18"/>
          <w:szCs w:val="18"/>
          <w:color w:val="auto"/>
        </w:rPr>
      </w:pPr>
    </w:p>
    <w:p>
      <w:pPr>
        <w:ind w:left="1540" w:hanging="303"/>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20,612-for-one stock split of our common stock effected in January 2018;</w:t>
      </w:r>
    </w:p>
    <w:p>
      <w:pPr>
        <w:spacing w:after="0" w:line="252" w:lineRule="exact"/>
        <w:rPr>
          <w:rFonts w:ascii="Arial" w:cs="Arial" w:eastAsia="Arial" w:hAnsi="Arial"/>
          <w:sz w:val="18"/>
          <w:szCs w:val="18"/>
          <w:color w:val="auto"/>
        </w:rPr>
      </w:pPr>
    </w:p>
    <w:p>
      <w:pPr>
        <w:ind w:left="1540" w:hanging="303"/>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one-for-</w:t>
      </w:r>
      <w:r>
        <w:rPr>
          <w:rFonts w:ascii="Arial" w:cs="Arial" w:eastAsia="Arial" w:hAnsi="Arial"/>
          <w:sz w:val="16"/>
          <w:szCs w:val="16"/>
          <w:color w:val="auto"/>
        </w:rPr>
        <w:t>reverse stock split of our common stock to be effected before the closing of this offering;</w:t>
      </w:r>
    </w:p>
    <w:p>
      <w:pPr>
        <w:spacing w:after="0" w:line="252" w:lineRule="exact"/>
        <w:rPr>
          <w:rFonts w:ascii="Arial" w:cs="Arial" w:eastAsia="Arial" w:hAnsi="Arial"/>
          <w:sz w:val="18"/>
          <w:szCs w:val="18"/>
          <w:color w:val="auto"/>
        </w:rPr>
      </w:pPr>
    </w:p>
    <w:p>
      <w:pPr>
        <w:ind w:left="1540" w:hanging="303"/>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252" w:lineRule="exact"/>
        <w:rPr>
          <w:sz w:val="20"/>
          <w:szCs w:val="20"/>
          <w:color w:val="auto"/>
        </w:rPr>
      </w:pPr>
    </w:p>
    <w:p>
      <w:pPr>
        <w:ind w:left="1240"/>
        <w:spacing w:after="0"/>
        <w:tabs>
          <w:tab w:leader="none" w:pos="1520" w:val="left"/>
          <w:tab w:leader="none" w:pos="6480" w:val="left"/>
        </w:tabs>
        <w:rPr>
          <w:sz w:val="20"/>
          <w:szCs w:val="20"/>
          <w:color w:val="auto"/>
        </w:rPr>
      </w:pPr>
      <w:r>
        <w:rPr>
          <w:rFonts w:ascii="Arial" w:cs="Arial" w:eastAsia="Arial" w:hAnsi="Arial"/>
          <w:sz w:val="18"/>
          <w:szCs w:val="18"/>
          <w:color w:val="auto"/>
        </w:rPr>
        <w:t>•</w:t>
        <w:tab/>
        <w:t>no exercise by the underwriters of their option to purchase</w:t>
      </w:r>
      <w:r>
        <w:rPr>
          <w:sz w:val="20"/>
          <w:szCs w:val="20"/>
          <w:color w:val="auto"/>
        </w:rPr>
        <w:tab/>
      </w:r>
      <w:r>
        <w:rPr>
          <w:rFonts w:ascii="Arial" w:cs="Arial" w:eastAsia="Arial" w:hAnsi="Arial"/>
          <w:sz w:val="16"/>
          <w:szCs w:val="16"/>
          <w:color w:val="auto"/>
        </w:rPr>
        <w:t>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60" w:firstLine="746"/>
        <w:spacing w:after="0" w:line="269" w:lineRule="auto"/>
        <w:rPr>
          <w:sz w:val="20"/>
          <w:szCs w:val="20"/>
          <w:color w:val="auto"/>
        </w:rPr>
      </w:pPr>
      <w:r>
        <w:rPr>
          <w:rFonts w:ascii="Arial" w:cs="Arial" w:eastAsia="Arial" w:hAnsi="Arial"/>
          <w:sz w:val="17"/>
          <w:szCs w:val="17"/>
          <w:color w:val="auto"/>
        </w:rPr>
        <w:t>The following tables set forth a summary of our historical consolidated financial data as of, and for the periods ended on, the dates indicated. We have derived the summary consolidated statements of operations data for the years ended December 31, 2016 and 2017 from our audited consolidated financial statements included elsewhere in this prospectus. We have derived the summary consolidated statements of operations data for the nine months ended September 30, 2017 and 2018 and the summary consolidated balance sheet data as of September 30, 2018 from our unaudited consolidated financial statements included elsewhere in this prospectus. The unaudited consolidated financial statements have been prepared on a basis consistent with our audited consolidated financial statements included in this prospectus and, in the opinion of management, reflect all adjustments, consisting only of normal recurring adjustments, necessary to fairly state our financial position as of September 30, 2018 and results of operations for the nine months ended September 30, 2017 and 2018. You should read this data together with our consolidated financial statements and related notes included elsewhere in this prospectus and the sections titled “Selected Consolidated Financial Data” and “Management’s Discussion and Analysis of Financial Condition and Results of Operations.” Our historical results for any prior period are not necessarily indicative of our future results.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3"/>
          </w:tcPr>
          <w:p>
            <w:pPr>
              <w:ind w:left="760"/>
              <w:spacing w:after="0" w:line="119" w:lineRule="exact"/>
              <w:rPr>
                <w:sz w:val="20"/>
                <w:szCs w:val="20"/>
                <w:color w:val="auto"/>
              </w:rPr>
            </w:pPr>
            <w:r>
              <w:rPr>
                <w:rFonts w:ascii="Arial" w:cs="Arial" w:eastAsia="Arial" w:hAnsi="Arial"/>
                <w:sz w:val="13"/>
                <w:szCs w:val="13"/>
                <w:b w:val="1"/>
                <w:bCs w:val="1"/>
                <w:color w:val="auto"/>
                <w:w w:val="98"/>
              </w:rPr>
              <w:t>(unaudited)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(in thousands, except share and per share data)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29,411</w:t>
            </w:r>
          </w:p>
        </w:tc>
        <w:tc>
          <w:tcPr>
            <w:tcW w:w="0" w:type="dxa"/>
            <w:vAlign w:val="bottom"/>
          </w:tcPr>
          <w:p>
            <w:pPr>
              <w:spacing w:after="0"/>
              <w:rPr>
                <w:sz w:val="1"/>
                <w:szCs w:val="1"/>
                <w:color w:val="auto"/>
              </w:rPr>
            </w:pPr>
          </w:p>
        </w:tc>
      </w:tr>
      <w:tr>
        <w:trPr>
          <w:trHeight w:val="216"/>
        </w:trPr>
        <w:tc>
          <w:tcPr>
            <w:tcW w:w="5240" w:type="dxa"/>
            <w:vAlign w:val="bottom"/>
          </w:tcPr>
          <w:p>
            <w:pPr>
              <w:ind w:left="380"/>
              <w:spacing w:after="0"/>
              <w:rPr>
                <w:sz w:val="20"/>
                <w:szCs w:val="20"/>
                <w:color w:val="auto"/>
              </w:rPr>
            </w:pPr>
            <w:r>
              <w:rPr>
                <w:rFonts w:ascii="Arial" w:cs="Arial" w:eastAsia="Arial" w:hAnsi="Arial"/>
                <w:sz w:val="18"/>
                <w:szCs w:val="18"/>
                <w:color w:val="auto"/>
              </w:rPr>
              <w:t>In process research and development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49,659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321</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(6,653)</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(109,186)</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5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(108,175)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Weighted-average shares of common stock outstanding, basic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41,224,000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41,224,000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41,224,000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27,602,600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Pro forma weighted-average shares of common stock outstanding,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41,224,000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111,740,879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right="160" w:hanging="314"/>
        <w:spacing w:after="0" w:line="230"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the historical and pro forma net loss per share, basic and diluted, and the number of shares used in the computation of the per share amounts.</w:t>
      </w:r>
    </w:p>
    <w:p>
      <w:pPr>
        <w:ind w:left="700" w:right="60" w:hanging="314"/>
        <w:spacing w:after="0" w:line="232"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connection with the issuance of the Series A convertible preferred stock in January 2018, certain of our founders entered into stock restriction agreements, whereby 20,612,000 of previously unrestricted shares of common stock became subject to forfeiture to us upon the founders’ termination of employment or service, which obligation lapses as the shares vest.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176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3176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As of September 30, 2018</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w:t>
            </w:r>
          </w:p>
        </w:tc>
        <w:tc>
          <w:tcPr>
            <w:tcW w:w="88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Adjusted</w:t>
            </w:r>
            <w:r>
              <w:rPr>
                <w:rFonts w:ascii="Arial" w:cs="Arial" w:eastAsia="Arial" w:hAnsi="Arial"/>
                <w:sz w:val="12"/>
                <w:szCs w:val="12"/>
                <w:b w:val="1"/>
                <w:bCs w:val="1"/>
                <w:color w:val="auto"/>
                <w:w w:val="98"/>
              </w:rPr>
              <w:t>(1)(2)</w:t>
            </w: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4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$ 256,443</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  256,443</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243,412</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243,412</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262,181</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262,181</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338,367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(115,069)</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(115,069)</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(91,778)</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246,589</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00" w:right="180" w:hanging="314"/>
        <w:spacing w:after="0" w:line="230" w:lineRule="auto"/>
        <w:tabs>
          <w:tab w:leader="none" w:pos="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Gives effect to the automatic conversion of all of our outstanding shares of convertible preferred stock into an aggregate of 137,220,799 shares of common stock and the related reclassification of the carrying value of the convertible preferred stock to permanent equity immediately prior to the closing of this offering.</w:t>
      </w:r>
    </w:p>
    <w:p>
      <w:pPr>
        <w:ind w:left="380"/>
        <w:spacing w:after="0"/>
        <w:tabs>
          <w:tab w:leader="none" w:pos="680" w:val="left"/>
          <w:tab w:leader="none" w:pos="7420" w:val="left"/>
        </w:tabs>
        <w:rPr>
          <w:sz w:val="20"/>
          <w:szCs w:val="20"/>
          <w:color w:val="auto"/>
        </w:rPr>
      </w:pPr>
      <w:r>
        <w:rPr>
          <w:rFonts w:ascii="Arial" w:cs="Arial" w:eastAsia="Arial" w:hAnsi="Arial"/>
          <w:sz w:val="14"/>
          <w:szCs w:val="14"/>
          <w:color w:val="auto"/>
        </w:rPr>
        <w:t>(2)</w:t>
        <w:tab/>
        <w:t>Gives effect to (i) the pro forma adjustments set forth in footnote (1) above and (ii) the issuance and sale of</w:t>
      </w:r>
      <w:r>
        <w:rPr>
          <w:sz w:val="20"/>
          <w:szCs w:val="20"/>
          <w:color w:val="auto"/>
        </w:rPr>
        <w:tab/>
      </w:r>
      <w:r>
        <w:rPr>
          <w:rFonts w:ascii="Arial" w:cs="Arial" w:eastAsia="Arial" w:hAnsi="Arial"/>
          <w:sz w:val="12"/>
          <w:szCs w:val="12"/>
          <w:color w:val="auto"/>
        </w:rPr>
        <w:t>shares of our common stock in this offering at the assumed</w:t>
      </w:r>
    </w:p>
    <w:p>
      <w:pPr>
        <w:ind w:left="700"/>
        <w:spacing w:after="0"/>
        <w:tabs>
          <w:tab w:leader="none" w:pos="3060" w:val="left"/>
        </w:tabs>
        <w:rPr>
          <w:sz w:val="20"/>
          <w:szCs w:val="20"/>
          <w:color w:val="auto"/>
        </w:rPr>
      </w:pPr>
      <w:r>
        <w:rPr>
          <w:rFonts w:ascii="Arial" w:cs="Arial" w:eastAsia="Arial" w:hAnsi="Arial"/>
          <w:sz w:val="14"/>
          <w:szCs w:val="14"/>
          <w:color w:val="auto"/>
        </w:rPr>
        <w:t>initial public offering price of $</w:t>
      </w:r>
      <w:r>
        <w:rPr>
          <w:sz w:val="20"/>
          <w:szCs w:val="20"/>
          <w:color w:val="auto"/>
        </w:rPr>
        <w:tab/>
      </w:r>
      <w:r>
        <w:rPr>
          <w:rFonts w:ascii="Arial" w:cs="Arial" w:eastAsia="Arial" w:hAnsi="Arial"/>
          <w:sz w:val="13"/>
          <w:szCs w:val="13"/>
          <w:color w:val="auto"/>
        </w:rPr>
        <w:t>per share, the midpoint of the price range set forth on the cover page of this prospectus, after deducting the estimated underwriting</w:t>
      </w:r>
    </w:p>
    <w:p>
      <w:pPr>
        <w:ind w:left="700"/>
        <w:spacing w:after="0"/>
        <w:tabs>
          <w:tab w:leader="none" w:pos="10140" w:val="left"/>
        </w:tabs>
        <w:rPr>
          <w:sz w:val="20"/>
          <w:szCs w:val="20"/>
          <w:color w:val="auto"/>
        </w:rPr>
      </w:pPr>
      <w:r>
        <w:rPr>
          <w:rFonts w:ascii="Arial" w:cs="Arial" w:eastAsia="Arial" w:hAnsi="Arial"/>
          <w:sz w:val="14"/>
          <w:szCs w:val="14"/>
          <w:color w:val="auto"/>
        </w:rPr>
        <w:t>discounts and commissions and estimated offering expenses payable by us. Each $1.00 increase (decrease) in the assumed initial public offering price of $</w:t>
      </w:r>
      <w:r>
        <w:rPr>
          <w:sz w:val="20"/>
          <w:szCs w:val="20"/>
          <w:color w:val="auto"/>
        </w:rPr>
        <w:tab/>
      </w:r>
      <w:r>
        <w:rPr>
          <w:rFonts w:ascii="Arial" w:cs="Arial" w:eastAsia="Arial" w:hAnsi="Arial"/>
          <w:sz w:val="12"/>
          <w:szCs w:val="12"/>
          <w:color w:val="auto"/>
        </w:rPr>
        <w:t>per share</w:t>
      </w:r>
    </w:p>
    <w:p>
      <w:pPr>
        <w:ind w:left="700"/>
        <w:spacing w:after="0"/>
        <w:rPr>
          <w:sz w:val="20"/>
          <w:szCs w:val="20"/>
          <w:color w:val="auto"/>
        </w:rPr>
      </w:pPr>
      <w:r>
        <w:rPr>
          <w:rFonts w:ascii="Arial" w:cs="Arial" w:eastAsia="Arial" w:hAnsi="Arial"/>
          <w:sz w:val="12"/>
          <w:szCs w:val="12"/>
          <w:color w:val="auto"/>
        </w:rPr>
        <w:t>would increase (decrease) the pro forma as adjusted amount of each of cash, cash equivalents and marketable securities, working capital, total assets and total stockholders’ equity</w:t>
      </w:r>
    </w:p>
    <w:p>
      <w:pPr>
        <w:spacing w:after="0" w:line="11" w:lineRule="exact"/>
        <w:rPr>
          <w:sz w:val="20"/>
          <w:szCs w:val="20"/>
          <w:color w:val="auto"/>
        </w:rPr>
      </w:pPr>
    </w:p>
    <w:p>
      <w:pPr>
        <w:ind w:left="700"/>
        <w:spacing w:after="0" w:line="715" w:lineRule="auto"/>
        <w:rPr>
          <w:sz w:val="20"/>
          <w:szCs w:val="20"/>
          <w:color w:val="auto"/>
        </w:rPr>
      </w:pPr>
      <w:r>
        <w:rPr>
          <w:rFonts w:ascii="Arial" w:cs="Arial" w:eastAsia="Arial" w:hAnsi="Arial"/>
          <w:sz w:val="13"/>
          <w:szCs w:val="13"/>
          <w:color w:val="auto"/>
        </w:rPr>
        <w:t>by approximately $ ,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shares in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0" w:right="20"/>
        <w:spacing w:after="0" w:line="248" w:lineRule="auto"/>
        <w:rPr>
          <w:sz w:val="20"/>
          <w:szCs w:val="20"/>
          <w:color w:val="auto"/>
        </w:rPr>
      </w:pPr>
      <w:r>
        <w:rPr>
          <w:rFonts w:ascii="Arial" w:cs="Arial" w:eastAsia="Arial" w:hAnsi="Arial"/>
          <w:sz w:val="13"/>
          <w:szCs w:val="13"/>
          <w:color w:val="auto"/>
        </w:rPr>
        <w:t>offered by us at the assumed initial public offering price of $ per share would increase (decrease) the pro forma as adjusted amounts of each of cash, cash equivalents and marketable securities, working capital, total assets and total stockholders’ equity by approximately $ , after deducting the estimated underwriting discounts and</w:t>
      </w:r>
    </w:p>
    <w:p>
      <w:pPr>
        <w:ind w:left="700" w:right="100"/>
        <w:spacing w:after="0" w:line="221" w:lineRule="auto"/>
        <w:rPr>
          <w:sz w:val="20"/>
          <w:szCs w:val="20"/>
          <w:color w:val="auto"/>
        </w:rPr>
      </w:pPr>
      <w:r>
        <w:rPr>
          <w:rFonts w:ascii="Arial" w:cs="Arial" w:eastAsia="Arial" w:hAnsi="Arial"/>
          <w:sz w:val="14"/>
          <w:szCs w:val="14"/>
          <w:color w:val="auto"/>
        </w:rPr>
        <w:t>commissions and estimated offering expenses payable by us. The pro forma information discussed above is illustrative only and will be adjusted based on the actual initial public offering price and other terms of our initial public offering determined at pricing.</w:t>
      </w:r>
    </w:p>
    <w:p>
      <w:pPr>
        <w:spacing w:after="0" w:line="1" w:lineRule="exact"/>
        <w:rPr>
          <w:sz w:val="20"/>
          <w:szCs w:val="20"/>
          <w:color w:val="auto"/>
        </w:rPr>
      </w:pPr>
    </w:p>
    <w:p>
      <w:pPr>
        <w:ind w:left="700" w:right="60" w:hanging="314"/>
        <w:spacing w:after="0" w:line="237" w:lineRule="auto"/>
        <w:tabs>
          <w:tab w:leader="none" w:pos="7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771"/>
        <w:spacing w:after="0" w:line="276"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included elsewhere in this prospectus and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200" w:right="400"/>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01"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2017, and to date, we have focused primarily on organizing and staffing our company, business planning, raising capital, identifying, acquiring and in-licensing our product candidates and conducting preclinical studies and early clinical trials. GB001, GB002 and GB004 are in clinical development, while our other development programs remain in the preclinical or research stage. We have not yet demonstrated an ability to successfully complete any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66"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We have incurred significant operating losses since our inception. If our product candidates are not successfully developed and approved, we may never generate any revenue. Our net losses were $6.8 million and $108.2 million for the year ended December 31, 2017 and the nine months ended September 30, 2018, respectively. As of September 30, 2018, we had an accumulated deficit of $115.1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spacing w:after="0" w:line="166" w:lineRule="exact"/>
        <w:rPr>
          <w:sz w:val="20"/>
          <w:szCs w:val="20"/>
          <w:color w:val="auto"/>
        </w:rPr>
      </w:pPr>
    </w:p>
    <w:p>
      <w:pPr>
        <w:ind w:left="200" w:right="20" w:firstLine="771"/>
        <w:spacing w:after="0" w:line="289"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our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81" w:lineRule="exact"/>
        <w:rPr>
          <w:sz w:val="20"/>
          <w:szCs w:val="20"/>
          <w:color w:val="auto"/>
        </w:rPr>
      </w:pPr>
    </w:p>
    <w:p>
      <w:pPr>
        <w:ind w:left="20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1" w:lineRule="exact"/>
        <w:rPr>
          <w:sz w:val="20"/>
          <w:szCs w:val="20"/>
          <w:color w:val="auto"/>
        </w:rPr>
      </w:pPr>
    </w:p>
    <w:p>
      <w:pPr>
        <w:ind w:left="200" w:right="60" w:firstLine="771"/>
        <w:spacing w:after="0" w:line="286" w:lineRule="auto"/>
        <w:rPr>
          <w:sz w:val="20"/>
          <w:szCs w:val="20"/>
          <w:color w:val="auto"/>
        </w:rPr>
      </w:pPr>
      <w:r>
        <w:rPr>
          <w:rFonts w:ascii="Arial" w:cs="Arial" w:eastAsia="Arial" w:hAnsi="Arial"/>
          <w:sz w:val="16"/>
          <w:szCs w:val="16"/>
          <w:color w:val="auto"/>
        </w:rPr>
        <w:t>The development of biopharmaceutical product candidates is capital-intensive. We expect our expenses to increase in connection with our ongoing activities, particularly as we conduct our ongoing and planned clinical trials of GB001, GB002 and GB004, continue research and development and initiate clinical trials of our other development programs and seek regulatory approval for our current product candidates and any future product candidates we may develop. In addition, as our product candidates progress through development and toward commercialization, we will need to make milestone payments to the licensors and other third parties from whom we have in-licensed or acquired our product candidates, including GB002 and GB004. Furthermore, if and to the extent we seek to acquire or in-license additional product candidates in the future, we may be required to make significant upfront payments, milestone payments, and/or licensing payments.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5"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We believe that the net proceeds from this offering, together with our existing cash, cash equivalents and marketable securities, will enable us to fund our operations for at least the next 12 months. In particular, we expect that the net proceeds from this offering and our existing cash, cash equivalents and marketable securities will allow us to complete our ongoing Phase 2b clinical trial for GB001, our planned Phase 1b clinical trial in PAH for GB002 and our planned Phase 1b clinical trial in UC for GB004.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1400" w:right="460" w:hanging="318"/>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our clinical trials and preclinical studies of our product candidates which we are pursuing or may choose to pursue in the future;</w:t>
      </w:r>
    </w:p>
    <w:p>
      <w:pPr>
        <w:spacing w:after="0" w:line="197" w:lineRule="exact"/>
        <w:rPr>
          <w:rFonts w:ascii="Arial" w:cs="Arial" w:eastAsia="Arial" w:hAnsi="Arial"/>
          <w:sz w:val="18"/>
          <w:szCs w:val="18"/>
          <w:color w:val="auto"/>
        </w:rPr>
      </w:pPr>
    </w:p>
    <w:p>
      <w:pPr>
        <w:ind w:left="1400" w:right="420" w:hanging="318"/>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if any product candidate is approved;</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52" w:lineRule="exact"/>
        <w:rPr>
          <w:rFonts w:ascii="Arial" w:cs="Arial" w:eastAsia="Arial" w:hAnsi="Arial"/>
          <w:sz w:val="18"/>
          <w:szCs w:val="18"/>
          <w:color w:val="auto"/>
        </w:rPr>
      </w:pPr>
    </w:p>
    <w:p>
      <w:pPr>
        <w:ind w:left="1400" w:right="520" w:hanging="318"/>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clinical activities increase;</w:t>
      </w:r>
    </w:p>
    <w:p>
      <w:pPr>
        <w:spacing w:after="0" w:line="252" w:lineRule="exact"/>
        <w:rPr>
          <w:rFonts w:ascii="Arial" w:cs="Arial" w:eastAsia="Arial" w:hAnsi="Arial"/>
          <w:sz w:val="18"/>
          <w:szCs w:val="18"/>
          <w:color w:val="auto"/>
        </w:rPr>
      </w:pPr>
    </w:p>
    <w:p>
      <w:pPr>
        <w:ind w:left="1400" w:right="220" w:hanging="318"/>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our acquired our product candidates;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252" w:lineRule="exact"/>
        <w:rPr>
          <w:rFonts w:ascii="Arial" w:cs="Arial" w:eastAsia="Arial" w:hAnsi="Arial"/>
          <w:sz w:val="18"/>
          <w:szCs w:val="18"/>
          <w:color w:val="auto"/>
        </w:rPr>
      </w:pPr>
    </w:p>
    <w:p>
      <w:pPr>
        <w:ind w:left="1400" w:right="20" w:hanging="318"/>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25"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Conducting clinical trials and preclinical studies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70" w:lineRule="exact"/>
        <w:rPr>
          <w:sz w:val="20"/>
          <w:szCs w:val="20"/>
          <w:color w:val="auto"/>
        </w:rPr>
      </w:pPr>
    </w:p>
    <w:p>
      <w:pPr>
        <w:ind w:left="200" w:right="140" w:firstLine="771"/>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offerings, debt financings or other capital sources, including potentially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ind w:left="200" w:right="200" w:firstLine="771"/>
        <w:spacing w:after="0" w:line="264" w:lineRule="auto"/>
        <w:rPr>
          <w:sz w:val="20"/>
          <w:szCs w:val="20"/>
          <w:color w:val="auto"/>
        </w:rPr>
      </w:pPr>
      <w:r>
        <w:rPr>
          <w:rFonts w:ascii="Arial" w:cs="Arial" w:eastAsia="Arial" w:hAnsi="Arial"/>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We depend heavily on the success of GB001, GB002 and GB004, which are in either Phase 1 or Phase 2 clinical development. If we are unable to advance our product candidates in clinical development, obtain regulatory approval and ultimately commercialize our product candidates, or experience significant delays in doing so, our business will be materially harmed.</w:t>
      </w:r>
    </w:p>
    <w:p>
      <w:pPr>
        <w:spacing w:after="0" w:line="181"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Our three clinical-stage product candidates are in Phase 1 or Phase 2 clinical development. We commenced a Phase 2b clinical trial of GB001 in moderate-to-severe eosinophilic asthma in October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GB002 is currently undergoing Phase 1 clinical studies in healthy volunteers, and we plan to commence a Phase 1b clinical trial in PAH in the first half of 2019 and a Phase 2/3 clinical trial in PAH in the second half of 2019. Our third clinical-stage product candidate, GB004, is currently undergoing a Phase 1 clinical trial in healthy volunteers, and, following submission of an IND with the FDA, we expect to initiate a Phase 1b clinical trial in UC in the first half of 2019. Our assumptions about why these product candidates are worthy of future development and potential approval in these, or any, indications are based on data primarily collected by other companies. We also have preclinical product candidates that will need to progress through IND-enabling studies prior to clinical development. None of our product candidates have advanced into a pivotal study for the indications for which we are studying. 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09" w:lineRule="exact"/>
        <w:rPr>
          <w:sz w:val="20"/>
          <w:szCs w:val="20"/>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and preclinical studies with favorable results;</w:t>
      </w:r>
    </w:p>
    <w:p>
      <w:pPr>
        <w:spacing w:after="0" w:line="252" w:lineRule="exact"/>
        <w:rPr>
          <w:rFonts w:ascii="Arial" w:cs="Arial" w:eastAsia="Arial" w:hAnsi="Arial"/>
          <w:sz w:val="18"/>
          <w:szCs w:val="18"/>
          <w:color w:val="auto"/>
        </w:rPr>
      </w:pPr>
    </w:p>
    <w:p>
      <w:pPr>
        <w:ind w:left="1400" w:right="380" w:hanging="318"/>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 by comparable foreign regulatory authorities for the conduct of clinical trials of GB004 and our preclinical product candidates and our proposed design of future clinical trials;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00" w:right="280" w:hanging="318"/>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new drug applications, or NDAs, from the FDA and maintaining such approvals;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252" w:lineRule="exact"/>
        <w:rPr>
          <w:rFonts w:ascii="Arial" w:cs="Arial" w:eastAsia="Arial" w:hAnsi="Arial"/>
          <w:sz w:val="18"/>
          <w:szCs w:val="18"/>
          <w:color w:val="auto"/>
        </w:rPr>
      </w:pPr>
    </w:p>
    <w:p>
      <w:pPr>
        <w:ind w:left="1400" w:right="500" w:hanging="318"/>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Certain of our product candidates are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Under FDA regulations, combination products are subject to current good manufacturing practice, or cGMP, requirements applicable to both drugs and devices, including the Quality System, or QS, regulations applicable to medical devices. Combination products are also subject to the Medical Device Directives and Standards in Europe. Problems associated with the device component of the combination product candidate may delay or prevent approval. If the manufacturer of the device products make modifications, or if we elect to change a device component or develop our own proprietary device component, we will need to perform validation testing and obtain FDA and other regulatory approval prior to using the modified device component. If the FDA or any other regulatory body fails to approve use of those modified devices or take significant enforcement action against the manufacturer, we would not be able to market or may have to suspend marketing our products in certain jurisdictions.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firstLine="771"/>
        <w:spacing w:after="0" w:line="288" w:lineRule="auto"/>
        <w:rPr>
          <w:sz w:val="20"/>
          <w:szCs w:val="20"/>
          <w:color w:val="auto"/>
        </w:rPr>
      </w:pPr>
      <w:r>
        <w:rPr>
          <w:rFonts w:ascii="Arial" w:cs="Arial" w:eastAsia="Arial" w:hAnsi="Arial"/>
          <w:sz w:val="16"/>
          <w:szCs w:val="16"/>
          <w:color w:val="auto"/>
        </w:rPr>
        <w:t>The success of our business, including our ability to finance our company and generate any revenue in the future, will primarily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w:t>
      </w:r>
    </w:p>
    <w:p>
      <w:pPr>
        <w:jc w:val="both"/>
        <w:ind w:left="200" w:right="140"/>
        <w:spacing w:after="0" w:line="277" w:lineRule="auto"/>
        <w:rPr>
          <w:sz w:val="20"/>
          <w:szCs w:val="20"/>
          <w:color w:val="auto"/>
        </w:rPr>
      </w:pPr>
      <w:r>
        <w:rPr>
          <w:rFonts w:ascii="Arial" w:cs="Arial" w:eastAsia="Arial" w:hAnsi="Arial"/>
          <w:sz w:val="17"/>
          <w:szCs w:val="17"/>
          <w:color w:val="auto"/>
        </w:rPr>
        <w:t>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73"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the results of preclinical studies and early clinical trials are not necessarily predictive of future results. In addition, our assumptions about why our product candidates are worthy of future development and potential approval are based on data primarily collected by other companies. Our product candidates may not have favorable results in later clinical trials, if any, or receive regulatory approval on a timely basis, if at all.</w:t>
      </w:r>
    </w:p>
    <w:p>
      <w:pPr>
        <w:spacing w:after="0" w:line="154" w:lineRule="exact"/>
        <w:rPr>
          <w:sz w:val="20"/>
          <w:szCs w:val="20"/>
          <w:color w:val="auto"/>
        </w:rPr>
      </w:pPr>
    </w:p>
    <w:p>
      <w:pPr>
        <w:jc w:val="both"/>
        <w:ind w:left="200" w:right="140" w:firstLine="771"/>
        <w:spacing w:after="0" w:line="279" w:lineRule="auto"/>
        <w:rPr>
          <w:sz w:val="20"/>
          <w:szCs w:val="20"/>
          <w:color w:val="auto"/>
        </w:rPr>
      </w:pPr>
      <w:r>
        <w:rPr>
          <w:rFonts w:ascii="Arial" w:cs="Arial" w:eastAsia="Arial" w:hAnsi="Arial"/>
          <w:sz w:val="17"/>
          <w:szCs w:val="17"/>
          <w:color w:val="auto"/>
        </w:rPr>
        <w:t>Clinical drug development is expensive and can take many years to complete, and its outcome is inherently uncertain. We cannot guarantee that any clinical trials will be conducted as planned or completed on schedule, if at all, and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71" w:lineRule="exact"/>
        <w:rPr>
          <w:sz w:val="20"/>
          <w:szCs w:val="20"/>
          <w:color w:val="auto"/>
        </w:rPr>
      </w:pPr>
    </w:p>
    <w:p>
      <w:pPr>
        <w:ind w:left="200" w:firstLine="771"/>
        <w:spacing w:after="0" w:line="285" w:lineRule="auto"/>
        <w:rPr>
          <w:sz w:val="20"/>
          <w:szCs w:val="20"/>
          <w:color w:val="auto"/>
        </w:rPr>
      </w:pPr>
      <w:r>
        <w:rPr>
          <w:rFonts w:ascii="Arial" w:cs="Arial" w:eastAsia="Arial" w:hAnsi="Arial"/>
          <w:sz w:val="16"/>
          <w:szCs w:val="16"/>
          <w:color w:val="auto"/>
        </w:rPr>
        <w:t>The results from preclinical studies or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two Phase 2 clinical trials of GB001 have been conducted prior to our acquisition of GB001, we do not know how GB001 will perform in future clinical trials, including as a result of any differences from targeting a population of more severe asthma subjects with elevated eosinophil counts, as well as other differences in our planned trial design. Further, GB001 did not meet its primary efficacy endpoint of improvement in FEV</w:t>
      </w:r>
      <w:r>
        <w:rPr>
          <w:rFonts w:ascii="Arial" w:cs="Arial" w:eastAsia="Arial" w:hAnsi="Arial"/>
          <w:sz w:val="13"/>
          <w:szCs w:val="13"/>
          <w:color w:val="auto"/>
        </w:rPr>
        <w:t>1</w:t>
      </w:r>
      <w:r>
        <w:rPr>
          <w:rFonts w:ascii="Arial" w:cs="Arial" w:eastAsia="Arial" w:hAnsi="Arial"/>
          <w:sz w:val="16"/>
          <w:szCs w:val="16"/>
          <w:color w:val="auto"/>
        </w:rPr>
        <w:t xml:space="preserve"> over 10 weeks in the first Phase 2 clinical trial conducted by Pulmagen Therapeutics (Asthma) Limited, or Pulmagen, and the second Phase 2 clinical trial conducted by Pulmagen and its partner, Teijin, was limited to only Japanese patients. While we have designed our ongoing Phase 2b trial in a manner intended to address what we believe to be the shortcomings of the first Pulmagen Phase 2 clinical trial, we cannot be certain that such failure was not due to GB001 itself or that the results of our ongoing Phase 2b trial will otherwise be successful in a broader patient population. It is not uncommon to observe results in clinical trials that are unexpected based on preclinical studies and early clinical trials, and many product candidates fail in clinical trials despite very promising early results. For example, our decision to advance GB002 as a potential treatment for PAH is based in part on the efficacy of imatinib (Gleevec), a tyrosine kinase inhibitor with known activity against PDGF and marketed for oncology indications, observed by Novartis Pharmaceutical Corporation, or Novartis, in a Phase 3 clinical trial; however, we may not observe similar efficacy in our clinical trials of GB002. Moreover, this and any future preclinical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assure you that our preclinical programs will be able to progress from candidate identification to Phase 1 clinical development.</w:t>
      </w:r>
    </w:p>
    <w:p>
      <w:pPr>
        <w:spacing w:after="0" w:line="175" w:lineRule="exact"/>
        <w:rPr>
          <w:sz w:val="20"/>
          <w:szCs w:val="20"/>
          <w:color w:val="auto"/>
        </w:rPr>
      </w:pPr>
    </w:p>
    <w:p>
      <w:pPr>
        <w:ind w:left="200" w:right="40" w:firstLine="771"/>
        <w:spacing w:after="0" w:line="273" w:lineRule="auto"/>
        <w:rPr>
          <w:sz w:val="20"/>
          <w:szCs w:val="20"/>
          <w:color w:val="auto"/>
        </w:rPr>
      </w:pPr>
      <w:r>
        <w:rPr>
          <w:rFonts w:ascii="Arial" w:cs="Arial" w:eastAsia="Arial" w:hAnsi="Arial"/>
          <w:sz w:val="17"/>
          <w:szCs w:val="17"/>
          <w:color w:val="auto"/>
        </w:rPr>
        <w:t>In addition, Teijin, a third party over which we have no control, has the right to develop and commercialize GB001 in Japan. If serious adverse events or other problems occur during any clinical trials of GB001 conducted by Teijin, the FDA or other regulatory authorities may delay, limit or deny approval of GB001 or require us to conduct additional clinical trials as a condition to marketing approval, which would increase our costs. If we receive FDA approval for GB001 and a new and serious safety issue is identified in clinical trials conducted by Teijin, regulatory authorities may withdraw their approval of the product or otherwise restrict our ability to market and sell GB001. In addition, treating physicians may be less willing to prescribe our product due to concerns over such adverse events, which would limit our ability to commercialize GB001.</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771"/>
        <w:spacing w:after="0" w:line="312" w:lineRule="auto"/>
        <w:rPr>
          <w:sz w:val="20"/>
          <w:szCs w:val="20"/>
          <w:color w:val="auto"/>
        </w:rPr>
      </w:pPr>
      <w:r>
        <w:rPr>
          <w:rFonts w:ascii="Arial" w:cs="Arial" w:eastAsia="Arial" w:hAnsi="Arial"/>
          <w:sz w:val="16"/>
          <w:szCs w:val="16"/>
          <w:color w:val="auto"/>
        </w:rPr>
        <w:t>For the foregoing reasons, we cannot be certain that our ongoing and planned clinical trials and preclinical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47"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7"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We are currently conducting a Phase 2b clinical trial of GB001 in moderate-to-severe eosinophilic asthma, and we plan to commence a Phase 1b clinical trial of GB002 in PAH patients in the first half of 2019 and a Phase 2/3 clinical trial of GB002 in PAH in the second half of 2019, among other planned trials. In addition, before we can initiate our planned Phase 1b clinical trial of GB004 in UC patients, currently planned for the first half of 2019, we must submit the results of preclinical studies to the FDA along with other information, including information about product candidate chemistry, manufacturing and controls and our proposed clinical trial protocol, as part of an IND application. We will have to follow the same procedure for our other preclinical product candidates which we plan to advance to clinical development, and we may also be required to submit regulatory filings to foreign regulatory authorities to the extent we initiate clinical trials outside of the United States.</w:t>
      </w:r>
    </w:p>
    <w:p>
      <w:pPr>
        <w:spacing w:after="0" w:line="182"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We do not know whether our planned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52" w:lineRule="exact"/>
        <w:rPr>
          <w:rFonts w:ascii="Arial" w:cs="Arial" w:eastAsia="Arial" w:hAnsi="Arial"/>
          <w:sz w:val="18"/>
          <w:szCs w:val="18"/>
          <w:color w:val="auto"/>
        </w:rPr>
      </w:pPr>
    </w:p>
    <w:p>
      <w:pPr>
        <w:ind w:left="1400" w:right="100" w:hanging="318"/>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00" w:right="220" w:hanging="318"/>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or obtaining sufficient quantities of combination therapies for use in clinical trials;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 or failing to return for post- treatment follow-up;</w:t>
      </w:r>
    </w:p>
    <w:p>
      <w:pPr>
        <w:spacing w:after="0" w:line="252" w:lineRule="exact"/>
        <w:rPr>
          <w:rFonts w:ascii="Arial" w:cs="Arial" w:eastAsia="Arial" w:hAnsi="Arial"/>
          <w:sz w:val="18"/>
          <w:szCs w:val="18"/>
          <w:color w:val="auto"/>
        </w:rPr>
      </w:pPr>
    </w:p>
    <w:p>
      <w:pPr>
        <w:ind w:left="1400" w:right="300" w:hanging="318"/>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00" w:right="180" w:hanging="318"/>
        <w:spacing w:after="0" w:line="259"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including the device component of orally inhaled GB002,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213" w:lineRule="exact"/>
        <w:rPr>
          <w:rFonts w:ascii="Arial" w:cs="Arial" w:eastAsia="Arial" w:hAnsi="Arial"/>
          <w:sz w:val="18"/>
          <w:szCs w:val="18"/>
          <w:color w:val="auto"/>
        </w:rPr>
      </w:pPr>
    </w:p>
    <w:p>
      <w:pPr>
        <w:ind w:left="1400" w:hanging="318"/>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52" w:lineRule="exact"/>
        <w:rPr>
          <w:rFonts w:ascii="Arial" w:cs="Arial" w:eastAsia="Arial" w:hAnsi="Arial"/>
          <w:sz w:val="18"/>
          <w:szCs w:val="18"/>
          <w:color w:val="auto"/>
        </w:rPr>
      </w:pPr>
    </w:p>
    <w:p>
      <w:pPr>
        <w:ind w:left="1400" w:right="100" w:hanging="318"/>
        <w:spacing w:after="0" w:line="286" w:lineRule="auto"/>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 third-party contractors not performing data collection or analysis in a timely or accurate manner; or</w:t>
      </w:r>
    </w:p>
    <w:p>
      <w:pPr>
        <w:spacing w:after="0" w:line="192" w:lineRule="exact"/>
        <w:rPr>
          <w:rFonts w:ascii="Arial" w:cs="Arial" w:eastAsia="Arial" w:hAnsi="Arial"/>
          <w:sz w:val="17"/>
          <w:szCs w:val="17"/>
          <w:color w:val="auto"/>
        </w:rPr>
      </w:pPr>
    </w:p>
    <w:p>
      <w:pPr>
        <w:ind w:left="1400" w:right="80" w:hanging="318"/>
        <w:spacing w:after="0" w:line="286" w:lineRule="auto"/>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6"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66"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spacing w:after="0" w:line="264" w:lineRule="auto"/>
        <w:rPr>
          <w:sz w:val="20"/>
          <w:szCs w:val="20"/>
          <w:color w:val="auto"/>
        </w:rPr>
      </w:pPr>
      <w:r>
        <w:rPr>
          <w:rFonts w:ascii="Arial" w:cs="Arial" w:eastAsia="Arial" w:hAnsi="Arial"/>
          <w:sz w:val="18"/>
          <w:szCs w:val="18"/>
          <w:color w:val="auto"/>
        </w:rPr>
        <w:t>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65"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subjects in our clinical trials, our clinical development activities could be delayed or otherwise adversely affected.</w:t>
      </w:r>
    </w:p>
    <w:p>
      <w:pPr>
        <w:spacing w:after="0" w:line="170" w:lineRule="exact"/>
        <w:rPr>
          <w:sz w:val="20"/>
          <w:szCs w:val="20"/>
          <w:color w:val="auto"/>
        </w:rPr>
      </w:pPr>
    </w:p>
    <w:p>
      <w:pPr>
        <w:ind w:left="200" w:right="20" w:firstLine="771"/>
        <w:spacing w:after="0" w:line="286"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drugs that may be approved for the indications we are investigating as well as any drugs under development.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such trials. For example, a limited number of patients are affected by PAH, which is our target indication for GB002. We also may encounter difficulties in identifying and enrolling subjects with a stage of disease appropriate for our planned clinical trials and monitoring such subjects adequately during and after treatment.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subjects may prove costly.</w:t>
      </w:r>
    </w:p>
    <w:p>
      <w:pPr>
        <w:spacing w:after="0" w:line="175" w:lineRule="exact"/>
        <w:rPr>
          <w:sz w:val="20"/>
          <w:szCs w:val="20"/>
          <w:color w:val="auto"/>
        </w:rPr>
      </w:pPr>
    </w:p>
    <w:p>
      <w:pPr>
        <w:ind w:left="200" w:right="60" w:firstLine="771"/>
        <w:spacing w:after="0" w:line="254" w:lineRule="auto"/>
        <w:rPr>
          <w:sz w:val="20"/>
          <w:szCs w:val="20"/>
          <w:color w:val="auto"/>
        </w:rPr>
      </w:pPr>
      <w:r>
        <w:rPr>
          <w:rFonts w:ascii="Arial" w:cs="Arial" w:eastAsia="Arial" w:hAnsi="Arial"/>
          <w:sz w:val="18"/>
          <w:szCs w:val="18"/>
          <w:color w:val="auto"/>
        </w:rPr>
        <w:t>The timing of our clinical trials depends, in part, on the speed at which we can recruit patients to participate in our trials, as well as completion of required follow-up periods. For certain of our product candidates, including GB002, the conditions which we currently plan to evaluate are orphan or rare diseases with limited patient pools from which to draw for clinical trials.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if they are unwilling to enroll in a clinical trial with a placebo-controlled design or the availability of approved therapies, or we otherwise have difficulty enrolling a sufficient number of patients, the timeline for recruiting subjects, conducting studies and obtaining regulatory approval of our product candidates may be delayed. Our inability to enroll a sufficient number of subjects for any of our future clinical trials would result in significant delays or may</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require us to abandon one or more clinical trials altogether. In addition, we expect to rely on CROs and clinical trial sites to ensure proper and timely conduct of our future clinical trials and, while we intend to enter into agreements governing their services, we will have limited influence over their actual performance.</w:t>
      </w:r>
    </w:p>
    <w:p>
      <w:pPr>
        <w:spacing w:after="0" w:line="181" w:lineRule="exact"/>
        <w:rPr>
          <w:sz w:val="20"/>
          <w:szCs w:val="20"/>
          <w:color w:val="auto"/>
        </w:rPr>
      </w:pPr>
    </w:p>
    <w:p>
      <w:pPr>
        <w:ind w:left="200" w:right="320" w:firstLine="771"/>
        <w:spacing w:after="0" w:line="277" w:lineRule="auto"/>
        <w:rPr>
          <w:sz w:val="20"/>
          <w:szCs w:val="20"/>
          <w:color w:val="auto"/>
        </w:rPr>
      </w:pPr>
      <w:r>
        <w:rPr>
          <w:rFonts w:ascii="Arial" w:cs="Arial" w:eastAsia="Arial" w:hAnsi="Arial"/>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70" w:lineRule="exact"/>
        <w:rPr>
          <w:sz w:val="20"/>
          <w:szCs w:val="20"/>
          <w:color w:val="auto"/>
        </w:rPr>
      </w:pPr>
    </w:p>
    <w:p>
      <w:pPr>
        <w:jc w:val="both"/>
        <w:ind w:left="200"/>
        <w:spacing w:after="0" w:line="340" w:lineRule="auto"/>
        <w:rPr>
          <w:sz w:val="20"/>
          <w:szCs w:val="20"/>
          <w:color w:val="auto"/>
        </w:rPr>
      </w:pPr>
      <w:r>
        <w:rPr>
          <w:rFonts w:ascii="Arial" w:cs="Arial" w:eastAsia="Arial" w:hAnsi="Arial"/>
          <w:sz w:val="15"/>
          <w:szCs w:val="15"/>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1" w:lineRule="exact"/>
        <w:rPr>
          <w:sz w:val="20"/>
          <w:szCs w:val="20"/>
          <w:color w:val="auto"/>
        </w:rPr>
      </w:pPr>
    </w:p>
    <w:p>
      <w:pPr>
        <w:ind w:left="200" w:right="40" w:firstLine="771"/>
        <w:spacing w:after="0" w:line="27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8"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ongoing clinical trials. GB001 was generally well tolerated with a treatment-emergent adverse event rate similar to placebo in completed Phase 2 clinical trials. In Phase 1 studies conducted by Pulmagen and Teijin, a single serious adverse event deemed by the investigator likely to be related to GB001 was observed in a Japanese patient who had received a 160mg dose. The patient experienced intrahepatic cholestasis, a liver disorder, which resolved after treatment discontinuation. We are also currently conducting Phase 1a SAD and MAD double-blind, placebo-controlled, randomized trials of orally inhaled GB002 in healthy adult volunteers, and no treatment related safety issues have been reported to date. However, further analysis may reveal adverse events inconsistent with the safety profile observed to date. Additionally, while we have not yet completed clinical trials for GB002 and have only completed a Phase 1 SAD study in healthy volunteers for GB004, and it is likely that there may be side effects associated with their use. For example, in 2013, results from a Phase 3 clinical trial in PAH of imatinib (Gleevec) showed statistically significant improvement in its primary efficacy endpoint, but systemic toxicities were also observed. We cannot be certain that GB002 will not exhibit similar toxicities.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69" w:lineRule="exact"/>
        <w:rPr>
          <w:sz w:val="20"/>
          <w:szCs w:val="20"/>
          <w:color w:val="auto"/>
        </w:rPr>
      </w:pPr>
    </w:p>
    <w:p>
      <w:pPr>
        <w:ind w:left="200" w:right="40" w:firstLine="771"/>
        <w:spacing w:after="0" w:line="302" w:lineRule="auto"/>
        <w:rPr>
          <w:sz w:val="20"/>
          <w:szCs w:val="20"/>
          <w:color w:val="auto"/>
        </w:rPr>
      </w:pPr>
      <w:r>
        <w:rPr>
          <w:rFonts w:ascii="Arial" w:cs="Arial" w:eastAsia="Arial" w:hAnsi="Arial"/>
          <w:sz w:val="16"/>
          <w:szCs w:val="16"/>
          <w:color w:val="auto"/>
        </w:rPr>
        <w:t>It is possible that as we test our product candidates in larger, longer and more extensive clinical trials, or as the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 If such side effects become known later in development or upon approval, if any, such findings may harm our business, financial condition and prospects significantly.</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771"/>
        <w:spacing w:after="0" w:line="277"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97"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As an organization, we are in the process of completing our first Phase 1 clinical trials, have never conducted later-stage clinical trials or submitted an NDA, and may be unable to do so for any of our product candidates.</w:t>
      </w:r>
    </w:p>
    <w:p>
      <w:pPr>
        <w:spacing w:after="0" w:line="170"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We are early in our development efforts for our product candidates, and we will need to successfully complete later-stage and pivotal clinical trials in order to obtain FDA or comparable foreign regulatory approval to market GB001, GB002, GB004 or any future product candidates. Carrying out later-stage clinical trials and the submission of a successful NDA is a complicated process. As an organization, we are in the process of completing Phase 1 clinical trials for GB001, GB002 and GB004 and conducting a Phase 2b clinical trial for GB001. We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an IND or an NDA or other comparable foreign regulatory submission for any product candidate. We also plan to conduct a number of clinical trials for multiple product candidates in parallel over the next several years, which may be a difficult process to manage with our limited resources and which may divert the attention of management. In addition, we have had limited interactions with the FDA and cannot be certain how many additional clinical trials of GB001, GB002, GB004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for and commercializing our product candidates.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200" w:right="20" w:firstLine="771"/>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We are not permitted to market any of our product candidates in the United States until we receive approval of an NDA from the FDA.</w:t>
      </w:r>
    </w:p>
    <w:p>
      <w:pPr>
        <w:spacing w:after="0" w:line="197"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00" w:hanging="318"/>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agencies for approval;</w:t>
      </w:r>
    </w:p>
    <w:p>
      <w:pPr>
        <w:spacing w:after="0" w:line="197"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00" w:right="440" w:hanging="318"/>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00" w:right="160" w:hanging="318"/>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00" w:right="320" w:hanging="318"/>
        <w:spacing w:after="0" w:line="264"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00" w:right="280" w:hanging="318"/>
        <w:spacing w:after="0" w:line="277"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00" w:right="480" w:hanging="318"/>
        <w:spacing w:after="0" w:line="277"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 or the approval policies;</w:t>
      </w:r>
    </w:p>
    <w:p>
      <w:pPr>
        <w:spacing w:after="0" w:line="197"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93"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spacing w:after="0" w:line="187" w:lineRule="exact"/>
        <w:rPr>
          <w:sz w:val="20"/>
          <w:szCs w:val="20"/>
          <w:color w:val="auto"/>
        </w:rPr>
      </w:pPr>
    </w:p>
    <w:p>
      <w:pPr>
        <w:ind w:left="200" w:right="240" w:firstLine="771"/>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our product candidates, the FDA or comparable foreign regulatory authority may grant approval contingent on the performance of costly additional clinical trials, including Phase 4 clinical trials, and/or the implementation of a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16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1"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indications and development programs. We also plan to conduct several clinical trials for multiple product candidates in parallel over the next several years, which may make our decision as to which product candidates to focus on more difficult.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86" w:lineRule="auto"/>
        <w:rPr>
          <w:sz w:val="20"/>
          <w:szCs w:val="20"/>
          <w:color w:val="auto"/>
        </w:rPr>
      </w:pPr>
      <w:r>
        <w:rPr>
          <w:rFonts w:ascii="Arial" w:cs="Arial" w:eastAsia="Arial" w:hAnsi="Arial"/>
          <w:sz w:val="17"/>
          <w:szCs w:val="17"/>
          <w:color w:val="auto"/>
        </w:rPr>
        <w:t>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66" w:lineRule="exact"/>
        <w:rPr>
          <w:sz w:val="20"/>
          <w:szCs w:val="20"/>
          <w:color w:val="auto"/>
        </w:rPr>
      </w:pPr>
    </w:p>
    <w:p>
      <w:pPr>
        <w:ind w:left="200" w:right="120" w:firstLine="771"/>
        <w:spacing w:after="0" w:line="255"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70" w:lineRule="exact"/>
        <w:rPr>
          <w:sz w:val="20"/>
          <w:szCs w:val="20"/>
          <w:color w:val="auto"/>
        </w:rPr>
      </w:pPr>
    </w:p>
    <w:p>
      <w:pPr>
        <w:ind w:left="200" w:right="40" w:firstLine="771"/>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European Union, the European Medicines Agency’s, or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We have received orphan drug designation in the United States for GB002 for patients with PAH, and we may seek orphan drug designation in the European Union for GB002 for patients with PAH, as well as seek orphan drug designation for certain of our other product candidates. There can be no assurance that the FDA or the EMA’s Committee for Orphan Medicinal Products will grant orphan designation for any indication for which we apply, or that we will be able to maintain such designation.</w:t>
      </w:r>
    </w:p>
    <w:p>
      <w:pPr>
        <w:spacing w:after="0" w:line="183"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78" w:lineRule="exact"/>
        <w:rPr>
          <w:sz w:val="20"/>
          <w:szCs w:val="20"/>
          <w:color w:val="auto"/>
        </w:rPr>
      </w:pPr>
    </w:p>
    <w:p>
      <w:pPr>
        <w:ind w:left="200" w:right="60" w:firstLine="771"/>
        <w:spacing w:after="0" w:line="276"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We are currently conducting, and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181" w:lineRule="exact"/>
        <w:rPr>
          <w:sz w:val="20"/>
          <w:szCs w:val="20"/>
          <w:color w:val="auto"/>
        </w:rPr>
      </w:pPr>
    </w:p>
    <w:p>
      <w:pPr>
        <w:ind w:left="200" w:right="80" w:firstLine="771"/>
        <w:spacing w:after="0" w:line="289" w:lineRule="auto"/>
        <w:rPr>
          <w:sz w:val="20"/>
          <w:szCs w:val="20"/>
          <w:color w:val="auto"/>
        </w:rPr>
      </w:pPr>
      <w:r>
        <w:rPr>
          <w:rFonts w:ascii="Arial" w:cs="Arial" w:eastAsia="Arial" w:hAnsi="Arial"/>
          <w:sz w:val="16"/>
          <w:szCs w:val="16"/>
          <w:color w:val="auto"/>
        </w:rPr>
        <w:t>We are currently conducting, and may in the future conduct one or more of our clinical trials for our product candidates outside the United States. Although the FDA may accept data from clinical trials conducted outside the United States, acceptance of this data is subject to certain conditions imposed by the FDA.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252" w:lineRule="exact"/>
        <w:rPr>
          <w:sz w:val="20"/>
          <w:szCs w:val="20"/>
          <w:color w:val="auto"/>
        </w:rPr>
      </w:pPr>
    </w:p>
    <w:p>
      <w:pPr>
        <w:ind w:left="1400" w:hanging="31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200" w:firstLine="771"/>
        <w:spacing w:after="0" w:line="287" w:lineRule="auto"/>
        <w:rPr>
          <w:sz w:val="20"/>
          <w:szCs w:val="20"/>
          <w:color w:val="auto"/>
        </w:rPr>
      </w:pPr>
      <w:r>
        <w:rPr>
          <w:rFonts w:ascii="Arial" w:cs="Arial" w:eastAsia="Arial" w:hAnsi="Arial"/>
          <w:sz w:val="16"/>
          <w:szCs w:val="16"/>
          <w:color w:val="auto"/>
        </w:rPr>
        <w:t>From time to time, we may publicly disclose preliminary or topline or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For example, we commenced a Phase 2b clinical trial in moderate-to-severe eosinophilic asthma in October 2018 and expect to conduct an interim analysis in the first half of 2020. If the interim analysis is positive, we plan on initiating a Phase 3 clinical trial thereafter. However, if the final data from the Phase 2b</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clinical trial materially differs in an adverse manner from the interim analysis, we may have unnecessarily expended or committed substantial resources to the Phase 3 clinical trial, which costs we may never be able to recover.</w:t>
      </w:r>
    </w:p>
    <w:p>
      <w:pPr>
        <w:spacing w:after="0" w:line="170"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many of our preclinical studies and clinical trials. Any failure by a third party to conduct the clinical trials according to GCPs and other requirements and in a timely manner may delay or prevent our ability to seek or obtain regulatory approval for or commercialize our product candidates.</w:t>
      </w:r>
    </w:p>
    <w:p>
      <w:pPr>
        <w:spacing w:after="0" w:line="181"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We are dependent on third parties to conduct our clinical trials and preclinical studies, including our ongoing clinical trials for GB001, GB002 and GB004 and preclinical studies for our other development programs.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w:t>
      </w:r>
    </w:p>
    <w:p>
      <w:pPr>
        <w:spacing w:after="0" w:line="185" w:lineRule="exact"/>
        <w:rPr>
          <w:sz w:val="20"/>
          <w:szCs w:val="20"/>
          <w:color w:val="auto"/>
        </w:rPr>
      </w:pPr>
    </w:p>
    <w:p>
      <w:pPr>
        <w:ind w:left="200" w:right="160" w:firstLine="771"/>
        <w:spacing w:after="0" w:line="270" w:lineRule="auto"/>
        <w:rPr>
          <w:sz w:val="20"/>
          <w:szCs w:val="20"/>
          <w:color w:val="auto"/>
        </w:rPr>
      </w:pPr>
      <w:r>
        <w:rPr>
          <w:rFonts w:ascii="Arial" w:cs="Arial" w:eastAsia="Arial" w:hAnsi="Arial"/>
          <w:sz w:val="17"/>
          <w:szCs w:val="17"/>
          <w:color w:val="auto"/>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clinical trial itself may be jeopardized, which could result in the delay or rejection of any NDA we submit by the FDA. Any such delay or rejection could prevent us from commercializing our product candidates.</w:t>
      </w:r>
    </w:p>
    <w:p>
      <w:pPr>
        <w:spacing w:after="0" w:line="170"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8"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b w:val="1"/>
          <w:bCs w:val="1"/>
          <w:i w:val="1"/>
          <w:iCs w:val="1"/>
          <w:color w:val="auto"/>
        </w:rPr>
        <w:t>We rely on third parties for the manufacture of our product candidates for clinical and preclinical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7"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clinical and preclinical development, as well as for commercial manufacture if any of our product candidates receive marketing approval. The facilities used by third-party manufacturers to manufacture our product candidates must be approved by the FDA pursuant to inspections that will be conducted after we submit an NDA to the FDA. We do not control the manufacturing process of, and are completely dependent on, third-party manufacturers for compliance with cGMP requirements for manufacture of drug products. If these third-party manufacturers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83"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97" w:lineRule="exact"/>
        <w:rPr>
          <w:sz w:val="20"/>
          <w:szCs w:val="20"/>
          <w:color w:val="auto"/>
        </w:rPr>
      </w:pPr>
    </w:p>
    <w:p>
      <w:pPr>
        <w:ind w:left="1400" w:hanging="318"/>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GB001, GB002, GB004 or any future product candidates under development;</w:t>
      </w:r>
    </w:p>
    <w:p>
      <w:pPr>
        <w:spacing w:after="0" w:line="263" w:lineRule="exact"/>
        <w:rPr>
          <w:rFonts w:ascii="Arial" w:cs="Arial" w:eastAsia="Arial" w:hAnsi="Arial"/>
          <w:sz w:val="17"/>
          <w:szCs w:val="17"/>
          <w:color w:val="auto"/>
        </w:rPr>
      </w:pPr>
    </w:p>
    <w:p>
      <w:pPr>
        <w:ind w:left="1400" w:hanging="318"/>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263" w:lineRule="exact"/>
        <w:rPr>
          <w:rFonts w:ascii="Arial" w:cs="Arial" w:eastAsia="Arial" w:hAnsi="Arial"/>
          <w:sz w:val="17"/>
          <w:szCs w:val="17"/>
          <w:color w:val="auto"/>
        </w:rPr>
      </w:pPr>
    </w:p>
    <w:p>
      <w:pPr>
        <w:ind w:left="1400" w:hanging="318"/>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80" w:hanging="318"/>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candidates or any other future product candidates.</w:t>
      </w:r>
    </w:p>
    <w:p>
      <w:pPr>
        <w:spacing w:after="0" w:line="170" w:lineRule="exact"/>
        <w:rPr>
          <w:sz w:val="20"/>
          <w:szCs w:val="20"/>
          <w:color w:val="auto"/>
        </w:rPr>
      </w:pPr>
    </w:p>
    <w:p>
      <w:pPr>
        <w:ind w:left="200" w:right="20" w:firstLine="771"/>
        <w:spacing w:after="0" w:line="308" w:lineRule="auto"/>
        <w:rPr>
          <w:sz w:val="20"/>
          <w:szCs w:val="20"/>
          <w:color w:val="auto"/>
        </w:rPr>
      </w:pPr>
      <w:r>
        <w:rPr>
          <w:rFonts w:ascii="Arial" w:cs="Arial" w:eastAsia="Arial" w:hAnsi="Arial"/>
          <w:sz w:val="17"/>
          <w:szCs w:val="17"/>
          <w:color w:val="auto"/>
        </w:rPr>
        <w:t>In addition,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4" w:lineRule="exact"/>
        <w:rPr>
          <w:sz w:val="20"/>
          <w:szCs w:val="20"/>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1" w:lineRule="exact"/>
        <w:rPr>
          <w:sz w:val="20"/>
          <w:szCs w:val="20"/>
          <w:color w:val="auto"/>
        </w:rPr>
      </w:pPr>
    </w:p>
    <w:p>
      <w:pPr>
        <w:ind w:left="200" w:right="80" w:firstLine="771"/>
        <w:spacing w:after="0" w:line="302"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at all.</w:t>
      </w:r>
    </w:p>
    <w:p>
      <w:pPr>
        <w:spacing w:after="0" w:line="154" w:lineRule="exact"/>
        <w:rPr>
          <w:sz w:val="20"/>
          <w:szCs w:val="20"/>
          <w:color w:val="auto"/>
        </w:rPr>
      </w:pPr>
    </w:p>
    <w:p>
      <w:pPr>
        <w:ind w:left="200" w:right="260" w:firstLine="771"/>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2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200" w:firstLine="771"/>
        <w:spacing w:after="0" w:line="290"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6" w:lineRule="exact"/>
        <w:rPr>
          <w:sz w:val="20"/>
          <w:szCs w:val="20"/>
          <w:color w:val="auto"/>
        </w:rPr>
      </w:pPr>
    </w:p>
    <w:p>
      <w:pPr>
        <w:jc w:val="both"/>
        <w:ind w:left="200" w:right="40" w:firstLine="771"/>
        <w:spacing w:after="0" w:line="264"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1"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4" w:lineRule="exact"/>
        <w:rPr>
          <w:sz w:val="20"/>
          <w:szCs w:val="20"/>
          <w:color w:val="auto"/>
        </w:rPr>
      </w:pPr>
    </w:p>
    <w:p>
      <w:pPr>
        <w:ind w:left="200" w:right="40" w:firstLine="771"/>
        <w:spacing w:after="0" w:line="289" w:lineRule="auto"/>
        <w:rPr>
          <w:sz w:val="20"/>
          <w:szCs w:val="20"/>
          <w:color w:val="auto"/>
        </w:rPr>
      </w:pPr>
      <w:r>
        <w:rPr>
          <w:rFonts w:ascii="Arial" w:cs="Arial" w:eastAsia="Arial" w:hAnsi="Arial"/>
          <w:sz w:val="16"/>
          <w:szCs w:val="16"/>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products, including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adverse events of unanticipated severity or frequency, or with our third-party manufacturers or manufacturing processes, or failure to comply with regulatory requirements, may result in, among other things:</w:t>
      </w:r>
    </w:p>
    <w:p>
      <w:pPr>
        <w:spacing w:after="0" w:line="197" w:lineRule="exact"/>
        <w:rPr>
          <w:sz w:val="20"/>
          <w:szCs w:val="20"/>
          <w:color w:val="auto"/>
        </w:rPr>
      </w:pPr>
    </w:p>
    <w:p>
      <w:pPr>
        <w:ind w:left="1400" w:right="220" w:hanging="318"/>
        <w:spacing w:after="0" w:line="277"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252" w:lineRule="exact"/>
        <w:rPr>
          <w:rFonts w:ascii="Arial" w:cs="Arial" w:eastAsia="Arial" w:hAnsi="Arial"/>
          <w:sz w:val="18"/>
          <w:szCs w:val="18"/>
          <w:color w:val="auto"/>
        </w:rPr>
      </w:pPr>
    </w:p>
    <w:p>
      <w:pPr>
        <w:ind w:left="1400" w:right="100" w:hanging="318"/>
        <w:spacing w:after="0" w:line="277"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0" w:lineRule="exact"/>
        <w:rPr>
          <w:sz w:val="20"/>
          <w:szCs w:val="20"/>
          <w:color w:val="auto"/>
        </w:rPr>
      </w:pPr>
    </w:p>
    <w:p>
      <w:pPr>
        <w:ind w:left="200" w:right="40" w:firstLine="771"/>
        <w:spacing w:after="0" w:line="270"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2" w:lineRule="exact"/>
        <w:rPr>
          <w:sz w:val="20"/>
          <w:szCs w:val="20"/>
          <w:color w:val="auto"/>
        </w:rPr>
      </w:pPr>
    </w:p>
    <w:p>
      <w:pPr>
        <w:ind w:left="200" w:right="160" w:firstLine="771"/>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771"/>
        <w:spacing w:after="0" w:line="264"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70" w:lineRule="exact"/>
        <w:rPr>
          <w:sz w:val="20"/>
          <w:szCs w:val="20"/>
          <w:color w:val="auto"/>
        </w:rPr>
      </w:pPr>
    </w:p>
    <w:p>
      <w:pPr>
        <w:jc w:val="both"/>
        <w:ind w:left="200" w:firstLine="771"/>
        <w:spacing w:after="0" w:line="279" w:lineRule="auto"/>
        <w:rPr>
          <w:sz w:val="20"/>
          <w:szCs w:val="20"/>
          <w:color w:val="auto"/>
        </w:rPr>
      </w:pPr>
      <w:r>
        <w:rPr>
          <w:rFonts w:ascii="Arial" w:cs="Arial" w:eastAsia="Arial" w:hAnsi="Arial"/>
          <w:sz w:val="17"/>
          <w:szCs w:val="17"/>
          <w:color w:val="auto"/>
        </w:rPr>
        <w:t>Our product candidates may not be commercially successful. Even if any of our product candidates receive regulatory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98" w:lineRule="exact"/>
        <w:rPr>
          <w:sz w:val="20"/>
          <w:szCs w:val="20"/>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97" w:lineRule="exact"/>
        <w:rPr>
          <w:rFonts w:ascii="Arial" w:cs="Arial" w:eastAsia="Arial" w:hAnsi="Arial"/>
          <w:sz w:val="18"/>
          <w:szCs w:val="18"/>
          <w:color w:val="auto"/>
        </w:rPr>
      </w:pPr>
    </w:p>
    <w:p>
      <w:pPr>
        <w:ind w:left="1400" w:right="220" w:hanging="318"/>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97"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or any of our potential future collaborators’ sales and marketing strategies;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25" w:lineRule="exact"/>
        <w:rPr>
          <w:sz w:val="20"/>
          <w:szCs w:val="20"/>
          <w:color w:val="auto"/>
        </w:rPr>
      </w:pPr>
    </w:p>
    <w:p>
      <w:pPr>
        <w:ind w:left="200" w:right="460" w:firstLine="771"/>
        <w:spacing w:after="0" w:line="312" w:lineRule="auto"/>
        <w:rPr>
          <w:sz w:val="20"/>
          <w:szCs w:val="20"/>
          <w:color w:val="auto"/>
        </w:rPr>
      </w:pPr>
      <w:r>
        <w:rPr>
          <w:rFonts w:ascii="Arial" w:cs="Arial" w:eastAsia="Arial" w:hAnsi="Arial"/>
          <w:sz w:val="16"/>
          <w:szCs w:val="16"/>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left="200" w:right="40" w:firstLine="771"/>
        <w:spacing w:after="0" w:line="291"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as our product candidates would be,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47" w:lineRule="exact"/>
        <w:rPr>
          <w:sz w:val="20"/>
          <w:szCs w:val="20"/>
          <w:color w:val="auto"/>
        </w:rPr>
      </w:pPr>
    </w:p>
    <w:p>
      <w:pPr>
        <w:ind w:left="200" w:right="220" w:firstLine="771"/>
        <w:spacing w:after="0" w:line="272"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79"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88"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73" w:lineRule="exact"/>
        <w:rPr>
          <w:sz w:val="20"/>
          <w:szCs w:val="20"/>
          <w:color w:val="auto"/>
        </w:rPr>
      </w:pPr>
    </w:p>
    <w:p>
      <w:pPr>
        <w:ind w:left="200" w:right="160" w:firstLine="771"/>
        <w:spacing w:after="0" w:line="272"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70"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fields of immunology, inflammation and oncology.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80" w:lineRule="exact"/>
        <w:rPr>
          <w:sz w:val="20"/>
          <w:szCs w:val="20"/>
          <w:color w:val="auto"/>
        </w:rPr>
      </w:pPr>
    </w:p>
    <w:p>
      <w:pPr>
        <w:jc w:val="both"/>
        <w:ind w:left="200" w:right="220" w:firstLine="771"/>
        <w:spacing w:after="0" w:line="312"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product candidates. GB001, currently in development for the treatment of moderate-to-severe eosinophilic asthma, is an oral DP2 antagonist, a class of medicines with no currently-approved agents. However, other DP2 antagonists are currently in development by Novartis, Chiesi Farmaceutici S.p.A., Merck &amp; Company, Inc.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Sunshine Lake Pharma Co., Ltd. If approved, we will also face branded competition from existing biologics, including Xolair (omalizumab/anti-immunoglobulin E, or anti-IgE, marketed by Genentech and Novartis) and Dupixent (dupilumab/anti-IL-4/IL-13, marketed by Regeneron Pharmaceuticals, Inc., or Regeneron, and Sanofi S.A.), for moderate to severe asthma, and Nucala (mepolizumab/anti-IL-5, marketed by GlaxoSmithKline), Cinqair (reslizumab/anti-IL-5, marketed by Teva Pharmaceutical Industries Ltd.), and Fasenra (benralizumab/anti-IL-5, marketed by AstraZeneca Pharmaceuticals LP) for severe eosinophilic asthma. We will also face competition from generic montelukast, which is utilized in mild to moderate patients. Several other agents are advancing in clinical trials for asthma, including tezepelumab (anti-TSLP; Amgen/AstraZeneca), REGN3500 (anti-IL-33; Regeneron), etokimab (anti-IL-33; AnaptysBio, Inc.), GSK3772847 (anti-IL-33; GlaxoSmithKline) and RG6149 (anti-ST2; Genentech).</w:t>
      </w:r>
    </w:p>
    <w:p>
      <w:pPr>
        <w:spacing w:after="0" w:line="167" w:lineRule="exact"/>
        <w:rPr>
          <w:sz w:val="20"/>
          <w:szCs w:val="20"/>
          <w:color w:val="auto"/>
        </w:rPr>
      </w:pPr>
    </w:p>
    <w:p>
      <w:pPr>
        <w:ind w:left="200" w:right="940" w:firstLine="771"/>
        <w:spacing w:after="0" w:line="308" w:lineRule="auto"/>
        <w:rPr>
          <w:sz w:val="20"/>
          <w:szCs w:val="20"/>
          <w:color w:val="auto"/>
        </w:rPr>
      </w:pPr>
      <w:r>
        <w:rPr>
          <w:rFonts w:ascii="Arial" w:cs="Arial" w:eastAsia="Arial" w:hAnsi="Arial"/>
          <w:sz w:val="17"/>
          <w:szCs w:val="17"/>
          <w:color w:val="auto"/>
        </w:rPr>
        <w:t>Additionally, while there are no agents currently approved beyond corticosteroids for CRSwNP, several agents approved for or in development for asthma are currently in development for CRSwNP, including Xolair, Fasenra, Dupixent and etokimab.</w:t>
      </w:r>
    </w:p>
    <w:p>
      <w:pPr>
        <w:spacing w:after="0" w:line="147" w:lineRule="exact"/>
        <w:rPr>
          <w:sz w:val="20"/>
          <w:szCs w:val="20"/>
          <w:color w:val="auto"/>
        </w:rPr>
      </w:pPr>
    </w:p>
    <w:p>
      <w:pPr>
        <w:ind w:left="200" w:right="420" w:firstLine="771"/>
        <w:spacing w:after="0" w:line="277" w:lineRule="auto"/>
        <w:rPr>
          <w:sz w:val="20"/>
          <w:szCs w:val="20"/>
          <w:color w:val="auto"/>
        </w:rPr>
      </w:pPr>
      <w:r>
        <w:rPr>
          <w:rFonts w:ascii="Arial" w:cs="Arial" w:eastAsia="Arial" w:hAnsi="Arial"/>
          <w:sz w:val="18"/>
          <w:szCs w:val="18"/>
          <w:color w:val="auto"/>
        </w:rPr>
        <w:t>Xolair is currently FDA-approved for the treatment of CSU. We may also face competition from agents currently in development for the indication, including ligelizumab (anti-IgE; Novartis) and AK002 (anti-Siglec-8; Allakos Inc.).</w:t>
      </w:r>
    </w:p>
    <w:p>
      <w:pPr>
        <w:spacing w:after="0" w:line="170" w:lineRule="exact"/>
        <w:rPr>
          <w:sz w:val="20"/>
          <w:szCs w:val="20"/>
          <w:color w:val="auto"/>
        </w:rPr>
      </w:pPr>
    </w:p>
    <w:p>
      <w:pPr>
        <w:ind w:left="200" w:right="100" w:firstLine="771"/>
        <w:spacing w:after="0" w:line="290" w:lineRule="auto"/>
        <w:rPr>
          <w:sz w:val="20"/>
          <w:szCs w:val="20"/>
          <w:color w:val="auto"/>
        </w:rPr>
      </w:pPr>
      <w:r>
        <w:rPr>
          <w:rFonts w:ascii="Arial" w:cs="Arial" w:eastAsia="Arial" w:hAnsi="Arial"/>
          <w:sz w:val="16"/>
          <w:szCs w:val="16"/>
          <w:color w:val="auto"/>
        </w:rPr>
        <w:t>GB002 is a potentially first-in-class PDGF receptor kinase inhibitor initially targeted for intermediate and high-risk PAH patients. While potentially unique in our class, we expect our primary competition in this patient set will include prostanoids, available in oral form as Orenitram (United Therapeutics Corporation, or United Therapeutics) and Uptravi (Janssen Pharmaceuticals, Inc., or Janssen), by inhalation as Tyvaso (United Therapeutics), and by infusion as Remodulin (United Therapeutics). While we may face some competition from products used in class I and II patients, such as the oral PDE5 inhibitors, including Revatio (Pfizer Inc.) and Adcirca (United Therapeutics); the sGC stimulator Adempas (Bayer AG); and oral ERAs, including Tracleer (Janssen), Letairis (Gilead Sciences, Inc.) and Opsumit (Janssen), we believe that, if approved, GB002 would be used along with these background therapies. PAH is also an active indication for investigational drugs, and we may face competition in the future from ralinepag (Arena Pharmaceuticals, Inc.), sotatercept (Acceleron Pharma, Inc.) and bardoxolone methyl (Reata Pharmaceuticals, Inc.).</w:t>
      </w:r>
    </w:p>
    <w:p>
      <w:pPr>
        <w:spacing w:after="0" w:line="166"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GB004 is potentially a first-in-class HIF-1a stabilizer with the potential to restore epithelial barrier function in patients with IBD. Patients with mild to moderate UC can initially be maintained in remission using a 5-aminosalucylic acid, or 5-ASA. For those patients who do not respond to 5-ASA, or those with more severe and/or extensive disease at diagnosis, corticosteroids are generally the next line of treatment. Patients who have become nonresponsive or intolerant to corticosteroids may move to azathioprine and 6-mercaptopurine. The treatment of severe patients is dominated by anti-TNF biologics, though the paradigm is shifting because of the approval of agents in other classes, such as anti-integrin, IL-12 / IL-23, and Janus kinase, or JAK, inhibitors. Further disruption is expected in the coming years through the introduction of oral S1P1 inhibitors and additional oral JAK inhibitors.</w:t>
      </w:r>
    </w:p>
    <w:p>
      <w:pPr>
        <w:spacing w:after="0" w:line="189" w:lineRule="exact"/>
        <w:rPr>
          <w:sz w:val="20"/>
          <w:szCs w:val="20"/>
          <w:color w:val="auto"/>
        </w:rPr>
      </w:pPr>
    </w:p>
    <w:p>
      <w:pPr>
        <w:ind w:left="200" w:right="80" w:firstLine="771"/>
        <w:spacing w:after="0" w:line="270"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products are smaller than we believe they are, our revenue may be adversely affected, and our business may suffer.</w:t>
      </w:r>
    </w:p>
    <w:p>
      <w:pPr>
        <w:spacing w:after="0" w:line="170"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8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6" w:lineRule="exact"/>
        <w:rPr>
          <w:sz w:val="20"/>
          <w:szCs w:val="20"/>
          <w:color w:val="auto"/>
        </w:rPr>
      </w:pPr>
    </w:p>
    <w:p>
      <w:pPr>
        <w:ind w:left="200" w:right="120" w:firstLine="771"/>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7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0" w:lineRule="exact"/>
        <w:rPr>
          <w:sz w:val="20"/>
          <w:szCs w:val="20"/>
          <w:color w:val="auto"/>
        </w:rPr>
      </w:pPr>
    </w:p>
    <w:p>
      <w:pPr>
        <w:jc w:val="both"/>
        <w:ind w:left="200" w:right="260" w:firstLine="771"/>
        <w:spacing w:after="0" w:line="312" w:lineRule="auto"/>
        <w:rPr>
          <w:sz w:val="20"/>
          <w:szCs w:val="20"/>
          <w:color w:val="auto"/>
        </w:rPr>
      </w:pPr>
      <w:r>
        <w:rPr>
          <w:rFonts w:ascii="Arial" w:cs="Arial" w:eastAsia="Arial" w:hAnsi="Arial"/>
          <w:sz w:val="16"/>
          <w:szCs w:val="16"/>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86" w:lineRule="auto"/>
        <w:rPr>
          <w:sz w:val="20"/>
          <w:szCs w:val="20"/>
          <w:color w:val="auto"/>
        </w:rPr>
      </w:pPr>
      <w:r>
        <w:rPr>
          <w:rFonts w:ascii="Arial" w:cs="Arial" w:eastAsia="Arial" w:hAnsi="Arial"/>
          <w:sz w:val="17"/>
          <w:szCs w:val="17"/>
          <w:color w:val="auto"/>
        </w:rPr>
        <w:t>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193" w:lineRule="exact"/>
        <w:rPr>
          <w:sz w:val="20"/>
          <w:szCs w:val="20"/>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52" w:lineRule="exact"/>
        <w:rPr>
          <w:rFonts w:ascii="Arial" w:cs="Arial" w:eastAsia="Arial" w:hAnsi="Arial"/>
          <w:sz w:val="18"/>
          <w:szCs w:val="18"/>
          <w:color w:val="auto"/>
        </w:rPr>
      </w:pPr>
    </w:p>
    <w:p>
      <w:pPr>
        <w:ind w:left="1400" w:right="460" w:hanging="318"/>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197" w:lineRule="exact"/>
        <w:rPr>
          <w:rFonts w:ascii="Arial" w:cs="Arial" w:eastAsia="Arial" w:hAnsi="Arial"/>
          <w:sz w:val="18"/>
          <w:szCs w:val="18"/>
          <w:color w:val="auto"/>
        </w:rPr>
      </w:pPr>
    </w:p>
    <w:p>
      <w:pPr>
        <w:ind w:left="1400" w:right="100" w:hanging="318"/>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1400" w:right="460" w:hanging="318"/>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00" w:right="60" w:hanging="318"/>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product candidates, which may change from time to time;</w:t>
      </w:r>
    </w:p>
    <w:p>
      <w:pPr>
        <w:spacing w:after="0" w:line="197" w:lineRule="exact"/>
        <w:rPr>
          <w:rFonts w:ascii="Arial" w:cs="Arial" w:eastAsia="Arial" w:hAnsi="Arial"/>
          <w:sz w:val="18"/>
          <w:szCs w:val="18"/>
          <w:color w:val="auto"/>
        </w:rPr>
      </w:pPr>
    </w:p>
    <w:p>
      <w:pPr>
        <w:ind w:left="1400" w:right="100" w:hanging="318"/>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00" w:right="560" w:hanging="318"/>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197" w:lineRule="exact"/>
        <w:rPr>
          <w:rFonts w:ascii="Arial" w:cs="Arial" w:eastAsia="Arial" w:hAnsi="Arial"/>
          <w:sz w:val="18"/>
          <w:szCs w:val="18"/>
          <w:color w:val="auto"/>
        </w:rPr>
      </w:pPr>
    </w:p>
    <w:p>
      <w:pPr>
        <w:ind w:left="1400" w:right="220" w:hanging="318"/>
        <w:spacing w:after="0" w:line="308" w:lineRule="auto"/>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amount of the milestone or other payments we must make to the licensors and other third parties from whom we have in-licensed our acquired our product candidates, including payments due upon a change in control of our subsidiaries;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00" w:right="180" w:hanging="318"/>
        <w:spacing w:after="0" w:line="342" w:lineRule="auto"/>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1"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0" w:lineRule="exact"/>
        <w:rPr>
          <w:sz w:val="20"/>
          <w:szCs w:val="20"/>
          <w:color w:val="auto"/>
        </w:rPr>
      </w:pPr>
    </w:p>
    <w:p>
      <w:pPr>
        <w:ind w:left="200" w:right="40" w:firstLine="771"/>
        <w:spacing w:after="0" w:line="271"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our Chief Executive Officer and our Executive Chairman, as well as our senior scientists and other members of our senior management team. The loss of services of any of these individuals could delay or prevent the successful development of our product pipeline, initiation or completion of our planned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except for our Chief Executive Officer and Executive Chairman. This lack of insurance means that we may not have adequate compensation for the loss of the services of these individuals.</w:t>
      </w:r>
    </w:p>
    <w:p>
      <w:pPr>
        <w:spacing w:after="0" w:line="179" w:lineRule="exact"/>
        <w:rPr>
          <w:sz w:val="20"/>
          <w:szCs w:val="20"/>
          <w:color w:val="auto"/>
        </w:rPr>
      </w:pPr>
    </w:p>
    <w:p>
      <w:pPr>
        <w:ind w:left="200" w:right="100" w:firstLine="771"/>
        <w:spacing w:after="0" w:line="272"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particularly in the San Diego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7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have recently substantially increased the size of our organization, and we may encounter difficulties in managing our growth and expanding our operations successfully.</w:t>
      </w:r>
    </w:p>
    <w:p>
      <w:pPr>
        <w:spacing w:after="0" w:line="170"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We have substantially increased our organization from 11 employees in January 2018 to 98 full-time employees and 1 part-time employee as of December 1, 2018. As we continue development and pursue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potential commercialization of our product candidates, as well as function as a public company, we will need to continue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our product candidates and to compete effectively will depend, in part, on our ability to manage our recent substantial growth and any future growth effectively.</w:t>
      </w:r>
    </w:p>
    <w:p>
      <w:pPr>
        <w:spacing w:after="0" w:line="17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70" w:lineRule="exact"/>
        <w:rPr>
          <w:sz w:val="20"/>
          <w:szCs w:val="20"/>
          <w:color w:val="auto"/>
        </w:rPr>
      </w:pPr>
    </w:p>
    <w:p>
      <w:pPr>
        <w:ind w:left="200" w:right="100" w:firstLine="771"/>
        <w:spacing w:after="0" w:line="279"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98" w:lineRule="exact"/>
        <w:rPr>
          <w:sz w:val="20"/>
          <w:szCs w:val="20"/>
          <w:color w:val="auto"/>
        </w:rPr>
      </w:pPr>
    </w:p>
    <w:p>
      <w:pPr>
        <w:ind w:left="1400" w:right="80" w:hanging="318"/>
        <w:spacing w:after="0" w:line="271"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05" w:lineRule="exact"/>
        <w:rPr>
          <w:rFonts w:ascii="Arial" w:cs="Arial" w:eastAsia="Arial" w:hAnsi="Arial"/>
          <w:sz w:val="17"/>
          <w:szCs w:val="17"/>
          <w:color w:val="auto"/>
        </w:rPr>
      </w:pPr>
    </w:p>
    <w:p>
      <w:pPr>
        <w:ind w:left="1400" w:hanging="318"/>
        <w:spacing w:after="0" w:line="25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15" w:lineRule="exact"/>
        <w:rPr>
          <w:rFonts w:ascii="Arial" w:cs="Arial" w:eastAsia="Arial" w:hAnsi="Arial"/>
          <w:sz w:val="18"/>
          <w:szCs w:val="18"/>
          <w:color w:val="auto"/>
        </w:rPr>
      </w:pPr>
    </w:p>
    <w:p>
      <w:pPr>
        <w:ind w:left="1400" w:right="40" w:hanging="318"/>
        <w:spacing w:after="0" w:line="297"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5" w:lineRule="exact"/>
        <w:rPr>
          <w:rFonts w:ascii="Arial" w:cs="Arial" w:eastAsia="Arial" w:hAnsi="Arial"/>
          <w:sz w:val="16"/>
          <w:szCs w:val="16"/>
          <w:color w:val="auto"/>
        </w:rPr>
      </w:pPr>
    </w:p>
    <w:p>
      <w:pPr>
        <w:ind w:left="1400" w:right="20" w:hanging="318"/>
        <w:spacing w:after="0" w:line="297"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220" w:hanging="318"/>
        <w:spacing w:after="0" w:line="297"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185" w:lineRule="exact"/>
        <w:rPr>
          <w:rFonts w:ascii="Arial" w:cs="Arial" w:eastAsia="Arial" w:hAnsi="Arial"/>
          <w:sz w:val="16"/>
          <w:szCs w:val="16"/>
          <w:color w:val="auto"/>
        </w:rPr>
      </w:pPr>
    </w:p>
    <w:p>
      <w:pPr>
        <w:ind w:left="1400" w:hanging="318"/>
        <w:spacing w:after="0" w:line="268"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distribution, use, security, and storage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85" w:lineRule="exact"/>
        <w:rPr>
          <w:sz w:val="20"/>
          <w:szCs w:val="20"/>
          <w:color w:val="auto"/>
        </w:rPr>
      </w:pPr>
    </w:p>
    <w:p>
      <w:pPr>
        <w:ind w:left="200" w:right="60" w:firstLine="771"/>
        <w:spacing w:after="0" w:line="253" w:lineRule="auto"/>
        <w:rPr>
          <w:sz w:val="20"/>
          <w:szCs w:val="20"/>
          <w:color w:val="auto"/>
        </w:rPr>
      </w:pPr>
      <w:r>
        <w:rPr>
          <w:rFonts w:ascii="Arial" w:cs="Arial" w:eastAsia="Arial" w:hAnsi="Arial"/>
          <w:sz w:val="18"/>
          <w:szCs w:val="18"/>
          <w:color w:val="auto"/>
        </w:rPr>
        <w:t>As of May 25, 2018, the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pseudonymised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spacing w:after="0" w:line="197" w:lineRule="exact"/>
        <w:rPr>
          <w:sz w:val="20"/>
          <w:szCs w:val="20"/>
          <w:color w:val="auto"/>
        </w:rPr>
      </w:pPr>
    </w:p>
    <w:p>
      <w:pPr>
        <w:ind w:left="200" w:right="160" w:firstLine="771"/>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 including our consulting and advisory board arrangements with physicians and other healthcare providers, some of whom received stock options as compensation for services provided,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5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70" w:lineRule="exact"/>
        <w:rPr>
          <w:sz w:val="20"/>
          <w:szCs w:val="20"/>
          <w:color w:val="auto"/>
        </w:rPr>
      </w:pPr>
    </w:p>
    <w:p>
      <w:pPr>
        <w:ind w:left="200" w:right="120" w:firstLine="771"/>
        <w:spacing w:after="0" w:line="302"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4" w:lineRule="exact"/>
        <w:rPr>
          <w:sz w:val="20"/>
          <w:szCs w:val="20"/>
          <w:color w:val="auto"/>
        </w:rPr>
      </w:pPr>
    </w:p>
    <w:p>
      <w:pPr>
        <w:ind w:left="200" w:right="120" w:firstLine="771"/>
        <w:spacing w:after="0" w:line="289"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the Affordable Care Act: establishes an annual, nondeductible fee on any entity that manufactures or imports specified branded prescription drugs and biologic agents; extends manufacturers’ Medicaid rebate liability to covered drugs dispensed to individuals who are enrolled in Medicaid managed care organizations; expands eligibility criteria for Medicaid programs; expands the entities eligible for discounts under the Public Health program; increases the statutory minimum rebates a manufacturer must pay under the Medicaid Drug Rebate Program; creates a new Medicare Part D coverage gap discount program; establishes a new Patient-Centered Outcomes Research Institute to oversee, identify priorities in and conduct comparative clinical effectiveness research, along with funding for such research; and establishes a Center for Medicare Innovation at CMS to test innovative payment and service delivery models to lower Medicare and Medicaid spending.</w:t>
      </w:r>
    </w:p>
    <w:p>
      <w:pPr>
        <w:spacing w:after="0" w:line="167"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color w:val="auto"/>
        </w:rPr>
        <w:t>At this time, we are unsure of the full impact that the Affordable Care Act will have on our business. There have been judicial and political challenges to certain aspects of the Affordable Care Act. For example, since January 2017, President Trump has signed two executive orders and other directives designed to delay, circumvent, or loosen certain requirements of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The Bipartisan Budget Act of 2018, or the BBA, among other things, amends the Affordable Care Act, effective January 1, 2019, to close the coverage gap in most Medicare drug plans, commonly referred to as the “donut hole,” by increasing from 50 percent to 70 percent the point-of-sale discount that is owed by pharmaceutical manufacturers who participate in Medicare Part D. In July 2018,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771"/>
        <w:spacing w:after="0" w:line="279" w:lineRule="auto"/>
        <w:rPr>
          <w:sz w:val="20"/>
          <w:szCs w:val="20"/>
          <w:color w:val="auto"/>
        </w:rPr>
      </w:pPr>
      <w:r>
        <w:rPr>
          <w:rFonts w:ascii="Arial" w:cs="Arial" w:eastAsia="Arial" w:hAnsi="Arial"/>
          <w:sz w:val="17"/>
          <w:szCs w:val="17"/>
          <w:color w:val="auto"/>
        </w:rPr>
        <w:t>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w:t>
      </w:r>
    </w:p>
    <w:p>
      <w:pPr>
        <w:spacing w:after="0" w:line="171" w:lineRule="exact"/>
        <w:rPr>
          <w:sz w:val="20"/>
          <w:szCs w:val="20"/>
          <w:color w:val="auto"/>
        </w:rPr>
      </w:pPr>
    </w:p>
    <w:p>
      <w:pPr>
        <w:ind w:left="200" w:right="160" w:firstLine="771"/>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78"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7" w:lineRule="exact"/>
        <w:rPr>
          <w:sz w:val="20"/>
          <w:szCs w:val="20"/>
          <w:color w:val="auto"/>
        </w:rPr>
      </w:pPr>
    </w:p>
    <w:p>
      <w:pPr>
        <w:ind w:left="200" w:right="80" w:firstLine="771"/>
        <w:spacing w:after="0" w:line="289" w:lineRule="auto"/>
        <w:rPr>
          <w:sz w:val="20"/>
          <w:szCs w:val="20"/>
          <w:color w:val="auto"/>
        </w:rPr>
      </w:pPr>
      <w:r>
        <w:rPr>
          <w:rFonts w:ascii="Arial" w:cs="Arial" w:eastAsia="Arial" w:hAnsi="Arial"/>
          <w:sz w:val="16"/>
          <w:szCs w:val="16"/>
          <w:color w:val="auto"/>
        </w:rPr>
        <w:t>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through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begun the process of soliciting feedback on some of these measures and, at the same time, is implementing others under its existing authority. Although some of these, and other, proposals will require authorization through additional legislation to become effective, Congress and the Trump administration have each indicated that it will continue to seek new legislative and/or administrative measures to control drug costs.</w:t>
      </w:r>
    </w:p>
    <w:p>
      <w:pPr>
        <w:spacing w:after="0" w:line="167" w:lineRule="exact"/>
        <w:rPr>
          <w:sz w:val="20"/>
          <w:szCs w:val="20"/>
          <w:color w:val="auto"/>
        </w:rPr>
      </w:pPr>
    </w:p>
    <w:p>
      <w:pPr>
        <w:ind w:left="200" w:firstLine="771"/>
        <w:spacing w:after="0" w:line="25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2"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or Right to Try Act, was signed into law. The law, among other things, provides a federal framework for certain patients with life-threatening diseases or conditions to access certain investigational new drug products that have completed a Phase 1 clinical trial. Under certain circumstances, eligible patients can seek treatment without enrolling in clinical trials and without obtaining FDA approval under the FDA expanded access program. There is no obligation for a drug manufacturer to make its drug products available to eligible patients as a result of the Right to Try Act.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771"/>
        <w:spacing w:after="0" w:line="297" w:lineRule="auto"/>
        <w:rPr>
          <w:sz w:val="20"/>
          <w:szCs w:val="20"/>
          <w:color w:val="auto"/>
        </w:rPr>
      </w:pPr>
      <w:r>
        <w:rPr>
          <w:rFonts w:ascii="Arial" w:cs="Arial" w:eastAsia="Arial" w:hAnsi="Arial"/>
          <w:sz w:val="16"/>
          <w:szCs w:val="16"/>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5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70" w:lineRule="exact"/>
        <w:rPr>
          <w:sz w:val="20"/>
          <w:szCs w:val="20"/>
          <w:color w:val="auto"/>
        </w:rPr>
      </w:pPr>
    </w:p>
    <w:p>
      <w:pPr>
        <w:ind w:left="200" w:firstLine="771"/>
        <w:spacing w:after="0" w:line="289" w:lineRule="auto"/>
        <w:rPr>
          <w:sz w:val="20"/>
          <w:szCs w:val="20"/>
          <w:color w:val="auto"/>
        </w:rPr>
      </w:pPr>
      <w:r>
        <w:rPr>
          <w:rFonts w:ascii="Arial" w:cs="Arial" w:eastAsia="Arial" w:hAnsi="Arial"/>
          <w:sz w:val="16"/>
          <w:szCs w:val="16"/>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67" w:lineRule="exact"/>
        <w:rPr>
          <w:sz w:val="20"/>
          <w:szCs w:val="20"/>
          <w:color w:val="auto"/>
        </w:rPr>
      </w:pPr>
    </w:p>
    <w:p>
      <w:pPr>
        <w:ind w:left="200" w:right="440" w:firstLine="771"/>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7" w:lineRule="exact"/>
        <w:rPr>
          <w:sz w:val="20"/>
          <w:szCs w:val="20"/>
          <w:color w:val="auto"/>
        </w:rPr>
      </w:pPr>
    </w:p>
    <w:p>
      <w:pPr>
        <w:ind w:left="200" w:right="20" w:firstLine="771"/>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70" w:lineRule="exact"/>
        <w:rPr>
          <w:sz w:val="20"/>
          <w:szCs w:val="20"/>
          <w:color w:val="auto"/>
        </w:rPr>
      </w:pPr>
    </w:p>
    <w:p>
      <w:pPr>
        <w:ind w:left="200" w:right="180" w:firstLine="771"/>
        <w:spacing w:after="0" w:line="273" w:lineRule="auto"/>
        <w:rPr>
          <w:sz w:val="20"/>
          <w:szCs w:val="20"/>
          <w:color w:val="auto"/>
        </w:rPr>
      </w:pPr>
      <w:r>
        <w:rPr>
          <w:rFonts w:ascii="Arial" w:cs="Arial" w:eastAsia="Arial" w:hAnsi="Arial"/>
          <w:sz w:val="17"/>
          <w:szCs w:val="17"/>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78" w:lineRule="exact"/>
        <w:rPr>
          <w:sz w:val="20"/>
          <w:szCs w:val="20"/>
          <w:color w:val="auto"/>
        </w:rPr>
      </w:pPr>
    </w:p>
    <w:p>
      <w:pPr>
        <w:ind w:left="200" w:right="40" w:firstLine="771"/>
        <w:spacing w:after="0" w:line="277"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require significant financial and management resources. Regardless of the merits or eventual outcome, liability claims may result in:</w:t>
      </w:r>
    </w:p>
    <w:p>
      <w:pPr>
        <w:spacing w:after="0" w:line="252" w:lineRule="exact"/>
        <w:rPr>
          <w:sz w:val="20"/>
          <w:szCs w:val="20"/>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left="200" w:firstLine="771"/>
        <w:spacing w:after="0" w:line="290" w:lineRule="auto"/>
        <w:rPr>
          <w:sz w:val="20"/>
          <w:szCs w:val="20"/>
          <w:color w:val="auto"/>
        </w:rPr>
      </w:pPr>
      <w:r>
        <w:rPr>
          <w:rFonts w:ascii="Arial" w:cs="Arial" w:eastAsia="Arial" w:hAnsi="Arial"/>
          <w:sz w:val="16"/>
          <w:szCs w:val="16"/>
          <w:color w:val="auto"/>
        </w:rPr>
        <w:t>We currently hold approximately $10 million in product liability insurance coverage in the aggregate. We may need to increase our insurance coverage as we expand our clinical trials or if we commence commercialization of our product candidates.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ind w:left="200" w:right="620"/>
        <w:spacing w:after="0" w:line="381" w:lineRule="auto"/>
        <w:rPr>
          <w:sz w:val="20"/>
          <w:szCs w:val="20"/>
          <w:color w:val="auto"/>
        </w:rPr>
      </w:pPr>
      <w:r>
        <w:rPr>
          <w:rFonts w:ascii="Arial" w:cs="Arial" w:eastAsia="Arial" w:hAnsi="Arial"/>
          <w:sz w:val="15"/>
          <w:szCs w:val="15"/>
          <w:b w:val="1"/>
          <w:bCs w:val="1"/>
          <w:i w:val="1"/>
          <w:iCs w:val="1"/>
          <w:color w:val="auto"/>
        </w:rPr>
        <w:t>We and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101"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If we and any of our potential future collaborators are successful in commercializing our products, the FDA and foreign regulatory authorities would require that we and any of our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any of our CROs, manufacturers, other contractors or consultants or potential future collaborators, may fail or suffer security breaches, which could result in a material disruption of our product development programs.</w:t>
      </w:r>
    </w:p>
    <w:p>
      <w:pPr>
        <w:spacing w:after="0" w:line="147" w:lineRule="exact"/>
        <w:rPr>
          <w:sz w:val="20"/>
          <w:szCs w:val="20"/>
          <w:color w:val="auto"/>
        </w:rPr>
      </w:pPr>
    </w:p>
    <w:p>
      <w:pPr>
        <w:ind w:left="200" w:right="60" w:firstLine="771"/>
        <w:spacing w:after="0" w:line="285" w:lineRule="auto"/>
        <w:rPr>
          <w:sz w:val="20"/>
          <w:szCs w:val="20"/>
          <w:color w:val="auto"/>
        </w:rPr>
      </w:pPr>
      <w:r>
        <w:rPr>
          <w:rFonts w:ascii="Arial" w:cs="Arial" w:eastAsia="Arial" w:hAnsi="Arial"/>
          <w:sz w:val="16"/>
          <w:szCs w:val="16"/>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security measures, our internal computer systems and those of our current and any future CROs and other contractors, consultants and collaborators are vulnerable to damage from computer viruses, cybersecurity threats, unauthorized access, natural disasters, terrorism, war and telecommunication and electrical failures. If such an event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 our regulatory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to certain privacy and security laws.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200" w:right="80" w:firstLine="771"/>
        <w:spacing w:after="0" w:line="291"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6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70"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69"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66" w:lineRule="exact"/>
        <w:rPr>
          <w:sz w:val="20"/>
          <w:szCs w:val="20"/>
          <w:color w:val="auto"/>
        </w:rPr>
      </w:pPr>
    </w:p>
    <w:p>
      <w:pPr>
        <w:ind w:left="200" w:right="60" w:firstLine="771"/>
        <w:spacing w:after="0" w:line="26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similar to our approach in in-licensing and acquiring our current product candidates. Any future transactions could increase our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25"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5" w:lineRule="exact"/>
        <w:rPr>
          <w:sz w:val="20"/>
          <w:szCs w:val="20"/>
          <w:color w:val="auto"/>
        </w:rPr>
      </w:pPr>
    </w:p>
    <w:p>
      <w:pPr>
        <w:ind w:left="200" w:right="80" w:firstLine="771"/>
        <w:spacing w:after="0" w:line="279" w:lineRule="auto"/>
        <w:rPr>
          <w:sz w:val="20"/>
          <w:szCs w:val="20"/>
          <w:color w:val="auto"/>
        </w:rPr>
      </w:pPr>
      <w:r>
        <w:rPr>
          <w:rFonts w:ascii="Arial" w:cs="Arial" w:eastAsia="Arial" w:hAnsi="Arial"/>
          <w:sz w:val="17"/>
          <w:szCs w:val="17"/>
          <w:color w:val="auto"/>
        </w:rPr>
        <w:t>Although we own issued patents in the United States and foreign countries, we cannot be certain that the claims in our other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171"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208" w:lineRule="exact"/>
        <w:rPr>
          <w:sz w:val="20"/>
          <w:szCs w:val="20"/>
          <w:color w:val="auto"/>
        </w:rPr>
      </w:pPr>
    </w:p>
    <w:p>
      <w:pPr>
        <w:ind w:left="1400" w:right="140" w:hanging="318"/>
        <w:spacing w:after="0" w:line="286" w:lineRule="auto"/>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92" w:lineRule="exact"/>
        <w:rPr>
          <w:rFonts w:ascii="Arial" w:cs="Arial" w:eastAsia="Arial" w:hAnsi="Arial"/>
          <w:sz w:val="17"/>
          <w:szCs w:val="17"/>
          <w:color w:val="auto"/>
        </w:rPr>
      </w:pPr>
    </w:p>
    <w:p>
      <w:pPr>
        <w:ind w:left="1400" w:hanging="318"/>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80" w:hanging="318"/>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7" w:lineRule="exact"/>
        <w:rPr>
          <w:rFonts w:ascii="Arial" w:cs="Arial" w:eastAsia="Arial" w:hAnsi="Arial"/>
          <w:sz w:val="18"/>
          <w:szCs w:val="18"/>
          <w:color w:val="auto"/>
        </w:rPr>
      </w:pPr>
    </w:p>
    <w:p>
      <w:pPr>
        <w:ind w:left="1400" w:right="60" w:hanging="318"/>
        <w:spacing w:after="0" w:line="264"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208" w:lineRule="exact"/>
        <w:rPr>
          <w:rFonts w:ascii="Arial" w:cs="Arial" w:eastAsia="Arial" w:hAnsi="Arial"/>
          <w:sz w:val="18"/>
          <w:szCs w:val="18"/>
          <w:color w:val="auto"/>
        </w:rPr>
      </w:pPr>
    </w:p>
    <w:p>
      <w:pPr>
        <w:jc w:val="both"/>
        <w:ind w:left="1400" w:right="80" w:hanging="318"/>
        <w:spacing w:after="0" w:line="264"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08" w:lineRule="exact"/>
        <w:rPr>
          <w:rFonts w:ascii="Arial" w:cs="Arial" w:eastAsia="Arial" w:hAnsi="Arial"/>
          <w:sz w:val="18"/>
          <w:szCs w:val="18"/>
          <w:color w:val="auto"/>
        </w:rPr>
      </w:pPr>
    </w:p>
    <w:p>
      <w:pPr>
        <w:ind w:left="1400" w:right="440" w:hanging="318"/>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70"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The patent prosecution process is also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3" w:lineRule="exact"/>
        <w:rPr>
          <w:sz w:val="20"/>
          <w:szCs w:val="20"/>
          <w:color w:val="auto"/>
        </w:rPr>
      </w:pPr>
    </w:p>
    <w:p>
      <w:pPr>
        <w:jc w:val="both"/>
        <w:ind w:left="200" w:right="220" w:firstLine="771"/>
        <w:spacing w:after="0" w:line="25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including our GB002 and GB004, or otherwise experience disruptions to our business relationships with our licensors, we could lose license rights that are important to our business. Additionally, several of our license agreements include sublicenses from a third party, including for GB002 and GB004, and we must rely on the direct licensor’s compliance with its obligations under its original license agreement.</w:t>
      </w:r>
    </w:p>
    <w:p>
      <w:pPr>
        <w:spacing w:after="0" w:line="154"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We are a party to a number of license agreements under which we are granted rights to intellectual property that are important to our business and we may enter into additional license agreements in the future. For example, in October 2017, we entered into an exclusive license agreement with Pulmokine, Inc. to obtain an exclusive license to certain intellectual property rights to develop and commercialize GB002. In June 2018, we entered into an exclusive license agreement with Aerpio Pharmaceuticals, Inc., or Aerpio, to obtain an exclusive license to certain intellectual property rights to develop, manufacture and commercialize GB004.</w:t>
      </w:r>
    </w:p>
    <w:p>
      <w:pPr>
        <w:spacing w:after="0" w:line="188"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These and our other existing license agreements impose, and we expect that any future license agreements where we in-license intellectual property, will impose on us, various development, regulatory and/or commercial diligence obligations, payment of milestones and/or royalties and other obligations. If we fail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comply with our obligations under these agreements, or we are subject to bankruptcy-related proceedings, the licensor may have the right to terminate the license, in which event we would not be able to market products covered by the license. Additionally, several of our existing license agreements include sublicenses from a third party who is not the original licensor of the intellectual property at issue, including for GB002 and GB004. Under these agreements, we must rely on our direct licensor to comply with its obligations under the primary license agreements under which such licensor obtained rights in the applicable intellectual property, where we may have no relationship with the original licensor of such rights. If our licensors fail to comply with their obligations under these upstream license agreements,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67"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cannot provide any assurances that third-party patents do not exist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09" w:lineRule="exact"/>
        <w:rPr>
          <w:sz w:val="20"/>
          <w:szCs w:val="20"/>
          <w:color w:val="auto"/>
        </w:rPr>
      </w:pPr>
    </w:p>
    <w:p>
      <w:pPr>
        <w:ind w:left="1400" w:hanging="318"/>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52"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52" w:lineRule="exact"/>
        <w:rPr>
          <w:rFonts w:ascii="Arial" w:cs="Arial" w:eastAsia="Arial" w:hAnsi="Arial"/>
          <w:sz w:val="18"/>
          <w:szCs w:val="18"/>
          <w:color w:val="auto"/>
        </w:rPr>
      </w:pPr>
    </w:p>
    <w:p>
      <w:pPr>
        <w:ind w:left="1400" w:right="140" w:hanging="318"/>
        <w:spacing w:after="0" w:line="277"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81" w:lineRule="exact"/>
        <w:rPr>
          <w:sz w:val="20"/>
          <w:szCs w:val="20"/>
          <w:color w:val="auto"/>
        </w:rPr>
      </w:pPr>
    </w:p>
    <w:p>
      <w:pPr>
        <w:ind w:left="200" w:right="140" w:firstLine="771"/>
        <w:spacing w:after="0" w:line="279" w:lineRule="auto"/>
        <w:rPr>
          <w:sz w:val="20"/>
          <w:szCs w:val="20"/>
          <w:color w:val="auto"/>
        </w:rPr>
      </w:pPr>
      <w:r>
        <w:rPr>
          <w:rFonts w:ascii="Arial" w:cs="Arial" w:eastAsia="Arial" w:hAnsi="Arial"/>
          <w:sz w:val="17"/>
          <w:szCs w:val="17"/>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Aerpio or Pulmokine with respect to any licensed product, we may be required to pay to Pulmokine or Aerpio, as applicable, a specified percentage of all revenue to be received in connection with such transaction.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47"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87" w:lineRule="exact"/>
        <w:rPr>
          <w:sz w:val="20"/>
          <w:szCs w:val="20"/>
          <w:color w:val="auto"/>
        </w:rPr>
      </w:pPr>
    </w:p>
    <w:p>
      <w:pPr>
        <w:ind w:left="200" w:right="80" w:firstLine="771"/>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currently or in the future issue as patents, they may not issue in a form that will provide us with any meaningful protection, prevent competitors or other third parties from competing with us, or otherwise provide us with any competitive advantage. Any patents that we own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ind w:left="200" w:firstLine="771"/>
        <w:spacing w:after="0" w:line="285"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not cover our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or IPR, or other similar proceedings in the USPTO or foreign patent offices challenging our patent rights. The outcome following legal</w:t>
      </w:r>
      <w:r>
        <w:rPr>
          <w:rFonts w:ascii="Arial" w:cs="Arial" w:eastAsia="Arial" w:hAnsi="Arial"/>
          <w:sz w:val="16"/>
          <w:szCs w:val="16"/>
          <w:i w:val="1"/>
          <w:iCs w:val="1"/>
          <w:color w:val="auto"/>
        </w:rPr>
        <w:t xml:space="preserve"> </w:t>
      </w:r>
      <w:r>
        <w:rPr>
          <w:rFonts w:ascii="Arial" w:cs="Arial" w:eastAsia="Arial" w:hAnsi="Arial"/>
          <w:sz w:val="16"/>
          <w:szCs w:val="16"/>
          <w:color w:val="auto"/>
        </w:rPr>
        <w:t>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in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25" w:lineRule="exact"/>
        <w:rPr>
          <w:sz w:val="20"/>
          <w:szCs w:val="20"/>
          <w:color w:val="auto"/>
        </w:rPr>
      </w:pPr>
    </w:p>
    <w:p>
      <w:pPr>
        <w:ind w:left="200" w:right="100" w:firstLine="771"/>
        <w:spacing w:after="0" w:line="279" w:lineRule="auto"/>
        <w:rPr>
          <w:sz w:val="20"/>
          <w:szCs w:val="20"/>
          <w:color w:val="auto"/>
        </w:rPr>
      </w:pPr>
      <w:r>
        <w:rPr>
          <w:rFonts w:ascii="Arial" w:cs="Arial" w:eastAsia="Arial" w:hAnsi="Arial"/>
          <w:sz w:val="17"/>
          <w:szCs w:val="17"/>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auto"/>
        </w:rPr>
        <w:t>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8"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any of our product candidates, our ability to develop and commercialize those product candidates may be adversely affected and we may not be able to prevent competitors from making, using and selling competing products.</w:t>
      </w:r>
    </w:p>
    <w:p>
      <w:pPr>
        <w:spacing w:after="0" w:line="180" w:lineRule="exact"/>
        <w:rPr>
          <w:sz w:val="20"/>
          <w:szCs w:val="20"/>
          <w:color w:val="auto"/>
        </w:rPr>
      </w:pPr>
    </w:p>
    <w:p>
      <w:pPr>
        <w:jc w:val="both"/>
        <w:ind w:left="200" w:right="160" w:firstLine="771"/>
        <w:spacing w:after="0" w:line="264"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81" w:lineRule="exact"/>
        <w:rPr>
          <w:sz w:val="20"/>
          <w:szCs w:val="20"/>
          <w:color w:val="auto"/>
        </w:rPr>
      </w:pPr>
    </w:p>
    <w:p>
      <w:pPr>
        <w:ind w:left="200" w:right="280" w:firstLine="771"/>
        <w:spacing w:after="0" w:line="276" w:lineRule="auto"/>
        <w:rPr>
          <w:sz w:val="20"/>
          <w:szCs w:val="20"/>
          <w:color w:val="auto"/>
        </w:rPr>
      </w:pPr>
      <w:r>
        <w:rPr>
          <w:rFonts w:ascii="Arial" w:cs="Arial" w:eastAsia="Arial" w:hAnsi="Arial"/>
          <w:sz w:val="17"/>
          <w:szCs w:val="17"/>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73" w:lineRule="exact"/>
        <w:rPr>
          <w:sz w:val="20"/>
          <w:szCs w:val="20"/>
          <w:color w:val="auto"/>
        </w:rPr>
      </w:pPr>
    </w:p>
    <w:p>
      <w:pPr>
        <w:ind w:left="200" w:right="160" w:firstLine="771"/>
        <w:spacing w:after="0" w:line="279" w:lineRule="auto"/>
        <w:rPr>
          <w:sz w:val="20"/>
          <w:szCs w:val="20"/>
          <w:color w:val="auto"/>
        </w:rPr>
      </w:pPr>
      <w:r>
        <w:rPr>
          <w:rFonts w:ascii="Arial" w:cs="Arial" w:eastAsia="Arial" w:hAnsi="Arial"/>
          <w:sz w:val="17"/>
          <w:szCs w:val="17"/>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7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81" w:lineRule="exact"/>
        <w:rPr>
          <w:sz w:val="20"/>
          <w:szCs w:val="20"/>
          <w:color w:val="auto"/>
        </w:rPr>
      </w:pPr>
    </w:p>
    <w:p>
      <w:pPr>
        <w:ind w:left="200" w:right="20" w:firstLine="771"/>
        <w:spacing w:after="0" w:line="277"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certain federal regulations. For example, some of the research and development work on GB002 was funded by government research grants. As a result, the U.S. government may have certain rights to intellectual property embodied in our product candidates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1400" w:right="200" w:hanging="318"/>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197" w:lineRule="exact"/>
        <w:rPr>
          <w:rFonts w:ascii="Arial" w:cs="Arial" w:eastAsia="Arial" w:hAnsi="Arial"/>
          <w:sz w:val="18"/>
          <w:szCs w:val="18"/>
          <w:color w:val="auto"/>
        </w:rPr>
      </w:pPr>
    </w:p>
    <w:p>
      <w:pPr>
        <w:ind w:left="1400" w:right="620" w:hanging="318"/>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or our licensors or predecessors might not have been the first to file patent applications covering certain of our inventions;</w:t>
      </w:r>
    </w:p>
    <w:p>
      <w:pPr>
        <w:spacing w:after="0" w:line="263" w:lineRule="exact"/>
        <w:rPr>
          <w:rFonts w:ascii="Arial" w:cs="Arial" w:eastAsia="Arial" w:hAnsi="Arial"/>
          <w:sz w:val="17"/>
          <w:szCs w:val="17"/>
          <w:color w:val="auto"/>
        </w:rPr>
      </w:pPr>
    </w:p>
    <w:p>
      <w:pPr>
        <w:ind w:left="1400" w:right="520" w:hanging="318"/>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263" w:lineRule="exact"/>
        <w:rPr>
          <w:rFonts w:ascii="Arial" w:cs="Arial" w:eastAsia="Arial" w:hAnsi="Arial"/>
          <w:sz w:val="17"/>
          <w:szCs w:val="17"/>
          <w:color w:val="auto"/>
        </w:rPr>
      </w:pPr>
    </w:p>
    <w:p>
      <w:pPr>
        <w:ind w:left="1400" w:right="280" w:hanging="318"/>
        <w:spacing w:after="0" w:line="308"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3" w:lineRule="exact"/>
        <w:rPr>
          <w:rFonts w:ascii="Arial" w:cs="Arial" w:eastAsia="Arial" w:hAnsi="Arial"/>
          <w:sz w:val="17"/>
          <w:szCs w:val="17"/>
          <w:color w:val="auto"/>
        </w:rPr>
      </w:pPr>
    </w:p>
    <w:p>
      <w:pPr>
        <w:ind w:left="1400" w:hanging="318"/>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81" w:lineRule="exact"/>
        <w:rPr>
          <w:sz w:val="20"/>
          <w:szCs w:val="20"/>
          <w:color w:val="auto"/>
        </w:rPr>
      </w:pPr>
    </w:p>
    <w:p>
      <w:pPr>
        <w:ind w:left="200" w:right="40" w:firstLine="771"/>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2"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209" w:lineRule="exact"/>
        <w:rPr>
          <w:sz w:val="20"/>
          <w:szCs w:val="20"/>
          <w:color w:val="auto"/>
        </w:rPr>
      </w:pPr>
    </w:p>
    <w:p>
      <w:pPr>
        <w:ind w:left="1400" w:hanging="31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52" w:lineRule="exact"/>
        <w:rPr>
          <w:rFonts w:ascii="Arial" w:cs="Arial" w:eastAsia="Arial" w:hAnsi="Arial"/>
          <w:sz w:val="18"/>
          <w:szCs w:val="18"/>
          <w:color w:val="auto"/>
        </w:rPr>
      </w:pPr>
    </w:p>
    <w:p>
      <w:pPr>
        <w:ind w:left="1400" w:right="580" w:hanging="318"/>
        <w:spacing w:after="0" w:line="277"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52" w:lineRule="exact"/>
        <w:rPr>
          <w:rFonts w:ascii="Arial" w:cs="Arial" w:eastAsia="Arial" w:hAnsi="Arial"/>
          <w:sz w:val="18"/>
          <w:szCs w:val="18"/>
          <w:color w:val="auto"/>
        </w:rPr>
      </w:pPr>
    </w:p>
    <w:p>
      <w:pPr>
        <w:ind w:left="1400" w:right="300" w:hanging="318"/>
        <w:spacing w:after="0" w:line="308"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7"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240" w:top="459"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w:t>
      </w:r>
    </w:p>
    <w:p>
      <w:pPr>
        <w:spacing w:after="0" w:line="167" w:lineRule="exact"/>
        <w:rPr>
          <w:sz w:val="20"/>
          <w:szCs w:val="20"/>
          <w:color w:val="auto"/>
        </w:rPr>
      </w:pPr>
    </w:p>
    <w:p>
      <w:pPr>
        <w:ind w:left="200" w:firstLine="771"/>
        <w:spacing w:after="0" w:line="276"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3"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147" w:lineRule="exact"/>
        <w:rPr>
          <w:sz w:val="20"/>
          <w:szCs w:val="20"/>
          <w:color w:val="auto"/>
        </w:rPr>
      </w:pPr>
    </w:p>
    <w:p>
      <w:pPr>
        <w:ind w:left="200" w:right="20" w:firstLine="771"/>
        <w:spacing w:after="0" w:line="290" w:lineRule="auto"/>
        <w:rPr>
          <w:sz w:val="20"/>
          <w:szCs w:val="20"/>
          <w:color w:val="auto"/>
        </w:rPr>
      </w:pPr>
      <w:r>
        <w:rPr>
          <w:rFonts w:ascii="Arial" w:cs="Arial" w:eastAsia="Arial" w:hAnsi="Arial"/>
          <w:sz w:val="16"/>
          <w:szCs w:val="16"/>
          <w:color w:val="auto"/>
        </w:rPr>
        <w:t>Competitors may infringe our intellectual property rights or those of our licensors. To prevent infringement or unauthorized use, we and/or our licensors may be required to file infringement claims, which can be expensive and time 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66" w:lineRule="exact"/>
        <w:rPr>
          <w:sz w:val="20"/>
          <w:szCs w:val="20"/>
          <w:color w:val="auto"/>
        </w:rPr>
      </w:pPr>
    </w:p>
    <w:p>
      <w:pPr>
        <w:ind w:left="200" w:right="80" w:firstLine="771"/>
        <w:spacing w:after="0" w:line="279"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71" w:lineRule="exact"/>
        <w:rPr>
          <w:sz w:val="20"/>
          <w:szCs w:val="20"/>
          <w:color w:val="auto"/>
        </w:rPr>
      </w:pPr>
    </w:p>
    <w:p>
      <w:pPr>
        <w:ind w:left="200" w:right="60" w:firstLine="771"/>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771"/>
        <w:spacing w:after="0" w:line="26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0"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70"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Derivation or interference proceedings provoked by third parties or brought by us or declared by the USPTO or similar proceedings in foreign patent offices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67"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left="200" w:right="40" w:firstLine="771"/>
        <w:spacing w:after="0" w:line="269" w:lineRule="auto"/>
        <w:rPr>
          <w:sz w:val="20"/>
          <w:szCs w:val="20"/>
          <w:color w:val="auto"/>
        </w:rPr>
      </w:pPr>
      <w:r>
        <w:rPr>
          <w:rFonts w:ascii="Arial" w:cs="Arial" w:eastAsia="Arial" w:hAnsi="Arial"/>
          <w:sz w:val="17"/>
          <w:szCs w:val="17"/>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w:t>
      </w:r>
    </w:p>
    <w:p>
      <w:pPr>
        <w:spacing w:after="0" w:line="183" w:lineRule="exact"/>
        <w:rPr>
          <w:sz w:val="20"/>
          <w:szCs w:val="20"/>
          <w:color w:val="auto"/>
        </w:rPr>
      </w:pPr>
    </w:p>
    <w:p>
      <w:pPr>
        <w:jc w:val="both"/>
        <w:ind w:left="200" w:right="140" w:firstLine="771"/>
        <w:spacing w:after="0" w:line="312" w:lineRule="auto"/>
        <w:rPr>
          <w:sz w:val="20"/>
          <w:szCs w:val="20"/>
          <w:color w:val="auto"/>
        </w:rPr>
      </w:pPr>
      <w:r>
        <w:rPr>
          <w:rFonts w:ascii="Arial" w:cs="Arial" w:eastAsia="Arial" w:hAnsi="Arial"/>
          <w:sz w:val="16"/>
          <w:szCs w:val="16"/>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adverse determination in any such submission or proceeding could reduce the scope or enforceability of, or invalidate, our patent rights, which could adversely affect our competitive position.</w:t>
      </w:r>
    </w:p>
    <w:p>
      <w:pPr>
        <w:spacing w:after="0" w:line="170" w:lineRule="exact"/>
        <w:rPr>
          <w:sz w:val="20"/>
          <w:szCs w:val="20"/>
          <w:color w:val="auto"/>
        </w:rPr>
      </w:pPr>
    </w:p>
    <w:p>
      <w:pPr>
        <w:ind w:left="200" w:right="80" w:firstLine="771"/>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0"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9"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product candidates, patents protecting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25" w:lineRule="exact"/>
        <w:rPr>
          <w:sz w:val="20"/>
          <w:szCs w:val="20"/>
          <w:color w:val="auto"/>
        </w:rPr>
      </w:pPr>
    </w:p>
    <w:p>
      <w:pPr>
        <w:ind w:left="200" w:right="20" w:firstLine="771"/>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Although we have issued patents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7"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6" w:lineRule="exact"/>
        <w:rPr>
          <w:sz w:val="20"/>
          <w:szCs w:val="20"/>
          <w:color w:val="auto"/>
        </w:rPr>
      </w:pPr>
    </w:p>
    <w:p>
      <w:pPr>
        <w:ind w:left="200" w:right="10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81"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left="200" w:right="200" w:firstLine="771"/>
        <w:spacing w:after="0" w:line="272"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178" w:lineRule="exact"/>
        <w:rPr>
          <w:sz w:val="20"/>
          <w:szCs w:val="20"/>
          <w:color w:val="auto"/>
        </w:rPr>
      </w:pPr>
    </w:p>
    <w:p>
      <w:pPr>
        <w:ind w:left="200" w:right="140" w:firstLine="771"/>
        <w:spacing w:after="0" w:line="276"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73"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70" w:lineRule="exact"/>
        <w:rPr>
          <w:sz w:val="20"/>
          <w:szCs w:val="20"/>
          <w:color w:val="auto"/>
        </w:rPr>
      </w:pPr>
    </w:p>
    <w:p>
      <w:pPr>
        <w:ind w:left="200" w:right="80" w:firstLine="771"/>
        <w:spacing w:after="0" w:line="255"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you may not be able to resell your common stock at or above the public offering price.</w:t>
      </w:r>
    </w:p>
    <w:p>
      <w:pPr>
        <w:spacing w:after="0" w:line="170" w:lineRule="exact"/>
        <w:rPr>
          <w:sz w:val="20"/>
          <w:szCs w:val="20"/>
          <w:color w:val="auto"/>
        </w:rPr>
      </w:pPr>
    </w:p>
    <w:p>
      <w:pPr>
        <w:ind w:left="200" w:right="60" w:firstLine="771"/>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Although we expect to list our common stock on the Nasdaq Global Select Market, or Nasdaq, an active trading market for our common stock may never develop or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The trading price of the shares of our common stock could be highly volatile, and purchasers of our common stock could incur substantial losses.</w:t>
      </w:r>
    </w:p>
    <w:p>
      <w:pPr>
        <w:spacing w:after="0" w:line="248" w:lineRule="exact"/>
        <w:rPr>
          <w:sz w:val="20"/>
          <w:szCs w:val="20"/>
          <w:color w:val="auto"/>
        </w:rPr>
      </w:pPr>
    </w:p>
    <w:p>
      <w:pPr>
        <w:ind w:left="200" w:right="320" w:firstLine="771"/>
        <w:spacing w:after="0" w:line="279" w:lineRule="auto"/>
        <w:rPr>
          <w:sz w:val="20"/>
          <w:szCs w:val="20"/>
          <w:color w:val="auto"/>
        </w:rPr>
      </w:pPr>
      <w:r>
        <w:rPr>
          <w:rFonts w:ascii="Arial" w:cs="Arial" w:eastAsia="Arial" w:hAnsi="Arial"/>
          <w:sz w:val="17"/>
          <w:szCs w:val="17"/>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198" w:lineRule="exact"/>
        <w:rPr>
          <w:sz w:val="20"/>
          <w:szCs w:val="20"/>
          <w:color w:val="auto"/>
        </w:rPr>
      </w:pPr>
    </w:p>
    <w:p>
      <w:pPr>
        <w:ind w:left="1400" w:hanging="318"/>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enroll subjects in our ongoing and planned clinical trials;</w:t>
      </w:r>
    </w:p>
    <w:p>
      <w:pPr>
        <w:spacing w:after="0" w:line="252" w:lineRule="exact"/>
        <w:rPr>
          <w:rFonts w:ascii="Arial" w:cs="Arial" w:eastAsia="Arial" w:hAnsi="Arial"/>
          <w:sz w:val="18"/>
          <w:szCs w:val="18"/>
          <w:color w:val="auto"/>
        </w:rPr>
      </w:pPr>
    </w:p>
    <w:p>
      <w:pPr>
        <w:ind w:left="1400" w:right="40" w:hanging="318"/>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and the results of trials of our competitors or those of other companies in our market sector;</w:t>
      </w:r>
    </w:p>
    <w:p>
      <w:pPr>
        <w:spacing w:after="0" w:line="197"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especially in light of current reforms to the U.S. healthcare system;</w:t>
      </w:r>
    </w:p>
    <w:p>
      <w:pPr>
        <w:spacing w:after="0" w:line="263" w:lineRule="exact"/>
        <w:rPr>
          <w:rFonts w:ascii="Arial" w:cs="Arial" w:eastAsia="Arial" w:hAnsi="Arial"/>
          <w:sz w:val="17"/>
          <w:szCs w:val="17"/>
          <w:color w:val="auto"/>
        </w:rPr>
      </w:pPr>
    </w:p>
    <w:p>
      <w:pPr>
        <w:ind w:left="1400" w:hanging="318"/>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263" w:lineRule="exact"/>
        <w:rPr>
          <w:rFonts w:ascii="Arial" w:cs="Arial" w:eastAsia="Arial" w:hAnsi="Arial"/>
          <w:sz w:val="17"/>
          <w:szCs w:val="17"/>
          <w:color w:val="auto"/>
        </w:rPr>
      </w:pPr>
    </w:p>
    <w:p>
      <w:pPr>
        <w:ind w:left="1400" w:hanging="318"/>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changes to our relationship with any manufacturers, suppliers, licensors, future collaborators or other strategic partners;</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25" w:lineRule="exact"/>
        <w:rPr>
          <w:sz w:val="20"/>
          <w:szCs w:val="20"/>
          <w:color w:val="auto"/>
        </w:rPr>
      </w:pPr>
    </w:p>
    <w:p>
      <w:pPr>
        <w:ind w:left="200" w:firstLine="771"/>
        <w:spacing w:after="0" w:line="286" w:lineRule="auto"/>
        <w:rPr>
          <w:sz w:val="20"/>
          <w:szCs w:val="20"/>
          <w:color w:val="auto"/>
        </w:rPr>
      </w:pPr>
      <w:r>
        <w:rPr>
          <w:rFonts w:ascii="Arial" w:cs="Arial" w:eastAsia="Arial" w:hAnsi="Arial"/>
          <w:sz w:val="17"/>
          <w:szCs w:val="17"/>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could result in a delisting of our common stock.</w:t>
      </w:r>
    </w:p>
    <w:p>
      <w:pPr>
        <w:spacing w:after="0" w:line="225" w:lineRule="exact"/>
        <w:rPr>
          <w:sz w:val="20"/>
          <w:szCs w:val="20"/>
          <w:color w:val="auto"/>
        </w:rPr>
      </w:pPr>
    </w:p>
    <w:p>
      <w:pPr>
        <w:ind w:left="200" w:right="80" w:firstLine="771"/>
        <w:spacing w:after="0" w:line="273" w:lineRule="auto"/>
        <w:rPr>
          <w:sz w:val="20"/>
          <w:szCs w:val="20"/>
          <w:color w:val="auto"/>
        </w:rPr>
      </w:pPr>
      <w:r>
        <w:rPr>
          <w:rFonts w:ascii="Arial" w:cs="Arial" w:eastAsia="Arial" w:hAnsi="Arial"/>
          <w:sz w:val="17"/>
          <w:szCs w:val="17"/>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25"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the common stock you purchase.</w:t>
      </w:r>
    </w:p>
    <w:p>
      <w:pPr>
        <w:spacing w:after="0" w:line="225" w:lineRule="exact"/>
        <w:rPr>
          <w:sz w:val="20"/>
          <w:szCs w:val="20"/>
          <w:color w:val="auto"/>
        </w:rPr>
      </w:pPr>
    </w:p>
    <w:p>
      <w:pPr>
        <w:ind w:left="200" w:right="120" w:firstLine="771"/>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outstanding common stock immediately after the completion of this offering. Purchasers of common stock in this offering will experience</w:t>
      </w:r>
    </w:p>
    <w:p>
      <w:pPr>
        <w:jc w:val="both"/>
        <w:ind w:left="200" w:right="140"/>
        <w:spacing w:after="0" w:line="273" w:lineRule="auto"/>
        <w:rPr>
          <w:sz w:val="20"/>
          <w:szCs w:val="20"/>
          <w:color w:val="auto"/>
        </w:rPr>
      </w:pPr>
      <w:r>
        <w:rPr>
          <w:rFonts w:ascii="Arial" w:cs="Arial" w:eastAsia="Arial" w:hAnsi="Arial"/>
          <w:sz w:val="17"/>
          <w:szCs w:val="17"/>
          <w:color w:val="auto"/>
        </w:rPr>
        <w:t>immediate dilution of approximately $ per share, assuming an initial public offering price of $ per share, the midpoint of the price range set forth on the cover of this prospectus.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“Dilution.”</w:t>
      </w:r>
    </w:p>
    <w:p>
      <w:pPr>
        <w:spacing w:after="0" w:line="177"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 Furthermore, many of our current directors were appointed by our principal stockholders, and one such principal stockholder, HH Goss Holdings LLC, has the right to designate one member to our board of directors and have such member appointed to any board committee that it requests effective as of the closing of this offering.</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Following the completion of this offering, our executive officers, directors and greater than 5% stockholders, in the aggregate, will own</w:t>
      </w:r>
    </w:p>
    <w:p>
      <w:pPr>
        <w:spacing w:after="0" w:line="35"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approximately % of our outstanding common stock (assuming no exercise of the underwriters’ option to purchase additional shares and no exercise of outstanding options). Furthermore, many of our current directors were appointed by our principal stockholders, and one such principal stockholder,</w:t>
      </w:r>
    </w:p>
    <w:p>
      <w:pPr>
        <w:spacing w:after="0" w:line="1" w:lineRule="exact"/>
        <w:rPr>
          <w:sz w:val="20"/>
          <w:szCs w:val="20"/>
          <w:color w:val="auto"/>
        </w:rPr>
      </w:pPr>
    </w:p>
    <w:p>
      <w:pPr>
        <w:ind w:left="200" w:right="60" w:firstLine="4"/>
        <w:spacing w:after="0" w:line="268" w:lineRule="auto"/>
        <w:tabs>
          <w:tab w:leader="none" w:pos="5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Goss Holdings LLC, subject to certain conditions, has the right to designate one member to our board of directors and have such member appointed to any board committee that it requests effective as of the closing of this offering. See “Certain Relationships and Related Person Transactions—Board Designation Agreement with Hillhouse.”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70" w:lineRule="exact"/>
        <w:rPr>
          <w:sz w:val="20"/>
          <w:szCs w:val="20"/>
          <w:color w:val="auto"/>
        </w:rPr>
      </w:pPr>
    </w:p>
    <w:p>
      <w:pPr>
        <w:ind w:left="200" w:right="260" w:firstLine="771"/>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by our existing stockholders in the public market could cause our stock price to fall.</w:t>
      </w:r>
    </w:p>
    <w:p>
      <w:pPr>
        <w:spacing w:after="0" w:line="260" w:lineRule="exact"/>
        <w:rPr>
          <w:sz w:val="20"/>
          <w:szCs w:val="20"/>
          <w:color w:val="auto"/>
        </w:rPr>
      </w:pPr>
    </w:p>
    <w:p>
      <w:pPr>
        <w:ind w:left="200" w:right="640" w:firstLine="771"/>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42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519"/>
        </w:trPr>
        <w:tc>
          <w:tcPr>
            <w:tcW w:w="640" w:type="dxa"/>
            <w:vAlign w:val="bottom"/>
          </w:tcPr>
          <w:p>
            <w:pPr>
              <w:spacing w:after="0"/>
              <w:rPr>
                <w:sz w:val="24"/>
                <w:szCs w:val="24"/>
                <w:color w:val="auto"/>
              </w:rPr>
            </w:pPr>
          </w:p>
        </w:tc>
        <w:tc>
          <w:tcPr>
            <w:tcW w:w="10440" w:type="dxa"/>
            <w:vAlign w:val="bottom"/>
            <w:gridSpan w:val="3"/>
          </w:tcPr>
          <w:p>
            <w:pPr>
              <w:ind w:left="340"/>
              <w:spacing w:after="0"/>
              <w:rPr>
                <w:sz w:val="20"/>
                <w:szCs w:val="20"/>
                <w:color w:val="auto"/>
              </w:rPr>
            </w:pPr>
            <w:r>
              <w:rPr>
                <w:rFonts w:ascii="Arial" w:cs="Arial" w:eastAsia="Arial" w:hAnsi="Arial"/>
                <w:sz w:val="18"/>
                <w:szCs w:val="18"/>
                <w:color w:val="auto"/>
                <w:w w:val="91"/>
              </w:rPr>
              <w:t>Based on shares of common stock outstanding as of September 30, 2018, upon the closing of this offering, we will have outstanding a total</w:t>
            </w:r>
          </w:p>
        </w:tc>
      </w:tr>
      <w:tr>
        <w:trPr>
          <w:trHeight w:val="216"/>
        </w:trPr>
        <w:tc>
          <w:tcPr>
            <w:tcW w:w="640" w:type="dxa"/>
            <w:vAlign w:val="bottom"/>
          </w:tcPr>
          <w:p>
            <w:pPr>
              <w:ind w:left="200"/>
              <w:spacing w:after="0"/>
              <w:rPr>
                <w:sz w:val="20"/>
                <w:szCs w:val="20"/>
                <w:color w:val="auto"/>
              </w:rPr>
            </w:pPr>
            <w:r>
              <w:rPr>
                <w:rFonts w:ascii="Arial" w:cs="Arial" w:eastAsia="Arial" w:hAnsi="Arial"/>
                <w:sz w:val="18"/>
                <w:szCs w:val="18"/>
                <w:color w:val="auto"/>
              </w:rPr>
              <w:t>of</w:t>
            </w:r>
          </w:p>
        </w:tc>
        <w:tc>
          <w:tcPr>
            <w:tcW w:w="10440" w:type="dxa"/>
            <w:vAlign w:val="bottom"/>
            <w:gridSpan w:val="3"/>
          </w:tcPr>
          <w:p>
            <w:pPr>
              <w:ind w:left="300"/>
              <w:spacing w:after="0"/>
              <w:rPr>
                <w:sz w:val="20"/>
                <w:szCs w:val="20"/>
                <w:color w:val="auto"/>
              </w:rPr>
            </w:pPr>
            <w:r>
              <w:rPr>
                <w:rFonts w:ascii="Arial" w:cs="Arial" w:eastAsia="Arial" w:hAnsi="Arial"/>
                <w:sz w:val="18"/>
                <w:szCs w:val="18"/>
                <w:color w:val="auto"/>
                <w:w w:val="90"/>
              </w:rPr>
              <w:t>shares of common stock after this offering, assuming no exercise of the underwriters’ option to purchase additional shares and no exercise of</w:t>
            </w:r>
          </w:p>
        </w:tc>
      </w:tr>
      <w:tr>
        <w:trPr>
          <w:trHeight w:val="230"/>
        </w:trPr>
        <w:tc>
          <w:tcPr>
            <w:tcW w:w="3780" w:type="dxa"/>
            <w:vAlign w:val="bottom"/>
            <w:gridSpan w:val="3"/>
          </w:tcPr>
          <w:p>
            <w:pPr>
              <w:ind w:left="200"/>
              <w:spacing w:after="0"/>
              <w:rPr>
                <w:sz w:val="20"/>
                <w:szCs w:val="20"/>
                <w:color w:val="auto"/>
              </w:rPr>
            </w:pPr>
            <w:r>
              <w:rPr>
                <w:rFonts w:ascii="Arial" w:cs="Arial" w:eastAsia="Arial" w:hAnsi="Arial"/>
                <w:sz w:val="18"/>
                <w:szCs w:val="18"/>
                <w:color w:val="auto"/>
                <w:w w:val="97"/>
              </w:rPr>
              <w:t>outstanding options. Of these shares, only the</w:t>
            </w:r>
          </w:p>
        </w:tc>
        <w:tc>
          <w:tcPr>
            <w:tcW w:w="7300" w:type="dxa"/>
            <w:vAlign w:val="bottom"/>
          </w:tcPr>
          <w:p>
            <w:pPr>
              <w:ind w:left="280"/>
              <w:spacing w:after="0"/>
              <w:rPr>
                <w:sz w:val="20"/>
                <w:szCs w:val="20"/>
                <w:color w:val="auto"/>
              </w:rPr>
            </w:pPr>
            <w:r>
              <w:rPr>
                <w:rFonts w:ascii="Arial" w:cs="Arial" w:eastAsia="Arial" w:hAnsi="Arial"/>
                <w:sz w:val="18"/>
                <w:szCs w:val="18"/>
                <w:color w:val="auto"/>
                <w:w w:val="94"/>
              </w:rPr>
              <w:t>shares of common stock sold in this offering by us, plus any shares sold upon exercise of the</w:t>
            </w:r>
          </w:p>
        </w:tc>
      </w:tr>
    </w:tbl>
    <w:p>
      <w:pPr>
        <w:ind w:left="200"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option to purchase additional shares, will be freely tradable, without restriction, in the public market immediately following this offering, unless they are purchased by one of our affiliates.</w:t>
      </w:r>
    </w:p>
    <w:p>
      <w:pPr>
        <w:spacing w:after="0" w:line="184" w:lineRule="exact"/>
        <w:rPr>
          <w:sz w:val="20"/>
          <w:szCs w:val="20"/>
          <w:color w:val="auto"/>
        </w:rPr>
      </w:pPr>
    </w:p>
    <w:p>
      <w:pPr>
        <w:ind w:left="200" w:right="140" w:firstLine="771"/>
        <w:spacing w:after="0" w:line="288" w:lineRule="auto"/>
        <w:rPr>
          <w:sz w:val="20"/>
          <w:szCs w:val="20"/>
          <w:color w:val="auto"/>
        </w:rPr>
      </w:pPr>
      <w:r>
        <w:rPr>
          <w:rFonts w:ascii="Arial" w:cs="Arial" w:eastAsia="Arial" w:hAnsi="Arial"/>
          <w:sz w:val="16"/>
          <w:szCs w:val="16"/>
          <w:color w:val="auto"/>
        </w:rPr>
        <w:t>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Merrill Lynch, Pierce, Fenner &amp; Smith Incorporated, Leerink</w:t>
      </w:r>
    </w:p>
    <w:p>
      <w:pPr>
        <w:ind w:left="200" w:right="140"/>
        <w:spacing w:after="0" w:line="281" w:lineRule="auto"/>
        <w:rPr>
          <w:sz w:val="20"/>
          <w:szCs w:val="20"/>
          <w:color w:val="auto"/>
        </w:rPr>
      </w:pPr>
      <w:r>
        <w:rPr>
          <w:rFonts w:ascii="Arial" w:cs="Arial" w:eastAsia="Arial" w:hAnsi="Arial"/>
          <w:sz w:val="16"/>
          <w:szCs w:val="16"/>
          <w:color w:val="auto"/>
        </w:rPr>
        <w:t>Partners LLC and Barclays Capital Inc. Such exceptions include the ability of certain of our executive officers to sell up to $ of shares of common stock to satisfy certain tax liabilities related to their previous acquisition of shares. The underwriters may permit our officers, directors and other stockholders and the holders of our outstanding options who are subject to the lock-up agreements to sell shares prior to the expiration of the lock-up agreements, subject to limitations. See “Underwriting.” Sales of these shares, or perceptions that they will be sold, could cause the trading price of our</w:t>
      </w:r>
    </w:p>
    <w:p>
      <w:pPr>
        <w:spacing w:after="0" w:line="3"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common stock to decline. After the lock-up agreements expire, up to an additional shares of common stock will be eligible for sale in the public market of which shares are held by directors, executive officers and other affiliates and will be subject to volume limitations under Rule 144 under the Securities Act.</w:t>
      </w:r>
    </w:p>
    <w:p>
      <w:pPr>
        <w:spacing w:after="0" w:line="190"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In addition, as of September 30, 2018, up to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71" w:lineRule="exact"/>
        <w:rPr>
          <w:sz w:val="20"/>
          <w:szCs w:val="20"/>
          <w:color w:val="auto"/>
        </w:rPr>
      </w:pPr>
    </w:p>
    <w:p>
      <w:pPr>
        <w:ind w:left="200" w:right="120" w:firstLine="771"/>
        <w:spacing w:after="0" w:line="255" w:lineRule="auto"/>
        <w:rPr>
          <w:sz w:val="20"/>
          <w:szCs w:val="20"/>
          <w:color w:val="auto"/>
        </w:rPr>
      </w:pPr>
      <w:r>
        <w:rPr>
          <w:rFonts w:ascii="Arial" w:cs="Arial" w:eastAsia="Arial" w:hAnsi="Arial"/>
          <w:sz w:val="18"/>
          <w:szCs w:val="18"/>
          <w:color w:val="auto"/>
        </w:rPr>
        <w:t>After this offering, the holders of shares of our outstanding common stock, or approximately % of our total outstanding common stock as of September 30, 2018, will be 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9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5" w:lineRule="exact"/>
        <w:rPr>
          <w:sz w:val="20"/>
          <w:szCs w:val="20"/>
          <w:color w:val="auto"/>
        </w:rPr>
      </w:pPr>
    </w:p>
    <w:p>
      <w:pPr>
        <w:ind w:left="1400" w:right="160" w:hanging="318"/>
        <w:spacing w:after="0" w:line="26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08" w:lineRule="exact"/>
        <w:rPr>
          <w:rFonts w:ascii="Arial" w:cs="Arial" w:eastAsia="Arial" w:hAnsi="Arial"/>
          <w:sz w:val="18"/>
          <w:szCs w:val="18"/>
          <w:color w:val="auto"/>
        </w:rPr>
      </w:pPr>
    </w:p>
    <w:p>
      <w:pPr>
        <w:ind w:left="5620" w:right="60" w:hanging="4538"/>
        <w:spacing w:after="0" w:line="449" w:lineRule="auto"/>
        <w:tabs>
          <w:tab w:leader="none" w:pos="1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60</w:t>
      </w:r>
    </w:p>
    <w:p>
      <w:pPr>
        <w:sectPr>
          <w:pgSz w:w="11900" w:h="16838" w:orient="portrait"/>
          <w:cols w:equalWidth="0" w:num="1">
            <w:col w:w="11220"/>
          </w:cols>
          <w:pgMar w:left="240" w:top="446"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line="264" w:lineRule="auto"/>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8" w:lineRule="exact"/>
        <w:rPr>
          <w:rFonts w:ascii="Arial" w:cs="Arial" w:eastAsia="Arial" w:hAnsi="Arial"/>
          <w:sz w:val="18"/>
          <w:szCs w:val="18"/>
          <w:color w:val="auto"/>
        </w:rPr>
      </w:pPr>
    </w:p>
    <w:p>
      <w:pPr>
        <w:ind w:left="1400" w:hanging="318"/>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400" w:right="140" w:hanging="318"/>
        <w:spacing w:after="0" w:line="277" w:lineRule="auto"/>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200" w:right="80" w:firstLine="771"/>
        <w:spacing w:after="0" w:line="290" w:lineRule="auto"/>
        <w:rPr>
          <w:sz w:val="20"/>
          <w:szCs w:val="20"/>
          <w:color w:val="auto"/>
        </w:rPr>
      </w:pPr>
      <w:r>
        <w:rPr>
          <w:rFonts w:ascii="Arial" w:cs="Arial" w:eastAsia="Arial" w:hAnsi="Arial"/>
          <w:sz w:val="16"/>
          <w:szCs w:val="16"/>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6"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requirements of the Exchange Act, which will require, among other things, that we file with the U.S. Securities and Exchange Commission, or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8" w:lineRule="exact"/>
        <w:rPr>
          <w:sz w:val="20"/>
          <w:szCs w:val="20"/>
          <w:color w:val="auto"/>
        </w:rPr>
      </w:pPr>
    </w:p>
    <w:p>
      <w:pPr>
        <w:jc w:val="both"/>
        <w:ind w:left="200" w:right="100" w:firstLine="771"/>
        <w:spacing w:after="0" w:line="286"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w:t>
      </w:r>
    </w:p>
    <w:p>
      <w:pPr>
        <w:spacing w:after="0" w:line="2"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0"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3" w:lineRule="exact"/>
        <w:rPr>
          <w:sz w:val="20"/>
          <w:szCs w:val="20"/>
          <w:color w:val="auto"/>
        </w:rPr>
      </w:pPr>
    </w:p>
    <w:p>
      <w:pPr>
        <w:ind w:left="200" w:right="16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1"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2019.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97" w:lineRule="exact"/>
        <w:rPr>
          <w:sz w:val="20"/>
          <w:szCs w:val="20"/>
          <w:color w:val="auto"/>
        </w:rPr>
      </w:pPr>
    </w:p>
    <w:p>
      <w:pPr>
        <w:ind w:left="200" w:right="60" w:firstLine="771"/>
        <w:spacing w:after="0" w:line="271"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14" w:lineRule="exact"/>
        <w:rPr>
          <w:sz w:val="20"/>
          <w:szCs w:val="20"/>
          <w:color w:val="auto"/>
        </w:rPr>
      </w:pPr>
    </w:p>
    <w:p>
      <w:pPr>
        <w:ind w:left="1400" w:right="180" w:hanging="318"/>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40" w:hanging="318"/>
        <w:spacing w:after="0" w:line="264"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08"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97" w:lineRule="exact"/>
        <w:rPr>
          <w:rFonts w:ascii="Arial" w:cs="Arial" w:eastAsia="Arial" w:hAnsi="Arial"/>
          <w:sz w:val="18"/>
          <w:szCs w:val="18"/>
          <w:color w:val="auto"/>
        </w:rPr>
      </w:pPr>
    </w:p>
    <w:p>
      <w:pPr>
        <w:ind w:left="1400" w:right="80" w:hanging="318"/>
        <w:spacing w:after="0" w:line="264"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08" w:lineRule="exact"/>
        <w:rPr>
          <w:rFonts w:ascii="Arial" w:cs="Arial" w:eastAsia="Arial" w:hAnsi="Arial"/>
          <w:sz w:val="18"/>
          <w:szCs w:val="18"/>
          <w:color w:val="auto"/>
        </w:rPr>
      </w:pPr>
    </w:p>
    <w:p>
      <w:pPr>
        <w:ind w:left="1400" w:hanging="318"/>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52" w:lineRule="exact"/>
        <w:rPr>
          <w:rFonts w:ascii="Arial" w:cs="Arial" w:eastAsia="Arial" w:hAnsi="Arial"/>
          <w:sz w:val="18"/>
          <w:szCs w:val="18"/>
          <w:color w:val="auto"/>
        </w:rPr>
      </w:pPr>
    </w:p>
    <w:p>
      <w:pPr>
        <w:ind w:left="1400" w:right="180" w:hanging="318"/>
        <w:spacing w:after="0" w:line="342" w:lineRule="auto"/>
        <w:tabs>
          <w:tab w:leader="none" w:pos="1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50" w:lineRule="exact"/>
        <w:rPr>
          <w:rFonts w:ascii="Arial" w:cs="Arial" w:eastAsia="Arial" w:hAnsi="Arial"/>
          <w:sz w:val="16"/>
          <w:szCs w:val="16"/>
          <w:color w:val="auto"/>
        </w:rPr>
      </w:pPr>
    </w:p>
    <w:p>
      <w:pPr>
        <w:ind w:left="1400" w:right="140" w:hanging="318"/>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7" w:lineRule="exact"/>
        <w:rPr>
          <w:rFonts w:ascii="Arial" w:cs="Arial" w:eastAsia="Arial" w:hAnsi="Arial"/>
          <w:sz w:val="18"/>
          <w:szCs w:val="18"/>
          <w:color w:val="auto"/>
        </w:rPr>
      </w:pPr>
    </w:p>
    <w:p>
      <w:pPr>
        <w:ind w:left="1400" w:right="320" w:hanging="318"/>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97" w:lineRule="exact"/>
        <w:rPr>
          <w:rFonts w:ascii="Arial" w:cs="Arial" w:eastAsia="Arial" w:hAnsi="Arial"/>
          <w:sz w:val="18"/>
          <w:szCs w:val="18"/>
          <w:color w:val="auto"/>
        </w:rPr>
      </w:pPr>
    </w:p>
    <w:p>
      <w:pPr>
        <w:ind w:left="1400" w:right="40" w:hanging="318"/>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97" w:lineRule="exact"/>
        <w:rPr>
          <w:rFonts w:ascii="Arial" w:cs="Arial" w:eastAsia="Arial" w:hAnsi="Arial"/>
          <w:sz w:val="18"/>
          <w:szCs w:val="18"/>
          <w:color w:val="auto"/>
        </w:rPr>
      </w:pPr>
    </w:p>
    <w:p>
      <w:pPr>
        <w:jc w:val="both"/>
        <w:ind w:left="1400" w:right="80" w:hanging="318"/>
        <w:spacing w:after="0" w:line="286" w:lineRule="auto"/>
        <w:tabs>
          <w:tab w:leader="none" w:pos="1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6"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6"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will</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24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this offering or other ownership changes.</w:t>
      </w:r>
    </w:p>
    <w:p>
      <w:pPr>
        <w:spacing w:after="0" w:line="170"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(if at all). At December 31, 2017, we had federal and state net operating loss, or NOL, carryforwards of approximately $1.1 million and $1.1 million, respectively. Such federal and state NOL carryforwards will begin to expire in 2036, unless previously utilized.</w:t>
      </w:r>
    </w:p>
    <w:p>
      <w:pPr>
        <w:spacing w:after="0" w:line="154" w:lineRule="exact"/>
        <w:rPr>
          <w:sz w:val="20"/>
          <w:szCs w:val="20"/>
          <w:color w:val="auto"/>
        </w:rPr>
      </w:pPr>
    </w:p>
    <w:p>
      <w:pPr>
        <w:ind w:left="200" w:right="20" w:firstLine="771"/>
        <w:spacing w:after="0" w:line="269" w:lineRule="auto"/>
        <w:rPr>
          <w:sz w:val="20"/>
          <w:szCs w:val="20"/>
          <w:color w:val="auto"/>
        </w:rPr>
      </w:pPr>
      <w:r>
        <w:rPr>
          <w:rFonts w:ascii="Arial" w:cs="Arial" w:eastAsia="Arial" w:hAnsi="Arial"/>
          <w:sz w:val="17"/>
          <w:szCs w:val="17"/>
          <w:color w:val="auto"/>
        </w:rPr>
        <w:t>Under recently enacted U.S. tax legislation, federal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 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potential changes in connection with this offering. Similar rules may apply under state tax laws. We have not yet determined the amount of the cumulative change in our ownership resulting from this offering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225"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The Tax Act has significantly changed the U.S. federal income taxation of U.S. corporations, including by reducing the U.S. corporate income tax rate and revising the rules governing NOLs. Many of these changes are effective beginning in 2018, without any transition periods or grandfathering for existing transactions. The legislation is unclear in many respects and could be subject to potential amendments and technical corrections, as well as interpretations and implementing regulations by the U.S. Treasury Department and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As a result of the rate reduction from the Tax Act, we have reduced our deferred tax asset balance as of December 31, 2017 by $0.8 million. However, due to our full valuation allowance position, there was no net impact on our income tax provision at December 31, 2017, as the reduction in the deferred tax asset balance was fully offset by a corresponding decrease in the valuation allowance.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40" w:firstLine="771"/>
        <w:spacing w:after="0" w:line="270"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the anticipated timing, costs, design and conduct of our planned clinical trials for our product candidates and preclinical studies and clinical trials for our other development programs, the timing and likelihood of regulatory filings and approvals for our product candidates, our ability to commercialize our other product candidates, if approved, the pricing and reimbursement of our product candidates, if approved, the potential benefits of strategic collaborations and our ability to enter into strategic arrangements,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“Where You Can Find More Information.”</w:t>
      </w:r>
    </w:p>
    <w:p>
      <w:pPr>
        <w:spacing w:after="0" w:line="172" w:lineRule="exact"/>
        <w:rPr>
          <w:sz w:val="20"/>
          <w:szCs w:val="20"/>
          <w:color w:val="auto"/>
        </w:rPr>
      </w:pPr>
    </w:p>
    <w:p>
      <w:pPr>
        <w:ind w:left="200" w:right="120" w:firstLine="77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771"/>
        <w:spacing w:after="0" w:line="287" w:lineRule="auto"/>
        <w:rPr>
          <w:sz w:val="20"/>
          <w:szCs w:val="20"/>
          <w:color w:val="auto"/>
        </w:rPr>
      </w:pPr>
      <w:r>
        <w:rPr>
          <w:rFonts w:ascii="Arial" w:cs="Arial" w:eastAsia="Arial" w:hAnsi="Arial"/>
          <w:sz w:val="16"/>
          <w:szCs w:val="16"/>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References in this prospectus to data provided by Datamonitor refer to Datamonitor Healthcare | Informa Pharma Intelligence.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“Risk Factors.” These and other factors could cause results to differ materially from those expressed in the estimates made by the independent parties or by us.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3320" w:type="dxa"/>
            <w:vAlign w:val="bottom"/>
          </w:tcPr>
          <w:p>
            <w:pPr>
              <w:ind w:left="1260"/>
              <w:spacing w:after="0"/>
              <w:rPr>
                <w:sz w:val="20"/>
                <w:szCs w:val="20"/>
                <w:color w:val="auto"/>
              </w:rPr>
            </w:pPr>
            <w:r>
              <w:rPr>
                <w:rFonts w:ascii="Arial" w:cs="Arial" w:eastAsia="Arial" w:hAnsi="Arial"/>
                <w:sz w:val="18"/>
                <w:szCs w:val="18"/>
                <w:b w:val="1"/>
                <w:bCs w:val="1"/>
                <w:color w:val="auto"/>
              </w:rPr>
              <w:t>USE OF PROCEEDS</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9280" w:type="dxa"/>
            <w:vAlign w:val="bottom"/>
            <w:gridSpan w:val="4"/>
          </w:tcPr>
          <w:p>
            <w:pPr>
              <w:ind w:left="420"/>
              <w:spacing w:after="0"/>
              <w:rPr>
                <w:sz w:val="20"/>
                <w:szCs w:val="20"/>
                <w:color w:val="auto"/>
              </w:rPr>
            </w:pPr>
            <w:r>
              <w:rPr>
                <w:rFonts w:ascii="Arial" w:cs="Arial" w:eastAsia="Arial" w:hAnsi="Arial"/>
                <w:sz w:val="18"/>
                <w:szCs w:val="18"/>
                <w:color w:val="auto"/>
                <w:w w:val="93"/>
              </w:rPr>
              <w:t>We estimate that the net proceeds to us from the sale of the common stock that we are offering will be approximately $</w:t>
            </w: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million (or</w:t>
            </w:r>
          </w:p>
        </w:tc>
      </w:tr>
      <w:tr>
        <w:trPr>
          <w:trHeight w:val="216"/>
        </w:trPr>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10180" w:type="dxa"/>
            <w:vAlign w:val="bottom"/>
            <w:gridSpan w:val="5"/>
          </w:tcPr>
          <w:p>
            <w:pPr>
              <w:ind w:left="280"/>
              <w:spacing w:after="0"/>
              <w:rPr>
                <w:sz w:val="20"/>
                <w:szCs w:val="20"/>
                <w:color w:val="auto"/>
              </w:rPr>
            </w:pPr>
            <w:r>
              <w:rPr>
                <w:rFonts w:ascii="Arial" w:cs="Arial" w:eastAsia="Arial" w:hAnsi="Arial"/>
                <w:sz w:val="18"/>
                <w:szCs w:val="18"/>
                <w:color w:val="auto"/>
                <w:w w:val="97"/>
              </w:rPr>
              <w:t>million if the underwriters exercise their option to purchase additional shares in full), assuming an initial public offering price of $</w:t>
            </w:r>
          </w:p>
        </w:tc>
        <w:tc>
          <w:tcPr>
            <w:tcW w:w="340" w:type="dxa"/>
            <w:vAlign w:val="bottom"/>
          </w:tcPr>
          <w:p>
            <w:pPr>
              <w:ind w:left="100"/>
              <w:spacing w:after="0"/>
              <w:rPr>
                <w:sz w:val="20"/>
                <w:szCs w:val="20"/>
                <w:color w:val="auto"/>
              </w:rPr>
            </w:pPr>
            <w:r>
              <w:rPr>
                <w:rFonts w:ascii="Arial" w:cs="Arial" w:eastAsia="Arial" w:hAnsi="Arial"/>
                <w:sz w:val="18"/>
                <w:szCs w:val="18"/>
                <w:color w:val="auto"/>
                <w:w w:val="84"/>
              </w:rPr>
              <w:t>per</w:t>
            </w:r>
          </w:p>
        </w:tc>
      </w:tr>
      <w:tr>
        <w:trPr>
          <w:trHeight w:val="216"/>
        </w:trPr>
        <w:tc>
          <w:tcPr>
            <w:tcW w:w="10740" w:type="dxa"/>
            <w:vAlign w:val="bottom"/>
            <w:gridSpan w:val="6"/>
          </w:tcPr>
          <w:p>
            <w:pPr>
              <w:ind w:left="200"/>
              <w:spacing w:after="0"/>
              <w:rPr>
                <w:sz w:val="20"/>
                <w:szCs w:val="20"/>
                <w:color w:val="auto"/>
              </w:rPr>
            </w:pPr>
            <w:r>
              <w:rPr>
                <w:rFonts w:ascii="Arial" w:cs="Arial" w:eastAsia="Arial" w:hAnsi="Arial"/>
                <w:sz w:val="18"/>
                <w:szCs w:val="18"/>
                <w:color w:val="auto"/>
                <w:w w:val="90"/>
              </w:rPr>
              <w:t>share, the midpoint of the price range set forth on the cover page of this prospectus, and after deducting the estimated underwriting discounts and</w:t>
            </w:r>
          </w:p>
        </w:tc>
        <w:tc>
          <w:tcPr>
            <w:tcW w:w="340" w:type="dxa"/>
            <w:vAlign w:val="bottom"/>
          </w:tcPr>
          <w:p>
            <w:pPr>
              <w:spacing w:after="0"/>
              <w:rPr>
                <w:sz w:val="18"/>
                <w:szCs w:val="18"/>
                <w:color w:val="auto"/>
              </w:rPr>
            </w:pPr>
          </w:p>
        </w:tc>
      </w:tr>
      <w:tr>
        <w:trPr>
          <w:trHeight w:val="230"/>
        </w:trPr>
        <w:tc>
          <w:tcPr>
            <w:tcW w:w="6940" w:type="dxa"/>
            <w:vAlign w:val="bottom"/>
            <w:gridSpan w:val="4"/>
          </w:tcPr>
          <w:p>
            <w:pPr>
              <w:ind w:left="200"/>
              <w:spacing w:after="0"/>
              <w:rPr>
                <w:sz w:val="20"/>
                <w:szCs w:val="20"/>
                <w:color w:val="auto"/>
              </w:rPr>
            </w:pPr>
            <w:r>
              <w:rPr>
                <w:rFonts w:ascii="Arial" w:cs="Arial" w:eastAsia="Arial" w:hAnsi="Arial"/>
                <w:sz w:val="18"/>
                <w:szCs w:val="18"/>
                <w:color w:val="auto"/>
              </w:rPr>
              <w:t>commissions and estimated offering expenses payable by us.</w:t>
            </w:r>
          </w:p>
        </w:tc>
        <w:tc>
          <w:tcPr>
            <w:tcW w:w="2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60" w:type="dxa"/>
            <w:vAlign w:val="bottom"/>
          </w:tcPr>
          <w:p>
            <w:pPr>
              <w:spacing w:after="0"/>
              <w:rPr>
                <w:sz w:val="24"/>
                <w:szCs w:val="24"/>
                <w:color w:val="auto"/>
              </w:rPr>
            </w:pPr>
          </w:p>
        </w:tc>
        <w:tc>
          <w:tcPr>
            <w:tcW w:w="6380" w:type="dxa"/>
            <w:vAlign w:val="bottom"/>
            <w:gridSpan w:val="3"/>
          </w:tcPr>
          <w:p>
            <w:pPr>
              <w:ind w:left="42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140" w:type="dxa"/>
            <w:vAlign w:val="bottom"/>
            <w:gridSpan w:val="3"/>
          </w:tcPr>
          <w:p>
            <w:pPr>
              <w:ind w:left="320"/>
              <w:spacing w:after="0"/>
              <w:rPr>
                <w:sz w:val="20"/>
                <w:szCs w:val="20"/>
                <w:color w:val="auto"/>
              </w:rPr>
            </w:pPr>
            <w:r>
              <w:rPr>
                <w:rFonts w:ascii="Arial" w:cs="Arial" w:eastAsia="Arial" w:hAnsi="Arial"/>
                <w:sz w:val="18"/>
                <w:szCs w:val="18"/>
                <w:color w:val="auto"/>
                <w:w w:val="88"/>
              </w:rPr>
              <w:t>per share would increase (decrease) the net proceeds</w:t>
            </w:r>
          </w:p>
        </w:tc>
      </w:tr>
      <w:tr>
        <w:trPr>
          <w:trHeight w:val="230"/>
        </w:trPr>
        <w:tc>
          <w:tcPr>
            <w:tcW w:w="3620" w:type="dxa"/>
            <w:vAlign w:val="bottom"/>
            <w:gridSpan w:val="3"/>
          </w:tcPr>
          <w:p>
            <w:pPr>
              <w:ind w:left="200"/>
              <w:spacing w:after="0"/>
              <w:rPr>
                <w:sz w:val="20"/>
                <w:szCs w:val="20"/>
                <w:color w:val="auto"/>
              </w:rPr>
            </w:pPr>
            <w:r>
              <w:rPr>
                <w:rFonts w:ascii="Arial" w:cs="Arial" w:eastAsia="Arial" w:hAnsi="Arial"/>
                <w:sz w:val="18"/>
                <w:szCs w:val="18"/>
                <w:color w:val="auto"/>
              </w:rPr>
              <w:t>to us from this offering by approximately $</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3"/>
              </w:rPr>
              <w:t>million, assuming the number of shares offered by us, as set forth on the cover page of this</w:t>
            </w:r>
          </w:p>
        </w:tc>
        <w:tc>
          <w:tcPr>
            <w:tcW w:w="340" w:type="dxa"/>
            <w:vAlign w:val="bottom"/>
          </w:tcPr>
          <w:p>
            <w:pPr>
              <w:spacing w:after="0"/>
              <w:rPr>
                <w:sz w:val="20"/>
                <w:szCs w:val="20"/>
                <w:color w:val="auto"/>
              </w:rPr>
            </w:pPr>
          </w:p>
        </w:tc>
      </w:tr>
    </w:tbl>
    <w:p>
      <w:pPr>
        <w:jc w:val="both"/>
        <w:ind w:left="2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remains the same and after deducting the estimated underwriting discounts and commissions and estimated offering expenses payable by us. Similarly, each increase (decrease) of 1.0 million shares in the number of shares offered by us would increase (decrease) the net proceeds to us from this offering, after deducting the estimated underwriting discounts and commissions and estimated offering expenses payable by us, by approximately</w:t>
      </w:r>
    </w:p>
    <w:p>
      <w:pPr>
        <w:spacing w:after="0" w:line="2" w:lineRule="exact"/>
        <w:rPr>
          <w:sz w:val="20"/>
          <w:szCs w:val="20"/>
          <w:color w:val="auto"/>
        </w:rPr>
      </w:pPr>
    </w:p>
    <w:p>
      <w:pPr>
        <w:ind w:left="840" w:hanging="636"/>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stays the same.</w:t>
      </w:r>
    </w:p>
    <w:p>
      <w:pPr>
        <w:spacing w:after="0" w:line="211"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use the net proceeds from the offering as follows:</w:t>
      </w:r>
    </w:p>
    <w:p>
      <w:pPr>
        <w:spacing w:after="0" w:line="252" w:lineRule="exact"/>
        <w:rPr>
          <w:sz w:val="20"/>
          <w:szCs w:val="20"/>
          <w:color w:val="auto"/>
        </w:rPr>
      </w:pPr>
    </w:p>
    <w:p>
      <w:pPr>
        <w:ind w:left="1400" w:hanging="318"/>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the research and development of GB001;</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the research and development of GB002;</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the research and development of GB004;</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research and development of our other development programs;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left="200" w:right="280" w:firstLine="771"/>
        <w:spacing w:after="0" w:line="342" w:lineRule="auto"/>
        <w:rPr>
          <w:sz w:val="20"/>
          <w:szCs w:val="20"/>
          <w:color w:val="auto"/>
        </w:rPr>
      </w:pPr>
      <w:r>
        <w:rPr>
          <w:rFonts w:ascii="Arial" w:cs="Arial" w:eastAsia="Arial" w:hAnsi="Arial"/>
          <w:sz w:val="16"/>
          <w:szCs w:val="16"/>
          <w:color w:val="auto"/>
        </w:rPr>
        <w:t>We may also use a portion of the remaining net proceeds and our existing cash, cash equivalents and marketable securities to in-license, acquire, or invest in complementary businesses, technologies, products or assets. However, we have no current commitments or obligations to do so.</w:t>
      </w:r>
    </w:p>
    <w:p>
      <w:pPr>
        <w:spacing w:after="0" w:line="124" w:lineRule="exact"/>
        <w:rPr>
          <w:sz w:val="20"/>
          <w:szCs w:val="20"/>
          <w:color w:val="auto"/>
        </w:rPr>
      </w:pPr>
    </w:p>
    <w:p>
      <w:pPr>
        <w:ind w:left="200" w:right="40" w:firstLine="771"/>
        <w:spacing w:after="0" w:line="289" w:lineRule="auto"/>
        <w:rPr>
          <w:sz w:val="20"/>
          <w:szCs w:val="20"/>
          <w:color w:val="auto"/>
        </w:rPr>
      </w:pPr>
      <w:r>
        <w:rPr>
          <w:rFonts w:ascii="Arial" w:cs="Arial" w:eastAsia="Arial" w:hAnsi="Arial"/>
          <w:sz w:val="16"/>
          <w:szCs w:val="16"/>
          <w:color w:val="auto"/>
        </w:rPr>
        <w:t>We believe, based on our current operating plan, that the net proceeds from this offering and our existing cash, cash equivalents and marketable securities, will be sufficient to fund our operations for at least the next 12 months, although there can be no assurance in that regard. In particular, we expect that the net proceeds from this offering and our existing cash, cash equivalents and marketable securities will allow us to complete our ongoing Phase 2b clinical trial for GB001, our planned Phase 1b clinical trial in PAH for GB002 and our planned Phase 1b clinical trial in UC for GB004. However,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The net proceeds from this offering, together with our cash, cash equivalents and marketable securities, will not be sufficient for us to fund all of our product candidates through regulatory approval, and we will need to raise additional capital to complete the development and commercialization of all of our product candidates.</w:t>
      </w:r>
    </w:p>
    <w:p>
      <w:pPr>
        <w:spacing w:after="0" w:line="167"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The amounts and timing of our actual expenditures will depend on numerous factors, including the time and cost necessary to conduct our planned clinical trials and preclinical studies and the results of such trials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46"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studies, and other factors described under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166" w:lineRule="exact"/>
        <w:rPr>
          <w:sz w:val="20"/>
          <w:szCs w:val="20"/>
          <w:color w:val="auto"/>
        </w:rPr>
      </w:pPr>
    </w:p>
    <w:p>
      <w:pPr>
        <w:ind w:left="200" w:right="240" w:firstLine="771"/>
        <w:spacing w:after="0" w:line="308" w:lineRule="auto"/>
        <w:rPr>
          <w:sz w:val="20"/>
          <w:szCs w:val="20"/>
          <w:color w:val="auto"/>
        </w:rPr>
      </w:pPr>
      <w:r>
        <w:rPr>
          <w:rFonts w:ascii="Arial" w:cs="Arial" w:eastAsia="Arial" w:hAnsi="Arial"/>
          <w:sz w:val="17"/>
          <w:szCs w:val="17"/>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240" w:top="459" w:right="6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2018:</w:t>
      </w:r>
    </w:p>
    <w:p>
      <w:pPr>
        <w:spacing w:after="0" w:line="252" w:lineRule="exact"/>
        <w:rPr>
          <w:sz w:val="20"/>
          <w:szCs w:val="20"/>
          <w:color w:val="auto"/>
        </w:rPr>
      </w:pPr>
    </w:p>
    <w:p>
      <w:pPr>
        <w:ind w:left="1400" w:hanging="318"/>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00" w:right="40" w:hanging="318"/>
        <w:spacing w:after="0" w:line="259"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basis to reflect (1) the automatic conversion of all outstanding shares of our convertible preferred stock into 137,220,799 shares of common stock and the related reclassification of the carrying value of the convertible preferred stock to permanent equity immediately prior to the closing of this offering, and (2) the filing and effectiveness of our amended and restated certificate of incorporation immediately prior to the closing of this offering; and</w:t>
      </w:r>
    </w:p>
    <w:p>
      <w:pPr>
        <w:sectPr>
          <w:pgSz w:w="11900" w:h="16838" w:orient="portrait"/>
          <w:cols w:equalWidth="0" w:num="1">
            <w:col w:w="11240"/>
          </w:cols>
          <w:pgMar w:left="240" w:top="459" w:right="419" w:bottom="1440" w:gutter="0" w:footer="0" w:header="0"/>
        </w:sect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a pro forma as adjusted basis to give further effect to our issuance and sale of shares of our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w:t>
      </w:r>
    </w:p>
    <w:p>
      <w:pPr>
        <w:spacing w:after="0" w:line="147" w:lineRule="exact"/>
        <w:rPr>
          <w:sz w:val="20"/>
          <w:szCs w:val="20"/>
          <w:color w:val="auto"/>
        </w:rPr>
      </w:pPr>
    </w:p>
    <w:p>
      <w:pPr>
        <w:sectPr>
          <w:pgSz w:w="11900" w:h="16838" w:orient="portrait"/>
          <w:cols w:equalWidth="0" w:num="2">
            <w:col w:w="1140" w:space="260"/>
            <w:col w:w="9840"/>
          </w:cols>
          <w:pgMar w:left="240" w:top="459" w:right="419" w:bottom="1440" w:gutter="0" w:footer="0" w:header="0"/>
          <w:type w:val="continuous"/>
        </w:sectPr>
      </w:pPr>
    </w:p>
    <w:p>
      <w:pPr>
        <w:ind w:left="200" w:right="140" w:firstLine="771"/>
        <w:spacing w:after="0" w:line="279"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September 30, 2018</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(in thousands, except share</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and per share data)</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$ 256,443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$ 256,443</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89"/>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5"/>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gridSpan w:val="5"/>
          </w:tcPr>
          <w:p>
            <w:pPr>
              <w:spacing w:after="0" w:line="195" w:lineRule="exact"/>
              <w:rPr>
                <w:sz w:val="20"/>
                <w:szCs w:val="20"/>
                <w:color w:val="auto"/>
              </w:rPr>
            </w:pPr>
            <w:r>
              <w:rPr>
                <w:rFonts w:ascii="Arial" w:cs="Arial" w:eastAsia="Arial" w:hAnsi="Arial"/>
                <w:sz w:val="18"/>
                <w:szCs w:val="18"/>
                <w:color w:val="auto"/>
              </w:rPr>
              <w:t>Convertible preferred stock, $0.0001 par value per share; 137,220,799 shares authorized,</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6"/>
          </w:tcPr>
          <w:p>
            <w:pPr>
              <w:ind w:left="160"/>
              <w:spacing w:after="0"/>
              <w:rPr>
                <w:sz w:val="20"/>
                <w:szCs w:val="20"/>
                <w:color w:val="auto"/>
              </w:rPr>
            </w:pPr>
            <w:r>
              <w:rPr>
                <w:rFonts w:ascii="Arial" w:cs="Arial" w:eastAsia="Arial" w:hAnsi="Arial"/>
                <w:sz w:val="18"/>
                <w:szCs w:val="18"/>
                <w:color w:val="auto"/>
              </w:rPr>
              <w:t>issued and outstanding, actual; no shares authorized, issued and outstanding, pro forma and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pro forma as adjusted</w:t>
            </w:r>
          </w:p>
        </w:tc>
        <w:tc>
          <w:tcPr>
            <w:tcW w:w="37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338,367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3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6"/>
          </w:tcPr>
          <w:p>
            <w:pPr>
              <w:spacing w:after="0" w:line="201" w:lineRule="exact"/>
              <w:rPr>
                <w:sz w:val="20"/>
                <w:szCs w:val="20"/>
                <w:color w:val="auto"/>
              </w:rPr>
            </w:pPr>
            <w:r>
              <w:rPr>
                <w:rFonts w:ascii="Arial" w:cs="Arial" w:eastAsia="Arial" w:hAnsi="Arial"/>
                <w:sz w:val="18"/>
                <w:szCs w:val="18"/>
                <w:color w:val="auto"/>
              </w:rPr>
              <w:t>Preferred stock, $0.0001 par value per share; no shares authorized, issued or outstanding,</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6"/>
          </w:tcPr>
          <w:p>
            <w:pPr>
              <w:ind w:left="160"/>
              <w:spacing w:after="0"/>
              <w:rPr>
                <w:sz w:val="20"/>
                <w:szCs w:val="20"/>
                <w:color w:val="auto"/>
              </w:rPr>
            </w:pPr>
            <w:r>
              <w:rPr>
                <w:rFonts w:ascii="Arial" w:cs="Arial" w:eastAsia="Arial" w:hAnsi="Arial"/>
                <w:sz w:val="18"/>
                <w:szCs w:val="18"/>
                <w:color w:val="auto"/>
              </w:rPr>
              <w:t>actual; 10,000,000 shares authorized and no shares issued and outstanding, pro forma and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pro forma as adjusted</w:t>
            </w:r>
          </w:p>
        </w:tc>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 per share; 221,220,799 shares authorized; 69,900,556</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shares issued and 34,802,318 shares outstanding, actual, excluding 35,098,238 shares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subject to forfeiture;</w:t>
            </w:r>
          </w:p>
        </w:tc>
        <w:tc>
          <w:tcPr>
            <w:tcW w:w="6020" w:type="dxa"/>
            <w:vAlign w:val="bottom"/>
            <w:gridSpan w:val="4"/>
            <w:shd w:val="clear" w:color="auto" w:fill="CCEEFF"/>
          </w:tcPr>
          <w:p>
            <w:pPr>
              <w:jc w:val="right"/>
              <w:ind w:right="1940"/>
              <w:spacing w:after="0"/>
              <w:rPr>
                <w:sz w:val="20"/>
                <w:szCs w:val="20"/>
                <w:color w:val="auto"/>
              </w:rPr>
            </w:pPr>
            <w:r>
              <w:rPr>
                <w:rFonts w:ascii="Arial" w:cs="Arial" w:eastAsia="Arial" w:hAnsi="Arial"/>
                <w:sz w:val="18"/>
                <w:szCs w:val="18"/>
                <w:color w:val="auto"/>
                <w:w w:val="90"/>
              </w:rPr>
              <w:t>shares authorized, pro forma and pro forma as adjusted;</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207,121,355 shares issued and 172,023,117 shares outstanding, pro forma;</w:t>
            </w:r>
          </w:p>
        </w:tc>
        <w:tc>
          <w:tcPr>
            <w:tcW w:w="232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w:t>
            </w:r>
          </w:p>
        </w:tc>
        <w:tc>
          <w:tcPr>
            <w:tcW w:w="4380" w:type="dxa"/>
            <w:vAlign w:val="bottom"/>
            <w:gridSpan w:val="2"/>
            <w:shd w:val="clear" w:color="auto" w:fill="CCEEFF"/>
          </w:tcPr>
          <w:p>
            <w:pPr>
              <w:jc w:val="right"/>
              <w:ind w:right="1290"/>
              <w:spacing w:after="0"/>
              <w:rPr>
                <w:sz w:val="20"/>
                <w:szCs w:val="20"/>
                <w:color w:val="auto"/>
              </w:rPr>
            </w:pPr>
            <w:r>
              <w:rPr>
                <w:rFonts w:ascii="Arial" w:cs="Arial" w:eastAsia="Arial" w:hAnsi="Arial"/>
                <w:sz w:val="18"/>
                <w:szCs w:val="18"/>
                <w:color w:val="auto"/>
                <w:w w:val="88"/>
              </w:rPr>
              <w:t>shares outstanding, pro forma as adjusted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370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23,054</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361,409</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3"/>
              </w:rPr>
              <w:t>Accumulated deficit</w:t>
            </w:r>
          </w:p>
        </w:tc>
        <w:tc>
          <w:tcPr>
            <w:tcW w:w="6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(115,069)</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(115,069)</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2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246,589</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tcPr>
          <w:p>
            <w:pPr>
              <w:ind w:left="700"/>
              <w:spacing w:after="0"/>
              <w:rPr>
                <w:sz w:val="20"/>
                <w:szCs w:val="20"/>
                <w:color w:val="auto"/>
              </w:rPr>
            </w:pPr>
            <w:r>
              <w:rPr>
                <w:rFonts w:ascii="Arial" w:cs="Arial" w:eastAsia="Arial" w:hAnsi="Arial"/>
                <w:sz w:val="18"/>
                <w:szCs w:val="18"/>
                <w:color w:val="auto"/>
                <w:w w:val="96"/>
              </w:rPr>
              <w:t>Total capitalization</w:t>
            </w:r>
          </w:p>
        </w:tc>
        <w:tc>
          <w:tcPr>
            <w:tcW w:w="3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$ 246,589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$ 246,589</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00" w:type="dxa"/>
            <w:vAlign w:val="bottom"/>
            <w:vMerge w:val="restart"/>
          </w:tcPr>
          <w:p>
            <w:pPr>
              <w:jc w:val="right"/>
              <w:ind w:right="190"/>
              <w:spacing w:after="0"/>
              <w:rPr>
                <w:sz w:val="20"/>
                <w:szCs w:val="20"/>
                <w:color w:val="auto"/>
              </w:rPr>
            </w:pPr>
            <w:r>
              <w:rPr>
                <w:rFonts w:ascii="Arial" w:cs="Arial" w:eastAsia="Arial" w:hAnsi="Arial"/>
                <w:sz w:val="18"/>
                <w:szCs w:val="18"/>
                <w:color w:val="auto"/>
              </w:rPr>
              <w:t>71</w:t>
            </w: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right="160" w:hanging="316"/>
        <w:spacing w:after="0" w:line="248" w:lineRule="auto"/>
        <w:tabs>
          <w:tab w:leader="none" w:pos="5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 per share, the midpoint of the price range set forth on the cover page of this prospectus, would increase (decrease) the pro forma as adjusted amount of each of cash, cash equivalents and marketable securities, total stockholders’ equity and total capitalization by approximately $</w:t>
      </w:r>
    </w:p>
    <w:p>
      <w:pPr>
        <w:ind w:left="520" w:right="160" w:firstLine="440"/>
        <w:spacing w:after="0" w:line="258" w:lineRule="auto"/>
        <w:tabs>
          <w:tab w:leader="none" w:pos="1024" w:val="left"/>
        </w:tabs>
        <w:numPr>
          <w:ilvl w:val="1"/>
          <w:numId w:val="49"/>
        </w:numPr>
        <w:rPr>
          <w:rFonts w:ascii="Arial" w:cs="Arial" w:eastAsia="Arial" w:hAnsi="Arial"/>
          <w:sz w:val="12"/>
          <w:szCs w:val="12"/>
          <w:color w:val="auto"/>
        </w:rPr>
      </w:pPr>
      <w:r>
        <w:rPr>
          <w:rFonts w:ascii="Arial" w:cs="Arial" w:eastAsia="Arial" w:hAnsi="Arial"/>
          <w:sz w:val="12"/>
          <w:szCs w:val="12"/>
          <w:color w:val="auto"/>
        </w:rPr>
        <w:t>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shares in the number of shares offered by us at the assumed initial</w:t>
      </w:r>
    </w:p>
    <w:p>
      <w:pPr>
        <w:ind w:left="520"/>
        <w:spacing w:after="0"/>
        <w:rPr>
          <w:rFonts w:ascii="Arial" w:cs="Arial" w:eastAsia="Arial" w:hAnsi="Arial"/>
          <w:sz w:val="12"/>
          <w:szCs w:val="12"/>
          <w:color w:val="auto"/>
        </w:rPr>
      </w:pPr>
      <w:r>
        <w:rPr>
          <w:rFonts w:ascii="Arial" w:cs="Arial" w:eastAsia="Arial" w:hAnsi="Arial"/>
          <w:sz w:val="14"/>
          <w:szCs w:val="14"/>
          <w:color w:val="auto"/>
        </w:rPr>
        <w:t>public offering price of $</w:t>
      </w:r>
      <w:r>
        <w:rPr>
          <w:rFonts w:ascii="Arial" w:cs="Arial" w:eastAsia="Arial" w:hAnsi="Arial"/>
          <w:sz w:val="12"/>
          <w:szCs w:val="12"/>
          <w:color w:val="auto"/>
        </w:rPr>
        <w:t>per share would increase (decrease) the pro forma as adjusted amount of each of cash, cash equivalents and marketable securities, total stockholders’</w:t>
      </w:r>
    </w:p>
    <w:p>
      <w:pPr>
        <w:ind w:left="520"/>
        <w:spacing w:after="0"/>
        <w:rPr>
          <w:rFonts w:ascii="Arial" w:cs="Arial" w:eastAsia="Arial" w:hAnsi="Arial"/>
          <w:sz w:val="12"/>
          <w:szCs w:val="12"/>
          <w:color w:val="auto"/>
        </w:rPr>
      </w:pPr>
      <w:r>
        <w:rPr>
          <w:rFonts w:ascii="Arial" w:cs="Arial" w:eastAsia="Arial" w:hAnsi="Arial"/>
          <w:sz w:val="14"/>
          <w:szCs w:val="14"/>
          <w:color w:val="auto"/>
        </w:rPr>
        <w:t>equity and total capitalization by approximately $</w:t>
      </w:r>
      <w:r>
        <w:rPr>
          <w:rFonts w:ascii="Arial" w:cs="Arial" w:eastAsia="Arial" w:hAnsi="Arial"/>
          <w:sz w:val="12"/>
          <w:szCs w:val="12"/>
          <w:color w:val="auto"/>
        </w:rPr>
        <w:t>, after deducting the estimated underwriting discounts and commissions and estimated offering expenses payable by us.</w:t>
      </w:r>
    </w:p>
    <w:p>
      <w:pPr>
        <w:spacing w:after="0" w:line="196" w:lineRule="exact"/>
        <w:rPr>
          <w:sz w:val="20"/>
          <w:szCs w:val="20"/>
          <w:color w:val="auto"/>
        </w:rPr>
      </w:pPr>
    </w:p>
    <w:p>
      <w:pPr>
        <w:ind w:left="200" w:right="280" w:firstLine="771"/>
        <w:spacing w:after="0" w:line="286" w:lineRule="auto"/>
        <w:rPr>
          <w:sz w:val="20"/>
          <w:szCs w:val="20"/>
          <w:color w:val="auto"/>
        </w:rPr>
      </w:pPr>
      <w:r>
        <w:rPr>
          <w:rFonts w:ascii="Arial" w:cs="Arial" w:eastAsia="Arial" w:hAnsi="Arial"/>
          <w:sz w:val="17"/>
          <w:szCs w:val="17"/>
          <w:color w:val="auto"/>
        </w:rPr>
        <w:t>The number of shares of common stock in the table above is based on 207,121,355 shares of our common stock outstanding as of September 30, 2018, including 35,098,238 shares subject to forfeiture, after giving effect to the automatic conversion of all outstanding shares of our convertible preferred stock into 137,220,799 shares of our common stock immediately prior to the closing of this offering, and excludes:</w:t>
      </w:r>
    </w:p>
    <w:p>
      <w:pPr>
        <w:spacing w:after="0" w:line="193" w:lineRule="exact"/>
        <w:rPr>
          <w:sz w:val="20"/>
          <w:szCs w:val="20"/>
          <w:color w:val="auto"/>
        </w:rPr>
      </w:pPr>
    </w:p>
    <w:p>
      <w:pPr>
        <w:ind w:left="1400" w:hanging="318"/>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9,469,500 shares of common stock issuable upon exercise of stock options outstanding as of September 30, 2018, at a weighted-average exercise price of $0.65 per share;</w:t>
      </w:r>
    </w:p>
    <w:p>
      <w:pPr>
        <w:spacing w:after="0" w:line="197" w:lineRule="exact"/>
        <w:rPr>
          <w:rFonts w:ascii="Arial" w:cs="Arial" w:eastAsia="Arial" w:hAnsi="Arial"/>
          <w:sz w:val="18"/>
          <w:szCs w:val="18"/>
          <w:color w:val="auto"/>
        </w:rPr>
      </w:pPr>
    </w:p>
    <w:p>
      <w:pPr>
        <w:ind w:left="1400" w:right="220" w:hanging="318"/>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13,558,900 shares of common stock issuable upon exercise of stock options granted after September 30, 2018, at a weighted-average exercise price of $2.38 per share;</w:t>
      </w:r>
    </w:p>
    <w:p>
      <w:pPr>
        <w:spacing w:after="0" w:line="197" w:lineRule="exact"/>
        <w:rPr>
          <w:rFonts w:ascii="Arial" w:cs="Arial" w:eastAsia="Arial" w:hAnsi="Arial"/>
          <w:sz w:val="18"/>
          <w:szCs w:val="18"/>
          <w:color w:val="auto"/>
        </w:rPr>
      </w:pPr>
    </w:p>
    <w:p>
      <w:pPr>
        <w:ind w:left="1940" w:hanging="858"/>
        <w:spacing w:after="0"/>
        <w:tabs>
          <w:tab w:leader="none" w:pos="19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2019 Plan, which will become effective in connection with</w:t>
      </w:r>
    </w:p>
    <w:p>
      <w:pPr>
        <w:spacing w:after="0" w:line="46" w:lineRule="exact"/>
        <w:rPr>
          <w:sz w:val="20"/>
          <w:szCs w:val="20"/>
          <w:color w:val="auto"/>
        </w:rPr>
      </w:pPr>
    </w:p>
    <w:p>
      <w:pPr>
        <w:ind w:left="1400" w:right="320"/>
        <w:spacing w:after="0" w:line="255" w:lineRule="auto"/>
        <w:rPr>
          <w:sz w:val="20"/>
          <w:szCs w:val="20"/>
          <w:color w:val="auto"/>
        </w:rPr>
      </w:pPr>
      <w:r>
        <w:rPr>
          <w:rFonts w:ascii="Arial" w:cs="Arial" w:eastAsia="Arial" w:hAnsi="Arial"/>
          <w:sz w:val="18"/>
          <w:szCs w:val="18"/>
          <w:color w:val="auto"/>
        </w:rPr>
        <w:t>this offering (which number includes shares remaining available for issuance under our 2017 Plan as of September 30, 2018, which will become available for issuance under the 2019 Plan upon its effectiveness, but does not include any potential evergreen increases pursuant to the terms of the 2019 Plan); and</w:t>
      </w:r>
    </w:p>
    <w:p>
      <w:pPr>
        <w:spacing w:after="0" w:line="217" w:lineRule="exact"/>
        <w:rPr>
          <w:sz w:val="20"/>
          <w:szCs w:val="20"/>
          <w:color w:val="auto"/>
        </w:rPr>
      </w:pPr>
    </w:p>
    <w:p>
      <w:pPr>
        <w:ind w:left="1400" w:right="480" w:hanging="318"/>
        <w:spacing w:after="0" w:line="308" w:lineRule="auto"/>
        <w:tabs>
          <w:tab w:leader="none" w:pos="19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ESPP, which will become effective in connection with this offering (which number does not include any potential evergreen increases pursuant to the terms of the ESPP).</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40" w:firstLine="771"/>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24" w:lineRule="exact"/>
        <w:rPr>
          <w:sz w:val="20"/>
          <w:szCs w:val="20"/>
          <w:color w:val="auto"/>
        </w:rPr>
      </w:pPr>
    </w:p>
    <w:p>
      <w:pPr>
        <w:ind w:left="200" w:right="340" w:firstLine="771"/>
        <w:spacing w:after="0" w:line="259" w:lineRule="auto"/>
        <w:rPr>
          <w:sz w:val="20"/>
          <w:szCs w:val="20"/>
          <w:color w:val="auto"/>
        </w:rPr>
      </w:pPr>
      <w:r>
        <w:rPr>
          <w:rFonts w:ascii="Arial" w:cs="Arial" w:eastAsia="Arial" w:hAnsi="Arial"/>
          <w:sz w:val="18"/>
          <w:szCs w:val="18"/>
          <w:color w:val="auto"/>
        </w:rPr>
        <w:t>As of September 30, 2018, we had a historical net tangible book deficit of $91.8 million, or $(1.31) per share of common stock based on 69,900,556 shares of common stock outstanding, including 35,098,238 shares subject to forfeiture, as of such date. Our historical net tangible book value per share represents total tangible assets less total liabilities and convertible preferred stock, divided by the number of shares of common stock outstanding (including shares subject to forfeiture) at September 30, 2018.</w:t>
      </w:r>
    </w:p>
    <w:p>
      <w:pPr>
        <w:spacing w:after="0" w:line="187" w:lineRule="exact"/>
        <w:rPr>
          <w:sz w:val="20"/>
          <w:szCs w:val="20"/>
          <w:color w:val="auto"/>
        </w:rPr>
      </w:pPr>
    </w:p>
    <w:p>
      <w:pPr>
        <w:ind w:left="200" w:right="140" w:firstLine="771"/>
        <w:spacing w:after="0" w:line="259" w:lineRule="auto"/>
        <w:rPr>
          <w:sz w:val="20"/>
          <w:szCs w:val="20"/>
          <w:color w:val="auto"/>
        </w:rPr>
      </w:pPr>
      <w:r>
        <w:rPr>
          <w:rFonts w:ascii="Arial" w:cs="Arial" w:eastAsia="Arial" w:hAnsi="Arial"/>
          <w:sz w:val="18"/>
          <w:szCs w:val="18"/>
          <w:color w:val="auto"/>
        </w:rPr>
        <w:t>On a pro forma basis, after giving effect to the automatic conversion of all outstanding shares of our convertible preferred stock into 137,220,799 shares of our common stock and the related reclassification of the carrying value of the convertible preferred stock to permanent equity immediately prior to the closing of this offering stock, our pro forma net tangible book value as of September 30, 2018 would have been approximately $246.6 million, or approximately $1.19 per share of our common stock.</w:t>
      </w:r>
    </w:p>
    <w:p>
      <w:pPr>
        <w:spacing w:after="0" w:line="187" w:lineRule="exact"/>
        <w:rPr>
          <w:sz w:val="20"/>
          <w:szCs w:val="20"/>
          <w:color w:val="auto"/>
        </w:rPr>
      </w:pPr>
    </w:p>
    <w:p>
      <w:pPr>
        <w:ind w:left="740" w:right="40" w:firstLine="231"/>
        <w:spacing w:after="0" w:line="291" w:lineRule="auto"/>
        <w:rPr>
          <w:sz w:val="20"/>
          <w:szCs w:val="20"/>
          <w:color w:val="auto"/>
        </w:rPr>
      </w:pPr>
      <w:r>
        <w:rPr>
          <w:rFonts w:ascii="Arial" w:cs="Arial" w:eastAsia="Arial" w:hAnsi="Arial"/>
          <w:sz w:val="16"/>
          <w:szCs w:val="16"/>
          <w:color w:val="auto"/>
        </w:rPr>
        <w:t>After giving further effect to the sale of shares of common stock that we are offering at an assumed initial public offering price of $ per share, the midpoint of the price range set forth on the cover page of this prospectus, and after deducting the estimated underwriting discounts</w:t>
      </w:r>
    </w:p>
    <w:p>
      <w:pPr>
        <w:ind w:left="200"/>
        <w:spacing w:after="0"/>
        <w:rPr>
          <w:sz w:val="20"/>
          <w:szCs w:val="20"/>
          <w:color w:val="auto"/>
        </w:rPr>
      </w:pPr>
      <w:r>
        <w:rPr>
          <w:rFonts w:ascii="Arial" w:cs="Arial" w:eastAsia="Arial" w:hAnsi="Arial"/>
          <w:sz w:val="16"/>
          <w:szCs w:val="16"/>
          <w:color w:val="auto"/>
        </w:rPr>
        <w:t>and commissions and estimated offering expenses payable by us, our pro forma as adjusted net tangible book value as of September 30, 2018 would</w:t>
      </w:r>
    </w:p>
    <w:p>
      <w:pPr>
        <w:spacing w:after="0" w:line="3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w:t>
      </w:r>
    </w:p>
    <w:p>
      <w:pPr>
        <w:spacing w:after="0" w:line="190" w:lineRule="exact"/>
        <w:rPr>
          <w:sz w:val="20"/>
          <w:szCs w:val="20"/>
          <w:color w:val="auto"/>
        </w:rPr>
      </w:pPr>
    </w:p>
    <w:p>
      <w:pPr>
        <w:ind w:left="200" w:right="220" w:firstLine="771"/>
        <w:spacing w:after="0" w:line="264"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4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Historical net tangible book deficit per share as of September 30, 2018</w:t>
            </w:r>
          </w:p>
        </w:tc>
        <w:tc>
          <w:tcPr>
            <w:tcW w:w="248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18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Pro forma increase in historical net tangible book deficit per share as of September 30, 2018 attributable to the conversion</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of convertible preferred stock</w:t>
            </w:r>
          </w:p>
        </w:tc>
        <w:tc>
          <w:tcPr>
            <w:tcW w:w="24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Pro forma net tangible book value per share as of September 30, 2018</w:t>
            </w: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Increase in pro forma net tangible book value per share attributable to new investors participating in this offering</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4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700" w:type="dxa"/>
            <w:vAlign w:val="bottom"/>
            <w:gridSpan w:val="2"/>
          </w:tcPr>
          <w:p>
            <w:pPr>
              <w:ind w:left="76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320" w:type="dxa"/>
            <w:vAlign w:val="bottom"/>
            <w:gridSpan w:val="6"/>
          </w:tcPr>
          <w:p>
            <w:pPr>
              <w:ind w:left="300"/>
              <w:spacing w:after="0"/>
              <w:rPr>
                <w:sz w:val="20"/>
                <w:szCs w:val="20"/>
                <w:color w:val="auto"/>
              </w:rPr>
            </w:pPr>
            <w:r>
              <w:rPr>
                <w:rFonts w:ascii="Arial" w:cs="Arial" w:eastAsia="Arial" w:hAnsi="Arial"/>
                <w:sz w:val="18"/>
                <w:szCs w:val="18"/>
                <w:color w:val="auto"/>
                <w:w w:val="94"/>
              </w:rPr>
              <w:t>per share, the midpoint of the price range set forth on</w:t>
            </w:r>
          </w:p>
        </w:tc>
      </w:tr>
      <w:tr>
        <w:trPr>
          <w:trHeight w:val="216"/>
        </w:trPr>
        <w:tc>
          <w:tcPr>
            <w:tcW w:w="11040" w:type="dxa"/>
            <w:vAlign w:val="bottom"/>
            <w:gridSpan w:val="9"/>
          </w:tcPr>
          <w:p>
            <w:pPr>
              <w:spacing w:after="0"/>
              <w:rPr>
                <w:sz w:val="20"/>
                <w:szCs w:val="20"/>
                <w:color w:val="auto"/>
              </w:rPr>
            </w:pPr>
            <w:r>
              <w:rPr>
                <w:rFonts w:ascii="Arial" w:cs="Arial" w:eastAsia="Arial" w:hAnsi="Arial"/>
                <w:sz w:val="18"/>
                <w:szCs w:val="18"/>
                <w:color w:val="auto"/>
                <w:w w:val="97"/>
              </w:rPr>
              <w:t>the cover page of this prospectus, would increase (decrease) the pro forma as adjusted net tangible book value per share after this offering by</w:t>
            </w:r>
          </w:p>
        </w:tc>
      </w:t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7760" w:type="dxa"/>
            <w:vAlign w:val="bottom"/>
            <w:gridSpan w:val="2"/>
          </w:tcPr>
          <w:p>
            <w:pPr>
              <w:ind w:left="280"/>
              <w:spacing w:after="0"/>
              <w:rPr>
                <w:sz w:val="20"/>
                <w:szCs w:val="20"/>
                <w:color w:val="auto"/>
              </w:rPr>
            </w:pPr>
            <w:r>
              <w:rPr>
                <w:rFonts w:ascii="Arial" w:cs="Arial" w:eastAsia="Arial" w:hAnsi="Arial"/>
                <w:sz w:val="18"/>
                <w:szCs w:val="18"/>
                <w:color w:val="auto"/>
                <w:w w:val="97"/>
              </w:rPr>
              <w:t>, and dilution in pro forma net tangible book value per share to new investors by approximately $</w:t>
            </w:r>
          </w:p>
        </w:tc>
        <w:tc>
          <w:tcPr>
            <w:tcW w:w="1840" w:type="dxa"/>
            <w:vAlign w:val="bottom"/>
            <w:gridSpan w:val="5"/>
          </w:tcPr>
          <w:p>
            <w:pPr>
              <w:ind w:left="60"/>
              <w:spacing w:after="0"/>
              <w:rPr>
                <w:sz w:val="20"/>
                <w:szCs w:val="20"/>
                <w:color w:val="auto"/>
              </w:rPr>
            </w:pPr>
            <w:r>
              <w:rPr>
                <w:rFonts w:ascii="Arial" w:cs="Arial" w:eastAsia="Arial" w:hAnsi="Arial"/>
                <w:sz w:val="18"/>
                <w:szCs w:val="18"/>
                <w:color w:val="auto"/>
              </w:rPr>
              <w:t>, assuming that the</w:t>
            </w:r>
          </w:p>
        </w:tc>
      </w:tr>
    </w:tbl>
    <w:p>
      <w:pPr>
        <w:ind w:left="200" w:right="60"/>
        <w:spacing w:after="0" w:line="302"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the estimated underwriting discounts and commissions and the estimated offering expenses payable by us. Similarly, each increase (decrease) of 1.0 million shares in the number of shares offered by us would increase (decrease) our pro forma as adjusted net tangible book value per share after this offering by approximately</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519"/>
        </w:trPr>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8360" w:type="dxa"/>
            <w:vAlign w:val="bottom"/>
            <w:gridSpan w:val="4"/>
          </w:tcPr>
          <w:p>
            <w:pPr>
              <w:ind w:left="280"/>
              <w:spacing w:after="0"/>
              <w:rPr>
                <w:sz w:val="20"/>
                <w:szCs w:val="20"/>
                <w:color w:val="auto"/>
              </w:rPr>
            </w:pPr>
            <w:r>
              <w:rPr>
                <w:rFonts w:ascii="Arial" w:cs="Arial" w:eastAsia="Arial" w:hAnsi="Arial"/>
                <w:sz w:val="18"/>
                <w:szCs w:val="18"/>
                <w:color w:val="auto"/>
                <w:w w:val="96"/>
              </w:rPr>
              <w:t>per share and decrease (increase) the dilution to investors participating in this offering by approximately $</w:t>
            </w:r>
          </w:p>
        </w:tc>
        <w:tc>
          <w:tcPr>
            <w:tcW w:w="2180" w:type="dxa"/>
            <w:vAlign w:val="bottom"/>
          </w:tcPr>
          <w:p>
            <w:pPr>
              <w:jc w:val="right"/>
              <w:spacing w:after="0"/>
              <w:rPr>
                <w:sz w:val="20"/>
                <w:szCs w:val="20"/>
                <w:color w:val="auto"/>
              </w:rPr>
            </w:pPr>
            <w:r>
              <w:rPr>
                <w:rFonts w:ascii="Arial" w:cs="Arial" w:eastAsia="Arial" w:hAnsi="Arial"/>
                <w:sz w:val="18"/>
                <w:szCs w:val="18"/>
                <w:color w:val="auto"/>
                <w:w w:val="91"/>
              </w:rPr>
              <w:t>per share, assuming that the</w:t>
            </w:r>
          </w:p>
        </w:tc>
      </w:tr>
      <w:tr>
        <w:trPr>
          <w:trHeight w:val="216"/>
        </w:trPr>
        <w:tc>
          <w:tcPr>
            <w:tcW w:w="3660" w:type="dxa"/>
            <w:vAlign w:val="bottom"/>
            <w:gridSpan w:val="3"/>
          </w:tcPr>
          <w:p>
            <w:pPr>
              <w:ind w:left="200"/>
              <w:spacing w:after="0"/>
              <w:rPr>
                <w:sz w:val="20"/>
                <w:szCs w:val="20"/>
                <w:color w:val="auto"/>
              </w:rPr>
            </w:pPr>
            <w:r>
              <w:rPr>
                <w:rFonts w:ascii="Arial" w:cs="Arial" w:eastAsia="Arial" w:hAnsi="Arial"/>
                <w:sz w:val="18"/>
                <w:szCs w:val="18"/>
                <w:color w:val="auto"/>
              </w:rPr>
              <w:t>assumed initial public offering price of $</w:t>
            </w:r>
          </w:p>
        </w:tc>
        <w:tc>
          <w:tcPr>
            <w:tcW w:w="7440" w:type="dxa"/>
            <w:vAlign w:val="bottom"/>
            <w:gridSpan w:val="3"/>
          </w:tcPr>
          <w:p>
            <w:pPr>
              <w:jc w:val="right"/>
              <w:spacing w:after="0"/>
              <w:rPr>
                <w:sz w:val="20"/>
                <w:szCs w:val="20"/>
                <w:color w:val="auto"/>
              </w:rPr>
            </w:pPr>
            <w:r>
              <w:rPr>
                <w:rFonts w:ascii="Arial" w:cs="Arial" w:eastAsia="Arial" w:hAnsi="Arial"/>
                <w:sz w:val="18"/>
                <w:szCs w:val="18"/>
                <w:color w:val="auto"/>
                <w:w w:val="89"/>
              </w:rPr>
              <w:t>per share remains the same, and after deducting the estimated underwriting discounts and commissions</w:t>
            </w:r>
          </w:p>
        </w:tc>
      </w:tr>
      <w:tr>
        <w:trPr>
          <w:trHeight w:val="230"/>
        </w:trPr>
        <w:tc>
          <w:tcPr>
            <w:tcW w:w="5380" w:type="dxa"/>
            <w:vAlign w:val="bottom"/>
            <w:gridSpan w:val="4"/>
          </w:tcPr>
          <w:p>
            <w:pPr>
              <w:ind w:left="200"/>
              <w:spacing w:after="0"/>
              <w:rPr>
                <w:sz w:val="20"/>
                <w:szCs w:val="20"/>
                <w:color w:val="auto"/>
              </w:rPr>
            </w:pPr>
            <w:r>
              <w:rPr>
                <w:rFonts w:ascii="Arial" w:cs="Arial" w:eastAsia="Arial" w:hAnsi="Arial"/>
                <w:sz w:val="18"/>
                <w:szCs w:val="18"/>
                <w:color w:val="auto"/>
              </w:rPr>
              <w:t>and the estimated offering expenses payable by us.</w:t>
            </w:r>
          </w:p>
        </w:tc>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8"/>
        </w:trPr>
        <w:tc>
          <w:tcPr>
            <w:tcW w:w="560" w:type="dxa"/>
            <w:vAlign w:val="bottom"/>
          </w:tcPr>
          <w:p>
            <w:pPr>
              <w:spacing w:after="0"/>
              <w:rPr>
                <w:sz w:val="24"/>
                <w:szCs w:val="24"/>
                <w:color w:val="auto"/>
              </w:rPr>
            </w:pPr>
          </w:p>
        </w:tc>
        <w:tc>
          <w:tcPr>
            <w:tcW w:w="10540" w:type="dxa"/>
            <w:vAlign w:val="bottom"/>
            <w:gridSpan w:val="5"/>
          </w:tcPr>
          <w:p>
            <w:pPr>
              <w:jc w:val="right"/>
              <w:spacing w:after="0"/>
              <w:rPr>
                <w:sz w:val="20"/>
                <w:szCs w:val="20"/>
                <w:color w:val="auto"/>
              </w:rPr>
            </w:pPr>
            <w:r>
              <w:rPr>
                <w:rFonts w:ascii="Arial" w:cs="Arial" w:eastAsia="Arial" w:hAnsi="Arial"/>
                <w:sz w:val="18"/>
                <w:szCs w:val="18"/>
                <w:color w:val="auto"/>
                <w:w w:val="95"/>
              </w:rPr>
              <w:t>If the underwriters exercise their option to purchase additional shares of our common stock in full in this offering, the pro forma as adjusted</w:t>
            </w:r>
          </w:p>
        </w:tc>
      </w:tr>
      <w:tr>
        <w:trPr>
          <w:trHeight w:val="216"/>
        </w:trPr>
        <w:tc>
          <w:tcPr>
            <w:tcW w:w="5380" w:type="dxa"/>
            <w:vAlign w:val="bottom"/>
            <w:gridSpan w:val="4"/>
          </w:tcPr>
          <w:p>
            <w:pPr>
              <w:ind w:left="200"/>
              <w:spacing w:after="0"/>
              <w:rPr>
                <w:sz w:val="20"/>
                <w:szCs w:val="20"/>
                <w:color w:val="auto"/>
              </w:rPr>
            </w:pPr>
            <w:r>
              <w:rPr>
                <w:rFonts w:ascii="Arial" w:cs="Arial" w:eastAsia="Arial" w:hAnsi="Arial"/>
                <w:sz w:val="18"/>
                <w:szCs w:val="18"/>
                <w:color w:val="auto"/>
                <w:w w:val="97"/>
              </w:rPr>
              <w:t>net tangible book value after the offering would be approximately $</w:t>
            </w:r>
          </w:p>
        </w:tc>
        <w:tc>
          <w:tcPr>
            <w:tcW w:w="5720" w:type="dxa"/>
            <w:vAlign w:val="bottom"/>
            <w:gridSpan w:val="2"/>
          </w:tcPr>
          <w:p>
            <w:pPr>
              <w:jc w:val="right"/>
              <w:ind w:right="190"/>
              <w:spacing w:after="0"/>
              <w:rPr>
                <w:sz w:val="20"/>
                <w:szCs w:val="20"/>
                <w:color w:val="auto"/>
              </w:rPr>
            </w:pPr>
            <w:r>
              <w:rPr>
                <w:rFonts w:ascii="Arial" w:cs="Arial" w:eastAsia="Arial" w:hAnsi="Arial"/>
                <w:sz w:val="18"/>
                <w:szCs w:val="18"/>
                <w:color w:val="auto"/>
                <w:w w:val="94"/>
              </w:rPr>
              <w:t>per share, the increase in pro forma net tangible book value per share to</w:t>
            </w:r>
          </w:p>
        </w:tc>
      </w:tr>
      <w:tr>
        <w:trPr>
          <w:trHeight w:val="216"/>
        </w:trPr>
        <w:tc>
          <w:tcPr>
            <w:tcW w:w="3660" w:type="dxa"/>
            <w:vAlign w:val="bottom"/>
            <w:gridSpan w:val="3"/>
          </w:tcPr>
          <w:p>
            <w:pPr>
              <w:ind w:left="200"/>
              <w:spacing w:after="0"/>
              <w:rPr>
                <w:sz w:val="20"/>
                <w:szCs w:val="20"/>
                <w:color w:val="auto"/>
              </w:rPr>
            </w:pPr>
            <w:r>
              <w:rPr>
                <w:rFonts w:ascii="Arial" w:cs="Arial" w:eastAsia="Arial" w:hAnsi="Arial"/>
                <w:sz w:val="18"/>
                <w:szCs w:val="18"/>
                <w:color w:val="auto"/>
                <w:w w:val="91"/>
              </w:rPr>
              <w:t>existing stockholders would be approximately $</w:t>
            </w:r>
          </w:p>
        </w:tc>
        <w:tc>
          <w:tcPr>
            <w:tcW w:w="5260" w:type="dxa"/>
            <w:vAlign w:val="bottom"/>
            <w:gridSpan w:val="2"/>
          </w:tcPr>
          <w:p>
            <w:pPr>
              <w:ind w:left="580"/>
              <w:spacing w:after="0"/>
              <w:rPr>
                <w:sz w:val="20"/>
                <w:szCs w:val="20"/>
                <w:color w:val="auto"/>
              </w:rPr>
            </w:pPr>
            <w:r>
              <w:rPr>
                <w:rFonts w:ascii="Arial" w:cs="Arial" w:eastAsia="Arial" w:hAnsi="Arial"/>
                <w:sz w:val="18"/>
                <w:szCs w:val="18"/>
                <w:color w:val="auto"/>
                <w:w w:val="91"/>
              </w:rPr>
              <w:t>per share and the dilution per share to new investors would be $</w:t>
            </w:r>
          </w:p>
        </w:tc>
        <w:tc>
          <w:tcPr>
            <w:tcW w:w="2180" w:type="dxa"/>
            <w:vAlign w:val="bottom"/>
          </w:tcPr>
          <w:p>
            <w:pPr>
              <w:jc w:val="right"/>
              <w:spacing w:after="0"/>
              <w:rPr>
                <w:sz w:val="20"/>
                <w:szCs w:val="20"/>
                <w:color w:val="auto"/>
              </w:rPr>
            </w:pPr>
            <w:r>
              <w:rPr>
                <w:rFonts w:ascii="Arial" w:cs="Arial" w:eastAsia="Arial" w:hAnsi="Arial"/>
                <w:sz w:val="18"/>
                <w:szCs w:val="18"/>
                <w:color w:val="auto"/>
              </w:rPr>
              <w:t>per share, in each case</w:t>
            </w:r>
          </w:p>
        </w:tc>
      </w:tr>
      <w:tr>
        <w:trPr>
          <w:trHeight w:val="230"/>
        </w:trPr>
        <w:tc>
          <w:tcPr>
            <w:tcW w:w="3660" w:type="dxa"/>
            <w:vAlign w:val="bottom"/>
            <w:gridSpan w:val="3"/>
          </w:tcPr>
          <w:p>
            <w:pPr>
              <w:ind w:left="200"/>
              <w:spacing w:after="0"/>
              <w:rPr>
                <w:sz w:val="20"/>
                <w:szCs w:val="20"/>
                <w:color w:val="auto"/>
              </w:rPr>
            </w:pPr>
            <w:r>
              <w:rPr>
                <w:rFonts w:ascii="Arial" w:cs="Arial" w:eastAsia="Arial" w:hAnsi="Arial"/>
                <w:sz w:val="18"/>
                <w:szCs w:val="18"/>
                <w:color w:val="auto"/>
                <w:w w:val="99"/>
              </w:rPr>
              <w:t>assuming an initial public offering price of $</w:t>
            </w:r>
          </w:p>
        </w:tc>
        <w:tc>
          <w:tcPr>
            <w:tcW w:w="7440" w:type="dxa"/>
            <w:vAlign w:val="bottom"/>
            <w:gridSpan w:val="3"/>
          </w:tcPr>
          <w:p>
            <w:pPr>
              <w:jc w:val="right"/>
              <w:ind w:right="730"/>
              <w:spacing w:after="0"/>
              <w:rPr>
                <w:sz w:val="20"/>
                <w:szCs w:val="20"/>
                <w:color w:val="auto"/>
              </w:rPr>
            </w:pPr>
            <w:r>
              <w:rPr>
                <w:rFonts w:ascii="Arial" w:cs="Arial" w:eastAsia="Arial" w:hAnsi="Arial"/>
                <w:sz w:val="18"/>
                <w:szCs w:val="18"/>
                <w:color w:val="auto"/>
                <w:w w:val="94"/>
              </w:rPr>
              <w:t>per share, the midpoint of the price range set forth on the cover page of this prospectus.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200" w:right="260" w:firstLine="771"/>
        <w:spacing w:after="0" w:line="288" w:lineRule="auto"/>
        <w:rPr>
          <w:sz w:val="20"/>
          <w:szCs w:val="20"/>
          <w:color w:val="auto"/>
        </w:rPr>
      </w:pPr>
      <w:r>
        <w:rPr>
          <w:rFonts w:ascii="Arial" w:cs="Arial" w:eastAsia="Arial" w:hAnsi="Arial"/>
          <w:sz w:val="16"/>
          <w:szCs w:val="16"/>
          <w:color w:val="auto"/>
        </w:rPr>
        <w:t>The following table summarizes on the pro forma as adjusted basis described above, as of September 30, 2018, the differences between the number of shares purchased from us, the total consideration paid to us in cash and the average price per share paid by existing stockholders for shares issued prior to this offering and the price to be paid by new investors in this offering. The calculations below are based on an assumed initial public</w:t>
      </w:r>
    </w:p>
    <w:p>
      <w:pPr>
        <w:ind w:left="200" w:right="640"/>
        <w:spacing w:after="0" w:line="261" w:lineRule="auto"/>
        <w:rPr>
          <w:sz w:val="20"/>
          <w:szCs w:val="20"/>
          <w:color w:val="auto"/>
        </w:rPr>
      </w:pPr>
      <w:r>
        <w:rPr>
          <w:rFonts w:ascii="Arial" w:cs="Arial" w:eastAsia="Arial" w:hAnsi="Arial"/>
          <w:sz w:val="18"/>
          <w:szCs w:val="18"/>
          <w:color w:val="auto"/>
        </w:rPr>
        <w:t>offering price of $ per share, the midpoint of the price range set forth on the cover page of the prospectus, before deducting the estimated underwriting discounts and commissions and estimated offering expenses payable by 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400" w:type="dxa"/>
            <w:vAlign w:val="bottom"/>
            <w:gridSpan w:val="2"/>
            <w:vMerge w:val="restart"/>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1"/>
              </w:rPr>
              <w:t>Total Consideration</w:t>
            </w:r>
          </w:p>
        </w:tc>
        <w:tc>
          <w:tcPr>
            <w:tcW w:w="500" w:type="dxa"/>
            <w:vAlign w:val="bottom"/>
            <w:gridSpan w:val="3"/>
            <w:vMerge w:val="restart"/>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bottom w:val="single" w:sz="8" w:color="auto"/>
            </w:tcBorders>
            <w:gridSpan w:val="3"/>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bottom w:val="single" w:sz="8" w:color="auto"/>
            </w:tcBorders>
            <w:gridSpan w:val="5"/>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900" w:type="dxa"/>
            <w:vAlign w:val="bottom"/>
          </w:tcPr>
          <w:p>
            <w:pPr>
              <w:spacing w:after="0"/>
              <w:rPr>
                <w:sz w:val="3"/>
                <w:szCs w:val="3"/>
                <w:color w:val="auto"/>
              </w:rPr>
            </w:pPr>
          </w:p>
        </w:tc>
        <w:tc>
          <w:tcPr>
            <w:tcW w:w="8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3"/>
                <w:szCs w:val="3"/>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4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New investors participating in this offering</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gridSpan w:val="8"/>
          </w:tcPr>
          <w:p>
            <w:pPr>
              <w:ind w:left="760"/>
              <w:spacing w:after="0"/>
              <w:rPr>
                <w:sz w:val="20"/>
                <w:szCs w:val="20"/>
                <w:color w:val="auto"/>
              </w:rPr>
            </w:pPr>
            <w:r>
              <w:rPr>
                <w:rFonts w:ascii="Arial" w:cs="Arial" w:eastAsia="Arial" w:hAnsi="Arial"/>
                <w:sz w:val="18"/>
                <w:szCs w:val="18"/>
                <w:color w:val="auto"/>
                <w:w w:val="92"/>
              </w:rPr>
              <w:t>If the underwriters exercise their option to purchase additional shares of our common stock in full:</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80" w:type="dxa"/>
            <w:vAlign w:val="bottom"/>
            <w:gridSpan w:val="11"/>
          </w:tcPr>
          <w:p>
            <w:pPr>
              <w:ind w:left="860"/>
              <w:spacing w:after="0"/>
              <w:rPr>
                <w:sz w:val="20"/>
                <w:szCs w:val="20"/>
                <w:color w:val="auto"/>
              </w:rPr>
            </w:pPr>
            <w:r>
              <w:rPr>
                <w:rFonts w:ascii="Arial" w:cs="Arial" w:eastAsia="Arial" w:hAnsi="Arial"/>
                <w:sz w:val="18"/>
                <w:szCs w:val="18"/>
                <w:color w:val="auto"/>
                <w:w w:val="93"/>
              </w:rPr>
              <w:t>•   the percentage of shares of common stock held by existing stockholders will decrease to approximately</w:t>
            </w:r>
          </w:p>
        </w:tc>
        <w:tc>
          <w:tcPr>
            <w:tcW w:w="20" w:type="dxa"/>
            <w:vAlign w:val="bottom"/>
          </w:tcPr>
          <w:p>
            <w:pPr>
              <w:spacing w:after="0"/>
              <w:rPr>
                <w:sz w:val="24"/>
                <w:szCs w:val="24"/>
                <w:color w:val="auto"/>
              </w:rPr>
            </w:pPr>
          </w:p>
        </w:tc>
        <w:tc>
          <w:tcPr>
            <w:tcW w:w="2220" w:type="dxa"/>
            <w:vAlign w:val="bottom"/>
            <w:gridSpan w:val="9"/>
          </w:tcPr>
          <w:p>
            <w:pPr>
              <w:ind w:left="280"/>
              <w:spacing w:after="0"/>
              <w:rPr>
                <w:sz w:val="20"/>
                <w:szCs w:val="20"/>
                <w:color w:val="auto"/>
              </w:rPr>
            </w:pPr>
            <w:r>
              <w:rPr>
                <w:rFonts w:ascii="Arial" w:cs="Arial" w:eastAsia="Arial" w:hAnsi="Arial"/>
                <w:sz w:val="18"/>
                <w:szCs w:val="18"/>
                <w:color w:val="auto"/>
              </w:rPr>
              <w:t>% of the total number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180"/>
              <w:spacing w:after="0"/>
              <w:rPr>
                <w:sz w:val="20"/>
                <w:szCs w:val="20"/>
                <w:color w:val="auto"/>
              </w:rPr>
            </w:pPr>
            <w:r>
              <w:rPr>
                <w:rFonts w:ascii="Arial" w:cs="Arial" w:eastAsia="Arial" w:hAnsi="Arial"/>
                <w:sz w:val="18"/>
                <w:szCs w:val="18"/>
                <w:color w:val="auto"/>
                <w:w w:val="93"/>
              </w:rPr>
              <w:t>shares of our common stock outstanding after this offering; and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900" w:type="dxa"/>
            <w:vAlign w:val="bottom"/>
          </w:tcPr>
          <w:p>
            <w:pPr>
              <w:ind w:left="860"/>
              <w:spacing w:after="0"/>
              <w:rPr>
                <w:sz w:val="20"/>
                <w:szCs w:val="20"/>
                <w:color w:val="auto"/>
              </w:rPr>
            </w:pPr>
            <w:r>
              <w:rPr>
                <w:rFonts w:ascii="Arial" w:cs="Arial" w:eastAsia="Arial" w:hAnsi="Arial"/>
                <w:sz w:val="18"/>
                <w:szCs w:val="18"/>
                <w:color w:val="auto"/>
              </w:rPr>
              <w:t>•   the number of shares held by new investors will increase to</w:t>
            </w:r>
          </w:p>
        </w:tc>
        <w:tc>
          <w:tcPr>
            <w:tcW w:w="2020" w:type="dxa"/>
            <w:vAlign w:val="bottom"/>
            <w:gridSpan w:val="7"/>
          </w:tcPr>
          <w:p>
            <w:pPr>
              <w:jc w:val="right"/>
              <w:ind w:right="560"/>
              <w:spacing w:after="0"/>
              <w:rPr>
                <w:sz w:val="20"/>
                <w:szCs w:val="20"/>
                <w:color w:val="auto"/>
              </w:rPr>
            </w:pPr>
            <w:r>
              <w:rPr>
                <w:rFonts w:ascii="Arial" w:cs="Arial" w:eastAsia="Arial" w:hAnsi="Arial"/>
                <w:sz w:val="18"/>
                <w:szCs w:val="18"/>
                <w:color w:val="auto"/>
              </w:rPr>
              <w:t>, or approximately</w:t>
            </w:r>
          </w:p>
        </w:tc>
        <w:tc>
          <w:tcPr>
            <w:tcW w:w="3100" w:type="dxa"/>
            <w:vAlign w:val="bottom"/>
            <w:gridSpan w:val="13"/>
          </w:tcPr>
          <w:p>
            <w:pPr>
              <w:ind w:left="80"/>
              <w:spacing w:after="0"/>
              <w:rPr>
                <w:sz w:val="20"/>
                <w:szCs w:val="20"/>
                <w:color w:val="auto"/>
              </w:rPr>
            </w:pPr>
            <w:r>
              <w:rPr>
                <w:rFonts w:ascii="Arial" w:cs="Arial" w:eastAsia="Arial" w:hAnsi="Arial"/>
                <w:sz w:val="18"/>
                <w:szCs w:val="18"/>
                <w:color w:val="auto"/>
                <w:w w:val="99"/>
              </w:rPr>
              <w:t>% of the total number of shares of our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180"/>
              <w:spacing w:after="0"/>
              <w:rPr>
                <w:sz w:val="20"/>
                <w:szCs w:val="20"/>
                <w:color w:val="auto"/>
              </w:rPr>
            </w:pPr>
            <w:r>
              <w:rPr>
                <w:rFonts w:ascii="Arial" w:cs="Arial" w:eastAsia="Arial" w:hAnsi="Arial"/>
                <w:sz w:val="18"/>
                <w:szCs w:val="18"/>
                <w:color w:val="auto"/>
              </w:rPr>
              <w:t>common stock outstanding after this offering.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771"/>
        <w:spacing w:after="0" w:line="312" w:lineRule="auto"/>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207,121,355 shares of our common stock outstanding as of September 30, 2018, including 35,098,238 shares subject to forfeiture, after giving effect to the automatic conversion of all outstanding shares of our convertible preferred stock into 137,220,799 shares of our common stock prior to the closing of this offering, and exclude:</w:t>
      </w:r>
    </w:p>
    <w:p>
      <w:pPr>
        <w:spacing w:after="0" w:line="174" w:lineRule="exact"/>
        <w:rPr>
          <w:sz w:val="20"/>
          <w:szCs w:val="20"/>
          <w:color w:val="auto"/>
        </w:rPr>
      </w:pPr>
    </w:p>
    <w:p>
      <w:pPr>
        <w:ind w:left="1400" w:right="40" w:hanging="318"/>
        <w:spacing w:after="0" w:line="277"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9,469,500 shares of common stock issuable upon exercise of stock options outstanding as of September 30, 2018, at a weighted-average exercise price of $0.65 per share;</w:t>
      </w:r>
    </w:p>
    <w:p>
      <w:pPr>
        <w:spacing w:after="0" w:line="197" w:lineRule="exact"/>
        <w:rPr>
          <w:rFonts w:ascii="Arial" w:cs="Arial" w:eastAsia="Arial" w:hAnsi="Arial"/>
          <w:sz w:val="18"/>
          <w:szCs w:val="18"/>
          <w:color w:val="auto"/>
        </w:rPr>
      </w:pPr>
    </w:p>
    <w:p>
      <w:pPr>
        <w:ind w:left="1400" w:right="260" w:hanging="318"/>
        <w:spacing w:after="0" w:line="277"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13,558,900 shares of common stock issuable upon exercise of stock options granted after September 30, 2018, at a weighted-average exercise price of $2.38 per share;</w:t>
      </w:r>
    </w:p>
    <w:p>
      <w:pPr>
        <w:spacing w:after="0" w:line="197" w:lineRule="exact"/>
        <w:rPr>
          <w:rFonts w:ascii="Arial" w:cs="Arial" w:eastAsia="Arial" w:hAnsi="Arial"/>
          <w:sz w:val="18"/>
          <w:szCs w:val="18"/>
          <w:color w:val="auto"/>
        </w:rPr>
      </w:pPr>
    </w:p>
    <w:p>
      <w:pPr>
        <w:ind w:left="1940" w:hanging="858"/>
        <w:spacing w:after="0"/>
        <w:tabs>
          <w:tab w:leader="none" w:pos="1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2019 Plan, which will become effective in connection with</w:t>
      </w:r>
    </w:p>
    <w:p>
      <w:pPr>
        <w:spacing w:after="0" w:line="46" w:lineRule="exact"/>
        <w:rPr>
          <w:sz w:val="20"/>
          <w:szCs w:val="20"/>
          <w:color w:val="auto"/>
        </w:rPr>
      </w:pPr>
    </w:p>
    <w:p>
      <w:pPr>
        <w:ind w:left="1400" w:right="320"/>
        <w:spacing w:after="0" w:line="255" w:lineRule="auto"/>
        <w:rPr>
          <w:sz w:val="20"/>
          <w:szCs w:val="20"/>
          <w:color w:val="auto"/>
        </w:rPr>
      </w:pPr>
      <w:r>
        <w:rPr>
          <w:rFonts w:ascii="Arial" w:cs="Arial" w:eastAsia="Arial" w:hAnsi="Arial"/>
          <w:sz w:val="18"/>
          <w:szCs w:val="18"/>
          <w:color w:val="auto"/>
        </w:rPr>
        <w:t>this offering (which number includes shares remaining available for issuance under our 2017 Plan as of September 30, 2018, which will become available for issuance under the 2019 Plan upon its effectiveness, but does not include any potential evergreen increases pursuant to the terms of the 2019 Plan); and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46"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140" w:hanging="318"/>
        <w:spacing w:after="0" w:line="308" w:lineRule="auto"/>
        <w:tabs>
          <w:tab w:leader="none" w:pos="1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ESPP, which will become effective in connection with this offering (which number does not include any potential evergreen increases pursuant to the terms of the ESPP).</w:t>
      </w:r>
    </w:p>
    <w:p>
      <w:pPr>
        <w:spacing w:after="0" w:line="147"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To the extent any outstanding options are exercised, or we issue additional equity or convertible debt securities in the future, there will be further dilution to new investors.</w:t>
      </w:r>
    </w:p>
    <w:p>
      <w:pPr>
        <w:spacing w:after="0" w:line="10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60"/>
          </w:cols>
          <w:pgMar w:left="240" w:top="459" w:right="7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20" w:firstLine="771"/>
        <w:spacing w:after="0" w:line="288" w:lineRule="auto"/>
        <w:rPr>
          <w:sz w:val="20"/>
          <w:szCs w:val="20"/>
          <w:color w:val="auto"/>
        </w:rPr>
      </w:pPr>
      <w:r>
        <w:rPr>
          <w:rFonts w:ascii="Arial" w:cs="Arial" w:eastAsia="Arial" w:hAnsi="Arial"/>
          <w:sz w:val="16"/>
          <w:szCs w:val="16"/>
          <w:color w:val="auto"/>
        </w:rPr>
        <w:t>The following tables set forth selected historical consolidated financial data as of, and for the periods ended on, the dates indicated. We have derived the selected consolidated statements of operations data for the years ended December 31, 2016 and 2017 and the selected consolidated balance sheet data as of December 31, 2016 and 2017 from our audited consolidated financial statements included elsewhere in this prospectus. We have derived the selected consolidated statements of operations data for the nine months ended September 30, 2017 and 2018 and the selected consolidated balance sheet data as of September 30, 2018 from our unaudited consolidated financial statements included elsewhere in this prospectus. The unaudited consolidated financial statements have been prepared on a basis consistent with our audited consolidated financial statements included in this prospectus and, in the opinion of management, reflect all adjustments, consisting only of normal recurring adjustments, necessary to fairly state our financial position as of September 30, 2018 and results of operations for the nine months ended September 30, 2017 and 2018. You should read this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8"/>
          </w:tcPr>
          <w:p>
            <w:pPr>
              <w:jc w:val="right"/>
              <w:ind w:right="333"/>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216</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 process research and development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105</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6"/>
              </w:rPr>
              <w:t>321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33"/>
              <w:spacing w:after="0"/>
              <w:rPr>
                <w:sz w:val="20"/>
                <w:szCs w:val="20"/>
                <w:color w:val="auto"/>
              </w:rPr>
            </w:pPr>
            <w:r>
              <w:rPr>
                <w:rFonts w:ascii="Arial" w:cs="Arial" w:eastAsia="Arial" w:hAnsi="Arial"/>
                <w:sz w:val="18"/>
                <w:szCs w:val="18"/>
                <w:color w:val="auto"/>
              </w:rPr>
              <w:t>(321)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(108,175)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Weighted-average shares of common stock outstanding, basic</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(1)(2)</w:t>
            </w:r>
          </w:p>
        </w:tc>
        <w:tc>
          <w:tcPr>
            <w:tcW w:w="3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41,224,000</w:t>
            </w: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41,224,000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41,224,000</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27,602,600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w w:val="97"/>
              </w:rPr>
              <w:t>Pro forma net loss per share, basic and diluted (unaudited)</w:t>
            </w:r>
            <w:r>
              <w:rPr>
                <w:rFonts w:ascii="Arial" w:cs="Arial" w:eastAsia="Arial" w:hAnsi="Arial"/>
                <w:sz w:val="15"/>
                <w:szCs w:val="15"/>
                <w:color w:val="auto"/>
                <w:w w:val="97"/>
              </w:rPr>
              <w:t>(1)</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shares of common stock</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basic and diluted (unaudited)</w:t>
            </w:r>
            <w:r>
              <w:rPr>
                <w:rFonts w:ascii="Arial" w:cs="Arial" w:eastAsia="Arial" w:hAnsi="Arial"/>
                <w:sz w:val="15"/>
                <w:szCs w:val="15"/>
                <w:color w:val="auto"/>
              </w:rPr>
              <w:t>(1)</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41,224,000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111,740,879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340" w:hanging="316"/>
        <w:spacing w:after="0" w:line="230"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the historical and pro forma net loss per share, basic and diluted, and the number of shares used in the computation of the per share amounts.</w:t>
      </w:r>
    </w:p>
    <w:p>
      <w:pPr>
        <w:ind w:left="520" w:right="160" w:hanging="316"/>
        <w:spacing w:after="0" w:line="271" w:lineRule="auto"/>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connection with the issuance of the Series A convertible preferred stock in January 2018, certain of our founders entered into stock restriction agreements, whereby 20,612,000 of previously unrestricted shares of common stock became subject to forfeiture to us upon the founders’ termination of employment or service, which obligation lapses as the shares vest.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60</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315</w:t>
            </w:r>
          </w:p>
        </w:tc>
        <w:tc>
          <w:tcPr>
            <w:tcW w:w="7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18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Accumulated deficit</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(123)</w:t>
            </w: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rPr>
              <w:t>(6,894)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18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(6,862)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right="460" w:hanging="316"/>
        <w:spacing w:after="0" w:line="253"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included elsewhere in this prospectus for further details regarding our current assets and current liabilities.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in this prospectus. Some of the information contained in this discussion and analysis is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40" w:firstLine="771"/>
        <w:spacing w:after="0" w:line="297" w:lineRule="auto"/>
        <w:rPr>
          <w:sz w:val="20"/>
          <w:szCs w:val="20"/>
          <w:color w:val="auto"/>
        </w:rPr>
      </w:pPr>
      <w:r>
        <w:rPr>
          <w:rFonts w:ascii="Arial" w:cs="Arial" w:eastAsia="Arial" w:hAnsi="Arial"/>
          <w:sz w:val="16"/>
          <w:szCs w:val="16"/>
          <w:color w:val="auto"/>
        </w:rPr>
        <w:t>We are a clinical-stage biopharmaceutical company focused on discovering, acquiring, developing and commercializing therapeutics in the disease areas of immunology, inflammation and oncology. Our goal is to be an industry leader in each of these therapeutic areas and enhance and extend the lives of patients suffering from such diseases. To accomplish this goal, we have assembled a deeply experienced and highly skilled group of industry veterans, scientists, clinicians and key opinion leaders from leading biotechnology and pharmaceutical companies, as well as leading academic centers from around the world. Our collective immunology and translational discovery and development expertise serves as the foundation of our company.</w:t>
      </w:r>
    </w:p>
    <w:p>
      <w:pPr>
        <w:spacing w:after="0" w:line="158" w:lineRule="exact"/>
        <w:rPr>
          <w:sz w:val="20"/>
          <w:szCs w:val="20"/>
          <w:color w:val="auto"/>
        </w:rPr>
      </w:pPr>
    </w:p>
    <w:p>
      <w:pPr>
        <w:ind w:left="200" w:right="20" w:firstLine="771"/>
        <w:spacing w:after="0" w:line="269" w:lineRule="auto"/>
        <w:rPr>
          <w:sz w:val="20"/>
          <w:szCs w:val="20"/>
          <w:color w:val="auto"/>
        </w:rPr>
      </w:pPr>
      <w:r>
        <w:rPr>
          <w:rFonts w:ascii="Arial" w:cs="Arial" w:eastAsia="Arial" w:hAnsi="Arial"/>
          <w:sz w:val="17"/>
          <w:szCs w:val="17"/>
          <w:color w:val="auto"/>
        </w:rPr>
        <w:t>We are pursuing product candidates with strong scientific rationale to address indications where there is both a high unmet need and an opportunity to develop best-in-class or first-in-class programs. We currently have six programs: three clinical-stage product candidates and three preclinical programs. We commenced a Phase 2b clinical trial for our most advanced product candidate, GB001, in moderate-to-severe eosinophilic asthma in October 2018 and expect to conduct an interim analysis in the first half of 2020. If the interim analysis is positive, we plan on initiating a Phase 3 clinical trial thereafter. We also expect to initiate proof-of-concept Phase 2 clinical trials of GB001 in CRSwNP and CSU in 2019. We are developing GB002 for the treatment of PAH, and plan to commence a Phase 1b clinical trial in PAH in the first half of 2019 and a Phase 2/3 clinical trial in PAH in the second half of 2019. We are developing GB004 for the treatment of IBD, including UC and CD, and, following submission of an IND application with the FDA, expect to initiate a Phase 1b clinical trial in UC in the first half of 2019. We also plan to initiate a Phase 2 clinical trial in UC in the first half of 2020. We currently have three programs in preclinical development. GB1275 is an oral small molecule, CD11b agonist in preclinical development for the treatment of oncology indications for which we plan to submit an IND application and, after acceptance, initiate a Phase 1 clinical trial in 2019. We are also currently evaluating a portfolio of novel BTK inhibitors for the treatment of autoimmune indications and small molecule cancer metabolism modulators for the treatment of solid tumors.</w:t>
      </w:r>
    </w:p>
    <w:p>
      <w:pPr>
        <w:spacing w:after="0" w:line="180"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We were incorporated in October 2015 and commenced operations in 2017. To date, we have focused primarily on organizing and staffing our company, business planning, raising capital, identifying, acquiring and in-licensing our product candidates and conducting preclinical studies and early clinical trials. We have funded our operations primarily through equity financings. We raised $310.0 million from October 2017 through July 2018 through Series A and B convertible preferred stock financings and a convertible note financing. In addition, we received $12.8 million in cash in connection with the January 2018 acquisition of AA Biopharma Inc., of which Pulmagen Therapeutics (Asthma) Limited is a wholly-owned subsidiary. As of September 30, 2018, we had $256.4 million in cash, cash equivalents and marketable securities.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foreseeable future. For the year ended December 31, 2017 and for the nine months ended September 30, 2018, our net loss was $6.8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$108.2 million, respectively. As of September 30, 2018, we had an accumulated deficit of $115.1 million. We expect our expenses and operating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increase substantially as we conduct our ongoing and planned clinical trials, continue our research and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development activities and conduct preclinical studies, and seek regulatory approvals for our product candidates, as well as hire additional personnel, protect our intellectual property and incur additional costs associated with being a public company. In addition, as our product candidates progress through development and toward commercialization, we will need to make milestone payments to the licensors and other third parties from whom we have in-licensed or acquired our product candidates, including GB002 and GB004. Our net losses may fluctuate significantly from quarter-to-quarter and year-to-year, depending in particular on the timing of our clinical trials and preclinical studies and our expenditures on other research and development activities.</w:t>
      </w:r>
    </w:p>
    <w:p>
      <w:pPr>
        <w:spacing w:after="0" w:line="193"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We do not expect to generate any revenue from product sales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Our failure to raise capital or enter into such other arrangements when needed could have a negative impact on our financial condition and on our ability to pursue our business plans and strategies. If we are unable to raise additional capital when needed, we could be forced to delay, limit, reduce or terminate our product candidate development or future commercialization efforts or grant rights to develop and market our product candidates even if we would otherwise prefer to develop and market such product candidates ourselves.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200" w:right="800" w:firstLine="771"/>
        <w:spacing w:after="0" w:line="277"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for the foreseeable future.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Research and development expenses have related primarily to preclinical and clinical development of our product candidates and discovery efforts. Research and development expenses are recognized as incurred and payments made prior to the receipt of goods or services to be used in research and development are capitalized until the goods or services are received.</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Research and development expenses include or could include:</w:t>
      </w:r>
    </w:p>
    <w:p>
      <w:pPr>
        <w:spacing w:after="0" w:line="252" w:lineRule="exact"/>
        <w:rPr>
          <w:sz w:val="20"/>
          <w:szCs w:val="20"/>
          <w:color w:val="auto"/>
        </w:rPr>
      </w:pPr>
    </w:p>
    <w:p>
      <w:pPr>
        <w:ind w:left="1400" w:right="620" w:hanging="318"/>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97" w:lineRule="exact"/>
        <w:rPr>
          <w:rFonts w:ascii="Arial" w:cs="Arial" w:eastAsia="Arial" w:hAnsi="Arial"/>
          <w:sz w:val="18"/>
          <w:szCs w:val="18"/>
          <w:color w:val="auto"/>
        </w:rPr>
      </w:pPr>
    </w:p>
    <w:p>
      <w:pPr>
        <w:ind w:left="1400" w:right="260" w:hanging="318"/>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investigative sites and consultants to conduct our clinical trials and preclinical and non-clinical studies;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252" w:lineRule="exact"/>
        <w:rPr>
          <w:rFonts w:ascii="Arial" w:cs="Arial" w:eastAsia="Arial" w:hAnsi="Arial"/>
          <w:sz w:val="18"/>
          <w:szCs w:val="18"/>
          <w:color w:val="auto"/>
        </w:rPr>
      </w:pPr>
    </w:p>
    <w:p>
      <w:pPr>
        <w:ind w:left="1400" w:right="580" w:hanging="318"/>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manufacturing our product candidates for clinical trials and preclinical studies, including fees paid to third-party manufacturers;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320" w:hanging="318"/>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equipment and other supplies.</w:t>
      </w:r>
    </w:p>
    <w:p>
      <w:pPr>
        <w:spacing w:after="0" w:line="170" w:lineRule="exact"/>
        <w:rPr>
          <w:sz w:val="20"/>
          <w:szCs w:val="20"/>
          <w:color w:val="auto"/>
        </w:rPr>
      </w:pPr>
    </w:p>
    <w:p>
      <w:pPr>
        <w:ind w:left="200" w:right="80" w:firstLine="771"/>
        <w:spacing w:after="0" w:line="272" w:lineRule="auto"/>
        <w:rPr>
          <w:sz w:val="20"/>
          <w:szCs w:val="20"/>
          <w:color w:val="auto"/>
        </w:rPr>
      </w:pPr>
      <w:r>
        <w:rPr>
          <w:rFonts w:ascii="Arial" w:cs="Arial" w:eastAsia="Arial" w:hAnsi="Arial"/>
          <w:sz w:val="17"/>
          <w:szCs w:val="17"/>
          <w:color w:val="auto"/>
        </w:rPr>
        <w:t>Our direct research and development expenses consist principally of external costs, such as fees paid to CROs, investigative sites and consultants in connection with our clinical trials, preclinical and non-clinical studies, and costs related to manufacturing clinical trial materials. For the nine months ended September 30, 2018, the majority of our third-party expenses related to the research and development of GB001 and GB002. We deploy our personnel and facility related resources across all of our research and development activities. We track external costs and personnel expense on a program-by-program basis and allocate common expenses, such as facility related resources, to each program based on the personnel resources allocated to such program. Stock-based compensation and personnel and common expenses not attributable to a specific program are considered unallocated research and development expenses.</w:t>
      </w:r>
    </w:p>
    <w:p>
      <w:pPr>
        <w:spacing w:after="0" w:line="178" w:lineRule="exact"/>
        <w:rPr>
          <w:sz w:val="20"/>
          <w:szCs w:val="20"/>
          <w:color w:val="auto"/>
        </w:rPr>
      </w:pPr>
    </w:p>
    <w:p>
      <w:pPr>
        <w:ind w:left="200" w:firstLine="771"/>
        <w:spacing w:after="0" w:line="254" w:lineRule="auto"/>
        <w:rPr>
          <w:sz w:val="20"/>
          <w:szCs w:val="20"/>
          <w:color w:val="auto"/>
        </w:rPr>
      </w:pPr>
      <w:r>
        <w:rPr>
          <w:rFonts w:ascii="Arial" w:cs="Arial" w:eastAsia="Arial" w:hAnsi="Arial"/>
          <w:sz w:val="18"/>
          <w:szCs w:val="18"/>
          <w:color w:val="auto"/>
        </w:rPr>
        <w:t>We plan to substantially increase our research and development expenses for the foreseeable future as we continue the development of our product candidates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clinical development costs may vary significantly based on factors such as:</w:t>
      </w:r>
    </w:p>
    <w:p>
      <w:pPr>
        <w:spacing w:after="0" w:line="252" w:lineRule="exact"/>
        <w:rPr>
          <w:sz w:val="20"/>
          <w:szCs w:val="20"/>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 process research and development</w:t>
      </w:r>
    </w:p>
    <w:p>
      <w:pPr>
        <w:spacing w:after="0" w:line="225" w:lineRule="exact"/>
        <w:rPr>
          <w:sz w:val="20"/>
          <w:szCs w:val="20"/>
          <w:color w:val="auto"/>
        </w:rPr>
      </w:pPr>
    </w:p>
    <w:p>
      <w:pPr>
        <w:ind w:left="200" w:right="740" w:firstLine="771"/>
        <w:spacing w:after="0" w:line="277" w:lineRule="auto"/>
        <w:rPr>
          <w:sz w:val="20"/>
          <w:szCs w:val="20"/>
          <w:color w:val="auto"/>
        </w:rPr>
      </w:pPr>
      <w:r>
        <w:rPr>
          <w:rFonts w:ascii="Arial" w:cs="Arial" w:eastAsia="Arial" w:hAnsi="Arial"/>
          <w:sz w:val="18"/>
          <w:szCs w:val="18"/>
          <w:color w:val="auto"/>
        </w:rPr>
        <w:t>In process research and development, or IPR&amp;D, expenses include in-process research and development acquired as part of an asset acquisition or in-license for which there is no alternative future use, are expensed as incurred.</w:t>
      </w:r>
    </w:p>
    <w:p>
      <w:pPr>
        <w:spacing w:after="0" w:line="170"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IPR&amp;D expenses consist of our upfront payments made to Pulmokine, Inc., in connection with the in-license of GB002, the value of our stock issued to former AA Biopharma Inc. shareholders, in connection with the acquisition of GB001, and our upfront payments made to Aerpio Pharmaceuticals, Inc., or Aerpio, in connection with the in-license of GB004, our upfront payments made to Adhaere Pharmaceuticals, Inc., or Adhaere, in connection with the acquisition of GB1275, and upfront payments made in connection with the acquisition of our other preclinical programs.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200" w:right="80" w:firstLine="771"/>
        <w:spacing w:after="0" w:line="286" w:lineRule="auto"/>
        <w:rPr>
          <w:sz w:val="20"/>
          <w:szCs w:val="20"/>
          <w:color w:val="auto"/>
        </w:rPr>
      </w:pPr>
      <w:r>
        <w:rPr>
          <w:rFonts w:ascii="Arial" w:cs="Arial" w:eastAsia="Arial" w:hAnsi="Arial"/>
          <w:sz w:val="17"/>
          <w:szCs w:val="17"/>
          <w:color w:val="auto"/>
        </w:rPr>
        <w:t>General and administrative expenses consist primarily of salaries and employee-related costs, including stock-based compensation, for personnel in executive, finance and other administrative functions. Other significant costs include facility-related costs, legal fees relating to intellectual property and corporate matters, professional fees for accounting and consulting services and insurance costs.</w:t>
      </w:r>
    </w:p>
    <w:p>
      <w:pPr>
        <w:spacing w:after="0" w:line="166" w:lineRule="exact"/>
        <w:rPr>
          <w:sz w:val="20"/>
          <w:szCs w:val="20"/>
          <w:color w:val="auto"/>
        </w:rPr>
      </w:pPr>
    </w:p>
    <w:p>
      <w:pPr>
        <w:ind w:left="200" w:right="120" w:firstLine="771"/>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operating as a public company. These increases will likely include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200" w:right="80" w:firstLine="771"/>
        <w:spacing w:after="0" w:line="286" w:lineRule="auto"/>
        <w:rPr>
          <w:sz w:val="20"/>
          <w:szCs w:val="20"/>
          <w:color w:val="auto"/>
        </w:rPr>
      </w:pPr>
      <w:r>
        <w:rPr>
          <w:rFonts w:ascii="Arial" w:cs="Arial" w:eastAsia="Arial" w:hAnsi="Arial"/>
          <w:sz w:val="17"/>
          <w:szCs w:val="17"/>
          <w:color w:val="auto"/>
        </w:rPr>
        <w:t>Other income (expense), net consists of (1) interest income on our cash, cash equivalents and marketable securities and (2) interest expense related to the convertible promissory note issued in October 2017. The note converted into shares of our Series A convertible preferred stock in January 2018. See Note 5 to our consolidated financial statements included elsewhere in this prospectus for a description of the note.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for the Nine Months Ended September 30, 2017 and 2018</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table sets forth our selected statements of operations data for the nine months ended September 30, 2017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gridSpan w:val="4"/>
          </w:tcPr>
          <w:p>
            <w:pPr>
              <w:jc w:val="right"/>
              <w:ind w:right="700"/>
              <w:spacing w:after="0" w:line="119"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216</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29,411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29,195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IPR&amp;D</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49,659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30,116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109,186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88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1"/>
              </w:rPr>
              <w:t>(321)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(109,186)</w:t>
            </w:r>
          </w:p>
        </w:tc>
        <w:tc>
          <w:tcPr>
            <w:tcW w:w="6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8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880" w:type="dxa"/>
            <w:vAlign w:val="bottom"/>
          </w:tcPr>
          <w:p>
            <w:pPr>
              <w:spacing w:after="0"/>
              <w:rPr>
                <w:sz w:val="19"/>
                <w:szCs w:val="19"/>
                <w:color w:val="auto"/>
              </w:rPr>
            </w:pPr>
          </w:p>
        </w:tc>
        <w:tc>
          <w:tcPr>
            <w:tcW w:w="680" w:type="dxa"/>
            <w:vAlign w:val="bottom"/>
            <w:tcBorders>
              <w:bottom w:val="single" w:sz="8" w:color="auto"/>
            </w:tcBorders>
          </w:tcPr>
          <w:p>
            <w:pPr>
              <w:jc w:val="right"/>
              <w:ind w:right="502"/>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1"/>
              </w:rPr>
              <w:t>(321)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(108,175</w:t>
            </w:r>
          </w:p>
        </w:tc>
        <w:tc>
          <w:tcPr>
            <w:tcW w:w="620" w:type="dxa"/>
            <w:vAlign w:val="bottom"/>
          </w:tcPr>
          <w:p>
            <w:pPr>
              <w:jc w:val="right"/>
              <w:ind w:right="480"/>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(107,854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80" w:type="dxa"/>
            <w:vAlign w:val="bottom"/>
            <w:vMerge w:val="restart"/>
          </w:tcPr>
          <w:p>
            <w:pPr>
              <w:jc w:val="right"/>
              <w:ind w:right="470"/>
              <w:spacing w:after="0"/>
              <w:rPr>
                <w:sz w:val="20"/>
                <w:szCs w:val="20"/>
                <w:color w:val="auto"/>
              </w:rPr>
            </w:pPr>
            <w:r>
              <w:rPr>
                <w:rFonts w:ascii="Arial" w:cs="Arial" w:eastAsia="Arial" w:hAnsi="Arial"/>
                <w:sz w:val="18"/>
                <w:szCs w:val="18"/>
                <w:color w:val="auto"/>
              </w:rPr>
              <w:t>81</w:t>
            </w: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200" w:right="60" w:firstLine="771"/>
        <w:spacing w:after="0" w:line="279" w:lineRule="auto"/>
        <w:rPr>
          <w:sz w:val="20"/>
          <w:szCs w:val="20"/>
          <w:color w:val="auto"/>
        </w:rPr>
      </w:pPr>
      <w:r>
        <w:rPr>
          <w:rFonts w:ascii="Arial" w:cs="Arial" w:eastAsia="Arial" w:hAnsi="Arial"/>
          <w:sz w:val="17"/>
          <w:szCs w:val="17"/>
          <w:color w:val="auto"/>
        </w:rPr>
        <w:t>Research and development expenses were $29.4 million for the nine months ended September 30, 2018, compared to $216,000 for the nine months ended September 30, 2017. The $29.4 million for the nine months ended September 30, 2018 was primarily attributable to $7.6 million of costs associated with preclinical studies and clinical trials for GB001, $7.2 million of cost associated with preclinical studies and clinical trials for GB002, $6.1 million of personnel-related costs and $4.6 million of external consultants costs.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shows our research and development expenses by program for the nine months ended September 30, 2017 and 2018:</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11"/>
          </w:tcPr>
          <w:p>
            <w:pPr>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vMerge w:val="restart"/>
          </w:tcPr>
          <w:p>
            <w:pPr>
              <w:jc w:val="right"/>
              <w:ind w:right="45"/>
              <w:spacing w:after="0"/>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2"/>
              </w:rPr>
              <w:t>thousands)</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ind w:right="145"/>
              <w:spacing w:after="0"/>
              <w:rPr>
                <w:sz w:val="20"/>
                <w:szCs w:val="20"/>
                <w:color w:val="auto"/>
              </w:rPr>
            </w:pPr>
            <w:r>
              <w:rPr>
                <w:rFonts w:ascii="Arial" w:cs="Arial" w:eastAsia="Arial" w:hAnsi="Arial"/>
                <w:sz w:val="14"/>
                <w:szCs w:val="14"/>
                <w:b w:val="1"/>
                <w:bCs w:val="1"/>
                <w:color w:val="auto"/>
                <w:w w:val="97"/>
              </w:rPr>
              <w:t>(unaudited)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GB001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11,523</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11,523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GB002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Arial" w:cs="Arial" w:eastAsia="Arial" w:hAnsi="Arial"/>
                <w:sz w:val="18"/>
                <w:szCs w:val="18"/>
                <w:color w:val="auto"/>
                <w:w w:val="93"/>
              </w:rPr>
              <w:t>216</w:t>
            </w:r>
          </w:p>
        </w:tc>
        <w:tc>
          <w:tcPr>
            <w:tcW w:w="9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760"/>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GB004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programs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76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6"/>
              </w:rPr>
              <w:t>216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29,411</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IPR&amp;D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IPR&amp;D expenses were $49.7 million for the nine months ended September 30, 2018, compared to $0 for the nine months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2017. The $49.7 million for the nine months ended September 30, 2018 was primarily attributable to our $20.0 million upfront payment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made to Aerpio in connection with the in-license of GB004, $19.3 million of costs associated with the issuance of our stock in connection with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of GB001 and AA Biopharma and our $7.5 million upfront payment in connection with our acquisition of GB1275 and Adhaere.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General and administrative expenses were $30.1 million for the nine months ended September 30, 2018, compared to approximately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$105,000 for the nine months ended September 30, 2017. The $30.1 million for the nine months ended September 30, 2018 was primarily attributable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$20.0 million in stock-based compensation costs, $3.6 million in personnel-related costs, $2.2 million in professional fees, $1.6 million in facility-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related costs and $1.1 million in legal fees.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200" w:right="240" w:firstLine="771"/>
        <w:spacing w:after="0" w:line="264" w:lineRule="auto"/>
        <w:rPr>
          <w:sz w:val="20"/>
          <w:szCs w:val="20"/>
          <w:color w:val="auto"/>
        </w:rPr>
      </w:pPr>
      <w:r>
        <w:rPr>
          <w:rFonts w:ascii="Arial" w:cs="Arial" w:eastAsia="Arial" w:hAnsi="Arial"/>
          <w:sz w:val="18"/>
          <w:szCs w:val="18"/>
          <w:color w:val="auto"/>
        </w:rPr>
        <w:t>Other income (expense), net was $1.0 million for the nine months ended September 30, 2018, compared to $0 for the nine months ended September 30, 2017. The $1.0 million was attributable to $1.0 million interest income earned on our cash, cash equivalents and marketable securities during the period.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for the Years Ended December 31, 2016 and 2017</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our selected statements of operations data for the years ended December 31, 2016 and 2017:</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1"/>
          </w:tcPr>
          <w:p>
            <w:pPr>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5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gridSpan w:val="3"/>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4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891</w:t>
            </w:r>
          </w:p>
        </w:tc>
        <w:tc>
          <w:tcPr>
            <w:tcW w:w="680" w:type="dxa"/>
            <w:vAlign w:val="bottom"/>
            <w:gridSpan w:val="6"/>
          </w:tcPr>
          <w:p>
            <w:pPr>
              <w:jc w:val="right"/>
              <w:ind w:right="20"/>
              <w:spacing w:after="0"/>
              <w:rPr>
                <w:sz w:val="20"/>
                <w:szCs w:val="20"/>
                <w:color w:val="auto"/>
              </w:rPr>
            </w:pPr>
            <w:r>
              <w:rPr>
                <w:rFonts w:ascii="Arial" w:cs="Arial" w:eastAsia="Arial" w:hAnsi="Arial"/>
                <w:sz w:val="18"/>
                <w:szCs w:val="18"/>
                <w:color w:val="auto"/>
              </w:rPr>
              <w:t>$  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IPR&amp;D</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5,500</w:t>
            </w:r>
          </w:p>
        </w:tc>
        <w:tc>
          <w:tcPr>
            <w:tcW w:w="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6,653</w:t>
            </w:r>
          </w:p>
        </w:tc>
        <w:tc>
          <w:tcPr>
            <w:tcW w:w="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(6,653)</w:t>
            </w:r>
          </w:p>
        </w:tc>
        <w:tc>
          <w:tcPr>
            <w:tcW w:w="680" w:type="dxa"/>
            <w:vAlign w:val="bottom"/>
          </w:tcPr>
          <w:p>
            <w:pPr>
              <w:spacing w:after="0"/>
              <w:rPr>
                <w:sz w:val="20"/>
                <w:szCs w:val="20"/>
                <w:color w:val="auto"/>
              </w:rPr>
            </w:pPr>
          </w:p>
        </w:tc>
        <w:tc>
          <w:tcPr>
            <w:tcW w:w="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8"/>
              </w:rPr>
              <w:t>(6,570)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(6,771</w:t>
            </w:r>
          </w:p>
        </w:tc>
        <w:tc>
          <w:tcPr>
            <w:tcW w:w="680" w:type="dxa"/>
            <w:vAlign w:val="bottom"/>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(6,688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Research and development expenses were approximately $0.9 million for the year ended December 31, 2017, compared to $0 for the year ended December 31, 2016. The $0.9 million was primarily attributable to $0.6 million in legal fees, $0.2 million in external consultant costs and salaries and $0.1 million of employee-related costs for research and development staff. All research and development expenses for the year ended December 31, 2017 were attributable to GB002.</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IPR&amp;D</w:t>
      </w:r>
    </w:p>
    <w:p>
      <w:pPr>
        <w:spacing w:after="0" w:line="225"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IPR&amp;D expenses were approximately $5.5 million for the year ended December 31, 2017, compared to $0 for the year ended December 31, 2016. The $5.5 million was attributable to our upfront payment for the in-license of GB002 from Pulmokine.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200" w:right="280" w:firstLine="771"/>
        <w:spacing w:after="0" w:line="342" w:lineRule="auto"/>
        <w:rPr>
          <w:sz w:val="20"/>
          <w:szCs w:val="20"/>
          <w:color w:val="auto"/>
        </w:rPr>
      </w:pPr>
      <w:r>
        <w:rPr>
          <w:rFonts w:ascii="Arial" w:cs="Arial" w:eastAsia="Arial" w:hAnsi="Arial"/>
          <w:sz w:val="16"/>
          <w:szCs w:val="16"/>
          <w:color w:val="auto"/>
        </w:rPr>
        <w:t>General and administrative expenses were approximately $0.3 million for the year ended December 31, 2017, compared to approximately $0.1 million for the year ended December 31, 2016. The $0.3 million for the year ended December 31, 2017 was primarily related to legal fees.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Other income (expense), net was $0.1 million for the year ended December 31, 2017, compared to $0 for the year ended December 31,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$0.1 million was primarily related to interest expense on the convertible promissory note.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We have incurred substantial operating losses since our inception, and expect to continue to incur significant operating losses for the foreseeable future and may never become profitable. As of December 31, 2017 and September 30, 2018, we had an accumulated deficit of $6.9 million and $115.1 million, respectively.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81" w:lineRule="exact"/>
        <w:rPr>
          <w:sz w:val="20"/>
          <w:szCs w:val="20"/>
          <w:color w:val="auto"/>
        </w:rPr>
      </w:pPr>
    </w:p>
    <w:p>
      <w:pPr>
        <w:ind w:left="200" w:right="40" w:firstLine="771"/>
        <w:spacing w:after="0" w:line="253" w:lineRule="auto"/>
        <w:rPr>
          <w:sz w:val="20"/>
          <w:szCs w:val="20"/>
          <w:color w:val="auto"/>
        </w:rPr>
      </w:pPr>
      <w:r>
        <w:rPr>
          <w:rFonts w:ascii="Arial" w:cs="Arial" w:eastAsia="Arial" w:hAnsi="Arial"/>
          <w:sz w:val="18"/>
          <w:szCs w:val="18"/>
          <w:color w:val="auto"/>
        </w:rPr>
        <w:t>Since our inception, our operations have been financed primarily by gross proceeds of $310.0 million from the sale of our convertible preferred stock and a convertible promissory note. In January and March 2018, we issued and sold an aggregate of 45,714,286 shares of Series A convertible preferred stock at $1.75 per share, for approximately $73.9 million in gross proceeds and the cancellation of a $6.1 million convertible promissory note. In January 2018, we acquired GB001 pursuant to a merger agreement with AA Biopharma under which we issued to former AA Biopharma shareholders an aggregate of 20,000,000 shares of our Series Seed convertible preferred stock and 4,955,752 shares of our common stock. In connection with this acquisition, we received $12.8 million in cash. In July 2018, we raised approximately $230.0 million in gross proceeds from the sale of 71,506,513 shares of Series B convertible preferred stock. As of September 30, 2018, we had cash, cash equivalents and marketable securities of $256.4 million. Cash in excess of immediate requirements is invested in accordance with our investment policy, primarily with a view to capital preservation and liquidity.</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shows a summary of our cash flows for each of the periods shown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83"/>
              </w:rPr>
              <w:t>2016</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w w:val="95"/>
              </w:rPr>
              <w:t>(in thousands)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(5,745)</w:t>
            </w:r>
          </w:p>
        </w:tc>
        <w:tc>
          <w:tcPr>
            <w:tcW w:w="7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(26,021)</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(136,030)</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303,003</w:t>
            </w:r>
          </w:p>
        </w:tc>
        <w:tc>
          <w:tcPr>
            <w:tcW w:w="120" w:type="dxa"/>
            <w:vAlign w:val="bottom"/>
            <w:shd w:val="clear" w:color="auto" w:fill="CCEEFF"/>
          </w:tcPr>
          <w:p>
            <w:pPr>
              <w:spacing w:after="0"/>
              <w:rPr>
                <w:sz w:val="18"/>
                <w:szCs w:val="18"/>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140,952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200" w:right="140" w:firstLine="771"/>
        <w:spacing w:after="0" w:line="257" w:lineRule="auto"/>
        <w:rPr>
          <w:sz w:val="20"/>
          <w:szCs w:val="20"/>
          <w:color w:val="auto"/>
        </w:rPr>
      </w:pPr>
      <w:r>
        <w:rPr>
          <w:rFonts w:ascii="Arial" w:cs="Arial" w:eastAsia="Arial" w:hAnsi="Arial"/>
          <w:sz w:val="18"/>
          <w:szCs w:val="18"/>
          <w:color w:val="auto"/>
        </w:rPr>
        <w:t>During the nine months ended September 30, 2018, operating activities used approximately $26.0 million of cash, primarily resulting from a net loss of $108.2 million, partially reduced by in process research and development expenses of $49.7 million, changes in operating assets and liabilities of $12.2 million and stock-based compensation expense of $20.1 million. Net cash provided by changes in operating assets and liabilities consisted primarily of increases in accounts payable and accrued expenses of $14.6 million, partially offset by an increase in prepaid expenses due to prepayments for clinical development activities and security deposits.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During the nine months ended September 30, 2017, operating activities were nominal.</w:t>
      </w:r>
    </w:p>
    <w:p>
      <w:pPr>
        <w:spacing w:after="0" w:line="225"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During the year ended December 31, 2017, operating activities used approximately $5.7 million of cash, primarily resulting from a net loss of $6.8 million, partially reduced by increases in accounts payable of $1.0 million.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During the year ended December 31, 2016, operating activities were nominal.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200" w:right="200" w:firstLine="771"/>
        <w:spacing w:after="0" w:line="264" w:lineRule="auto"/>
        <w:rPr>
          <w:sz w:val="20"/>
          <w:szCs w:val="20"/>
          <w:color w:val="auto"/>
        </w:rPr>
      </w:pPr>
      <w:r>
        <w:rPr>
          <w:rFonts w:ascii="Arial" w:cs="Arial" w:eastAsia="Arial" w:hAnsi="Arial"/>
          <w:sz w:val="18"/>
          <w:szCs w:val="18"/>
          <w:color w:val="auto"/>
        </w:rPr>
        <w:t>During the nine months ended September 30, 2018, investing activities used approximately $136.0 million of cash, primarily resulting from the upfront payment made to Aerpio of $20.0 million in connection with the in-license of GB004, the purchase of marketable securities of $115.1 million, upfront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payments of $10.6 million in connection with the acquisition of our preclinical programs and the purchase of property and equipment of $3.8 million, partially offset by $12.8 million of cash proceeds received from AA Biopharma in connection with our acquisition.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no investing activities for the nine months ended September 30, 2017.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no investing activities for the years ended December 31, 2016 and 2017, respectively.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200" w:right="380" w:firstLine="771"/>
        <w:spacing w:after="0" w:line="277" w:lineRule="auto"/>
        <w:rPr>
          <w:sz w:val="20"/>
          <w:szCs w:val="20"/>
          <w:color w:val="auto"/>
        </w:rPr>
      </w:pPr>
      <w:r>
        <w:rPr>
          <w:rFonts w:ascii="Arial" w:cs="Arial" w:eastAsia="Arial" w:hAnsi="Arial"/>
          <w:sz w:val="18"/>
          <w:szCs w:val="18"/>
          <w:color w:val="auto"/>
        </w:rPr>
        <w:t>During the nine months ended September 30, 2018, financing activities provided $303.0 million of cash, primarily resulting from the net proceeds from issuance of our Series A and B convertible preferred stock of $303.0 million.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no financing activities for the nine months ended September 30, 2017.</w:t>
      </w:r>
    </w:p>
    <w:p>
      <w:pPr>
        <w:spacing w:after="0" w:line="225"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During the year ended December 31, 2017, financing activities provided $6.0 million of cash, primarily resulting from the proceeds from issuance of a convertible promissory note.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During the year ended December 31, 2016, financing activities were nominal.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together with the estimated net proceeds from this offering, will be sufficient to fund our operations through at least the next 12 months from the date of this offering.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use our capital resources sooner than we expect. Additionally, the process of testing product candidates in clinical trials is costly, and the timing of progress and expenses in these trials is uncertain.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1400" w:right="440" w:hanging="318"/>
        <w:spacing w:after="0" w:line="277"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our preclinical studies and clinical trials of our product candidates which we are pursuing or may choose to pursue in the future;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52" w:lineRule="exact"/>
        <w:rPr>
          <w:rFonts w:ascii="Arial" w:cs="Arial" w:eastAsia="Arial" w:hAnsi="Arial"/>
          <w:sz w:val="18"/>
          <w:szCs w:val="18"/>
          <w:color w:val="auto"/>
        </w:rPr>
      </w:pPr>
    </w:p>
    <w:p>
      <w:pPr>
        <w:ind w:left="1400" w:right="500" w:hanging="318"/>
        <w:spacing w:after="0" w:line="277"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252" w:lineRule="exact"/>
        <w:rPr>
          <w:rFonts w:ascii="Arial" w:cs="Arial" w:eastAsia="Arial" w:hAnsi="Arial"/>
          <w:sz w:val="18"/>
          <w:szCs w:val="18"/>
          <w:color w:val="auto"/>
        </w:rPr>
      </w:pPr>
    </w:p>
    <w:p>
      <w:pPr>
        <w:ind w:left="1400" w:right="240" w:hanging="318"/>
        <w:spacing w:after="0" w:line="277"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our acquired our product candidates;</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25" w:lineRule="exact"/>
        <w:rPr>
          <w:sz w:val="20"/>
          <w:szCs w:val="20"/>
          <w:color w:val="auto"/>
        </w:rPr>
      </w:pPr>
    </w:p>
    <w:p>
      <w:pPr>
        <w:ind w:left="200" w:right="40" w:firstLine="771"/>
        <w:spacing w:after="0" w:line="268" w:lineRule="auto"/>
        <w:rPr>
          <w:sz w:val="20"/>
          <w:szCs w:val="20"/>
          <w:color w:val="auto"/>
        </w:rPr>
      </w:pPr>
      <w:r>
        <w:rPr>
          <w:rFonts w:ascii="Arial" w:cs="Arial" w:eastAsia="Arial" w:hAnsi="Arial"/>
          <w:sz w:val="17"/>
          <w:szCs w:val="17"/>
          <w:color w:val="auto"/>
        </w:rPr>
        <w:t>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capital when needed, we could be forced to delay, limit, reduce or terminate our product candidate development or future commercialization efforts or grant rights to develop and market our product candidates even if we would otherwise prefer to develop and market such product candidates ourselves.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contractual obligations at September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4"/>
              </w:rPr>
              <w:t>Payments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48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 1 Year</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1 - 3 Years</w:t>
            </w: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3 - 5 Years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thousands)</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22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89"/>
              </w:rPr>
              <w:t>$15,854</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341</w:t>
            </w:r>
          </w:p>
        </w:tc>
        <w:tc>
          <w:tcPr>
            <w:tcW w:w="6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160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2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15,854</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341</w:t>
            </w:r>
          </w:p>
        </w:tc>
        <w:tc>
          <w:tcPr>
            <w:tcW w:w="6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Operating leases include our continuing rent obligations through December 2024.</w:t>
      </w:r>
    </w:p>
    <w:p>
      <w:pPr>
        <w:ind w:left="520" w:hanging="316"/>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At September 30, 2018, we had $3.6 million of open purchase orders. All of our purchase orders may be cancelled without significant penalty.</w:t>
      </w:r>
    </w:p>
    <w:p>
      <w:pPr>
        <w:spacing w:after="0" w:line="196" w:lineRule="exact"/>
        <w:rPr>
          <w:sz w:val="20"/>
          <w:szCs w:val="20"/>
          <w:color w:val="auto"/>
        </w:rPr>
      </w:pPr>
    </w:p>
    <w:p>
      <w:pPr>
        <w:ind w:left="200" w:right="80" w:firstLine="771"/>
        <w:spacing w:after="0" w:line="273" w:lineRule="auto"/>
        <w:rPr>
          <w:sz w:val="20"/>
          <w:szCs w:val="20"/>
          <w:color w:val="auto"/>
        </w:rPr>
      </w:pPr>
      <w:r>
        <w:rPr>
          <w:rFonts w:ascii="Arial" w:cs="Arial" w:eastAsia="Arial" w:hAnsi="Arial"/>
          <w:sz w:val="17"/>
          <w:szCs w:val="17"/>
          <w:color w:val="auto"/>
        </w:rPr>
        <w:t>Under our license agreements with Pulmokine and Aerpio, as well as our other license and acquisition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As of September 30, 2018, we were unable to estimate the timing or likelihood of achieving the milestones or making future product sales and, therefore, any related payments are not included in the table above. For additional information regarding these license agreements, including our payment obligations thereunder, see “Business —License Agreements” and Note 6 to our consolidated financial statements included elsewhere in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771"/>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manufacturers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3160" w:firstLine="77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rules and regulations of the SEC.</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or GAAP.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Our most critical accounting policies are summarized below. See Note 2 to our consolidated financial statements included elsewhere in this prospectus for a description of our other significant accounting policies.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200" w:right="20" w:firstLine="771"/>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ind w:left="200" w:right="20" w:firstLine="771"/>
        <w:spacing w:after="0" w:line="271"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79" w:lineRule="exact"/>
        <w:rPr>
          <w:sz w:val="20"/>
          <w:szCs w:val="20"/>
          <w:color w:val="auto"/>
        </w:rPr>
      </w:pPr>
    </w:p>
    <w:p>
      <w:pPr>
        <w:ind w:left="200" w:firstLine="771"/>
        <w:spacing w:after="0" w:line="312"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 We record expense for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158" w:lineRule="exact"/>
        <w:rPr>
          <w:sz w:val="20"/>
          <w:szCs w:val="20"/>
          <w:color w:val="auto"/>
        </w:rPr>
      </w:pPr>
    </w:p>
    <w:p>
      <w:pPr>
        <w:ind w:left="200" w:right="40" w:firstLine="771"/>
        <w:spacing w:after="0" w:line="271" w:lineRule="auto"/>
        <w:rPr>
          <w:sz w:val="20"/>
          <w:szCs w:val="20"/>
          <w:color w:val="auto"/>
        </w:rPr>
      </w:pPr>
      <w:r>
        <w:rPr>
          <w:rFonts w:ascii="Arial" w:cs="Arial" w:eastAsia="Arial" w:hAnsi="Arial"/>
          <w:sz w:val="17"/>
          <w:szCs w:val="17"/>
          <w:color w:val="auto"/>
        </w:rPr>
        <w:t>The determination of the grant date fair value of options using an option pricing model is affected principally by our estimated fair value of shares of our common stock and requires management to make a number of other assumptions, including the expected life of the option, the volatility of the underlying shares, the risk-free interest rate and expected dividends.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 See Note 9 to our consolidated financial statements included elsewhere in this prospectus for information concerning certain of the specific assumptions we used in applying the Black-Scholes option pricing model to determine the estimated fair value of our stock options granted in the nine months ended September 30, 2018.</w:t>
      </w:r>
    </w:p>
    <w:p>
      <w:pPr>
        <w:spacing w:after="0" w:line="179" w:lineRule="exact"/>
        <w:rPr>
          <w:sz w:val="20"/>
          <w:szCs w:val="20"/>
          <w:color w:val="auto"/>
        </w:rPr>
      </w:pPr>
    </w:p>
    <w:p>
      <w:pPr>
        <w:ind w:left="200" w:right="260" w:firstLine="771"/>
        <w:spacing w:after="0" w:line="291" w:lineRule="auto"/>
        <w:rPr>
          <w:sz w:val="20"/>
          <w:szCs w:val="20"/>
          <w:color w:val="auto"/>
        </w:rPr>
      </w:pPr>
      <w:r>
        <w:rPr>
          <w:rFonts w:ascii="Arial" w:cs="Arial" w:eastAsia="Arial" w:hAnsi="Arial"/>
          <w:sz w:val="16"/>
          <w:szCs w:val="16"/>
          <w:color w:val="auto"/>
        </w:rPr>
        <w:t>As of September 30, 2018, the unrecognized stock-based compensation expense related to employee stock options and unvested restricted stock was $3.7 million and $28.2 million, respectively, and is expected to be recognized as expense over a weighted-average period of approximately</w:t>
      </w:r>
    </w:p>
    <w:p>
      <w:pPr>
        <w:ind w:left="200" w:right="20"/>
        <w:spacing w:after="0" w:line="255" w:lineRule="auto"/>
        <w:rPr>
          <w:sz w:val="20"/>
          <w:szCs w:val="20"/>
          <w:color w:val="auto"/>
        </w:rPr>
      </w:pPr>
      <w:r>
        <w:rPr>
          <w:rFonts w:ascii="Arial" w:cs="Arial" w:eastAsia="Arial" w:hAnsi="Arial"/>
          <w:sz w:val="18"/>
          <w:szCs w:val="18"/>
          <w:color w:val="auto"/>
        </w:rPr>
        <w:t>4.0 years. The intrinsic value of all outstanding stock options as of September 30, 2018 was approximately $ million, based upon the assumed initial public offering price of $ per share, which is the midpoint of the estimated offering price range set forth on the cover page of this prospectus, of which approximately $ million related to vested options and approximately $ million related to unvested options.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left="200" w:right="100" w:firstLine="771"/>
        <w:spacing w:after="0" w:line="270" w:lineRule="auto"/>
        <w:rPr>
          <w:sz w:val="20"/>
          <w:szCs w:val="20"/>
          <w:color w:val="auto"/>
        </w:rPr>
      </w:pPr>
      <w:r>
        <w:rPr>
          <w:rFonts w:ascii="Arial" w:cs="Arial" w:eastAsia="Arial" w:hAnsi="Arial"/>
          <w:sz w:val="17"/>
          <w:szCs w:val="17"/>
          <w:color w:val="auto"/>
        </w:rPr>
        <w:t xml:space="preserve">We are required to estimate the fair value of the common stock underlying our stock-based awards when performing fair value calculations, which is the most subjective input into the Black-Scholes option pricing model. The fair value of the common stock underlying our stock-based awards was determined on each grant date by our board of directors, taking into account input from management and independent third-party valuation analyses. All options to purchase shares of our common stock are intended to be granted with an exercise price per share no less than the fair value per share of our common stock underlying those options on the date of grant, based on the information known to us on the date of grant. In the absence of a public trading market for our common stock, on each grant date we develop an estimate of the fair value of our common stock in order to determine an exercise price for the option grants. Our determinations of the fair value of our common stock were made using methodologies, approaches and assumptions consistent with the American Institute of Certified Public Accountants Audit and Accounting Practice Aid Series: </w:t>
      </w:r>
      <w:r>
        <w:rPr>
          <w:rFonts w:ascii="Arial" w:cs="Arial" w:eastAsia="Arial" w:hAnsi="Arial"/>
          <w:sz w:val="17"/>
          <w:szCs w:val="17"/>
          <w:i w:val="1"/>
          <w:iCs w:val="1"/>
          <w:color w:val="auto"/>
        </w:rPr>
        <w:t>Valuation of Privately</w:t>
      </w:r>
      <w:r>
        <w:rPr>
          <w:rFonts w:ascii="Arial" w:cs="Arial" w:eastAsia="Arial" w:hAnsi="Arial"/>
          <w:sz w:val="17"/>
          <w:szCs w:val="17"/>
          <w:color w:val="auto"/>
        </w:rPr>
        <w:t xml:space="preserve"> </w:t>
      </w:r>
      <w:r>
        <w:rPr>
          <w:rFonts w:ascii="Arial" w:cs="Arial" w:eastAsia="Arial" w:hAnsi="Arial"/>
          <w:sz w:val="17"/>
          <w:szCs w:val="17"/>
          <w:i w:val="1"/>
          <w:iCs w:val="1"/>
          <w:color w:val="auto"/>
        </w:rPr>
        <w:t>Held Company Equity Securities Issued as Compensation</w:t>
      </w:r>
      <w:r>
        <w:rPr>
          <w:rFonts w:ascii="Arial" w:cs="Arial" w:eastAsia="Arial" w:hAnsi="Arial"/>
          <w:sz w:val="17"/>
          <w:szCs w:val="17"/>
          <w:color w:val="auto"/>
        </w:rPr>
        <w:t>, or the Practice Aid.</w:t>
      </w:r>
    </w:p>
    <w:p>
      <w:pPr>
        <w:spacing w:after="0" w:line="182"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Our board of directors considered various objective and subjective factors, along with input from management, to determine the fair value of our common stock, including:</w:t>
      </w:r>
    </w:p>
    <w:p>
      <w:pPr>
        <w:spacing w:after="0" w:line="197" w:lineRule="exact"/>
        <w:rPr>
          <w:sz w:val="20"/>
          <w:szCs w:val="20"/>
          <w:color w:val="auto"/>
        </w:rPr>
      </w:pPr>
    </w:p>
    <w:p>
      <w:pPr>
        <w:ind w:left="1400" w:hanging="318"/>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valuations of our common stock performed by independent third-party valuation specialists;</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 candidates, and the material risks related to our business and industry;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252" w:lineRule="exact"/>
        <w:rPr>
          <w:rFonts w:ascii="Arial" w:cs="Arial" w:eastAsia="Arial" w:hAnsi="Arial"/>
          <w:sz w:val="18"/>
          <w:szCs w:val="18"/>
          <w:color w:val="auto"/>
        </w:rPr>
      </w:pPr>
    </w:p>
    <w:p>
      <w:pPr>
        <w:ind w:left="1400" w:right="260" w:hanging="318"/>
        <w:spacing w:after="0" w:line="277" w:lineRule="auto"/>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252"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97" w:lineRule="exact"/>
        <w:rPr>
          <w:rFonts w:ascii="Arial" w:cs="Arial" w:eastAsia="Arial" w:hAnsi="Arial"/>
          <w:sz w:val="18"/>
          <w:szCs w:val="18"/>
          <w:color w:val="auto"/>
        </w:rPr>
      </w:pPr>
    </w:p>
    <w:p>
      <w:pPr>
        <w:ind w:left="1400" w:right="420" w:hanging="318"/>
        <w:spacing w:after="0" w:line="277" w:lineRule="auto"/>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left="200" w:firstLine="771"/>
        <w:spacing w:after="0" w:line="284" w:lineRule="auto"/>
        <w:rPr>
          <w:sz w:val="20"/>
          <w:szCs w:val="20"/>
          <w:color w:val="auto"/>
        </w:rPr>
      </w:pPr>
      <w:r>
        <w:rPr>
          <w:rFonts w:ascii="Arial" w:cs="Arial" w:eastAsia="Arial" w:hAnsi="Arial"/>
          <w:sz w:val="16"/>
          <w:szCs w:val="16"/>
          <w:color w:val="auto"/>
        </w:rPr>
        <w:t>Our valuations were prepared in accordance with the guidelines in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In determining a fair value for our common stock, we estimated the enterprise value of our business using either the market approach or the back-solve method. The back-solve method assigns an implied enterprise value based on the most recent round of funding or investment and allows for the incorporation of the implied future benefits and risks of the investment decision assigned by an outside investor. In accordance with the Practice Aid, we considered the various methods for allocating the enterprise value across our classes and series of capital stock to determine the fair value of our common stock at each valuation date. We only granted restricted stock awards prior to January 2018. From January 2018 to July 2018, we concluded that a hybrid of the Option Pricing Method, or OPM, and the guideline transaction method with current value method allocation, or CVM, was the most appropriate for each of the valuations of our common stock performed by our independent third-party valuation specialist. Under the OPM, shares are valued by creating a series of call options with exercise prices based on the liquidation preferences and conversion terms of each equity class. The values of the preferred and common stock are inferred by analyzing these options. Under the CVM, the enterprise value is calculated based on an assumed forced asset sale at a future date and the corresponding allocation of proceeds based on the rights and preferences of each class of equity. The valuations assigned a relative weighting to each of the OPM back-solve and asset sale scenarios, based on the likelihood that the Company would be able to successfully advance its development programs to the next development stage with its current capital resources. We believed this hybrid method was the most appropriate given the expectation of various potential liquidity outcomes and the difficulty of selecting appropriate enterprise values given our early stage of development, while allowing us to accurately capture the potential downside risk of our clinical-stage assets. In November 2018, we changed to a hybrid of the OPM and Probability-Weighted Expected Return Method, or PWERM. The PWERM is a scenario-based analysis that estimates the value per share based on the probability-weighted present value of expected future investment returns, considering each of the possible outcomes available to us, as well as the economic and control rights of each share class. Under this hybrid method, we considered the expected initial public offering liquidity scenario, but also used the OPM to capture all other scenarios in the event a near-term initial public offering does not occur.</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its closing price as reported on the date of grant on the primary stock exchange on which our common stock is traded.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200" w:right="1080" w:firstLine="77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a description of recent accounting pronouncements applicable to our consolidated financial statements.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Qualitative and quantitative disclosures about market risk</w:t>
      </w:r>
    </w:p>
    <w:p>
      <w:pPr>
        <w:spacing w:after="0" w:line="225"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investments, including cash equivalents, are in the form of U.S. Treasury securities and a money market fund that is invested in U.S. Treasury securities.</w:t>
      </w:r>
    </w:p>
    <w:p>
      <w:pPr>
        <w:spacing w:after="0" w:line="181"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September 30, 2018 and December 31, 2017, we had minimal or no liabilities denominated in foreign currencies.</w:t>
      </w:r>
    </w:p>
    <w:p>
      <w:pPr>
        <w:spacing w:after="0" w:line="187" w:lineRule="exact"/>
        <w:rPr>
          <w:sz w:val="20"/>
          <w:szCs w:val="20"/>
          <w:color w:val="auto"/>
        </w:rPr>
      </w:pPr>
    </w:p>
    <w:p>
      <w:pPr>
        <w:ind w:left="200" w:right="220" w:firstLine="771"/>
        <w:spacing w:after="0" w:line="342"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 ended December 31, 2017 or nine months ended September 30, 2018.</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78" w:lineRule="exact"/>
        <w:rPr>
          <w:sz w:val="20"/>
          <w:szCs w:val="20"/>
          <w:color w:val="auto"/>
        </w:rPr>
      </w:pPr>
    </w:p>
    <w:p>
      <w:pPr>
        <w:ind w:left="200" w:right="40" w:firstLine="771"/>
        <w:spacing w:after="0" w:line="28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w:t>
      </w:r>
    </w:p>
    <w:p>
      <w:pPr>
        <w:spacing w:after="0" w:line="2" w:lineRule="exact"/>
        <w:rPr>
          <w:sz w:val="20"/>
          <w:szCs w:val="20"/>
          <w:color w:val="auto"/>
        </w:rPr>
      </w:pPr>
    </w:p>
    <w:p>
      <w:pPr>
        <w:ind w:left="5620" w:right="1700" w:hanging="5416"/>
        <w:spacing w:after="0" w:line="433" w:lineRule="auto"/>
        <w:tabs>
          <w:tab w:leader="none" w:pos="5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100" w:firstLine="771"/>
        <w:spacing w:after="0" w:line="255" w:lineRule="auto"/>
        <w:rPr>
          <w:sz w:val="20"/>
          <w:szCs w:val="20"/>
          <w:color w:val="auto"/>
        </w:rPr>
      </w:pPr>
      <w:r>
        <w:rPr>
          <w:rFonts w:ascii="Arial" w:cs="Arial" w:eastAsia="Arial" w:hAnsi="Arial"/>
          <w:sz w:val="18"/>
          <w:szCs w:val="18"/>
          <w:color w:val="auto"/>
        </w:rPr>
        <w:t>We are a clinical-stage biopharmaceutical company focused on discovering, acquiring, developing and commercializing therapeutics in the disease areas of immunology, inflammation and oncology. Our goal is to be an industry leader in each of these therapeutic areas and to enhance and extend the lives of patients suffering from such diseases. To accomplish this goal, we have assembled a deeply experienced and highly skilled group of industry veterans, scientists, clinicians and key opinion leaders from leading biotechnology and pharmaceutical companies, as well as leading academic centers from around the world. Our collective immunology and translational discovery and development expertise serves as the foundation of our company. We intend to maintain a scientifically rigorous and inclusive corporate culture where employees strive to bring improved therapeutic options to patients.</w:t>
      </w:r>
    </w:p>
    <w:p>
      <w:pPr>
        <w:spacing w:after="0" w:line="189" w:lineRule="exact"/>
        <w:rPr>
          <w:sz w:val="20"/>
          <w:szCs w:val="20"/>
          <w:color w:val="auto"/>
        </w:rPr>
      </w:pPr>
    </w:p>
    <w:p>
      <w:pPr>
        <w:jc w:val="both"/>
        <w:ind w:left="200" w:right="420" w:firstLine="771"/>
        <w:spacing w:after="0" w:line="312" w:lineRule="auto"/>
        <w:rPr>
          <w:sz w:val="20"/>
          <w:szCs w:val="20"/>
          <w:color w:val="auto"/>
        </w:rPr>
      </w:pPr>
      <w:r>
        <w:rPr>
          <w:rFonts w:ascii="Arial" w:cs="Arial" w:eastAsia="Arial" w:hAnsi="Arial"/>
          <w:sz w:val="16"/>
          <w:szCs w:val="16"/>
          <w:color w:val="auto"/>
        </w:rPr>
        <w:t>We are pursuing product candidates with strong scientific rationale to address indications where there is both a high unmet need and an opportunity to develop best-in-class or first-in-class therapeutics. We currently have six programs: three clinical-stage product candidates and three preclinical programs. We commenced a Phase 2b clinical trial for our most advanced product candidate, GB001, in October 2018.</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168910</wp:posOffset>
            </wp:positionV>
            <wp:extent cx="5076825" cy="2624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7682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GB001 (DP2 Antagonist)</w:t>
      </w:r>
    </w:p>
    <w:p>
      <w:pPr>
        <w:spacing w:after="0" w:line="225"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GB001 is an oral antagonist of prostaglandin D</w:t>
      </w:r>
      <w:r>
        <w:rPr>
          <w:rFonts w:ascii="Arial" w:cs="Arial" w:eastAsia="Arial" w:hAnsi="Arial"/>
          <w:sz w:val="14"/>
          <w:szCs w:val="14"/>
          <w:color w:val="auto"/>
        </w:rPr>
        <w:t>2</w:t>
      </w:r>
      <w:r>
        <w:rPr>
          <w:rFonts w:ascii="Arial" w:cs="Arial" w:eastAsia="Arial" w:hAnsi="Arial"/>
          <w:sz w:val="17"/>
          <w:szCs w:val="17"/>
          <w:color w:val="auto"/>
        </w:rPr>
        <w:t xml:space="preserve"> receptor 2, or DP2, in development for the treatment of moderate-to-severe eosinophilic asthma and other allergic conditions. Eosinophilic asthma is caused by high levels of white blood cells known as eosinophils and is associated with more severe symptoms, late-onset disease and resistance to steroid treatment. We estimate that approximately 50% of severe asthma patients in the United States have eosinophilic asthma. Despite the availability of new biologic therapies for these patients, asthma exacerbations remain a significant healthcare problem and unmet medical need. As of December 15, 2018, GB001 had been studied in 409 subjects in total and was generally well tolerated. In a Phase 2 clinical trial conducted in Japan, GB001 showed a statistically significant improvement in time-to-first asthma exacerbation compared to placebo. In a separate 248 subject Phase 2 clinical trial, neither treatment group, GB001 nor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montelukast, achieved the primary endpoint of improvement in forced expiratory volume in one second, or FEV</w:t>
      </w:r>
      <w:r>
        <w:rPr>
          <w:rFonts w:ascii="Arial" w:cs="Arial" w:eastAsia="Arial" w:hAnsi="Arial"/>
          <w:sz w:val="14"/>
          <w:szCs w:val="14"/>
          <w:color w:val="auto"/>
        </w:rPr>
        <w:t>1</w:t>
      </w:r>
      <w:r>
        <w:rPr>
          <w:rFonts w:ascii="Arial" w:cs="Arial" w:eastAsia="Arial" w:hAnsi="Arial"/>
          <w:sz w:val="17"/>
          <w:szCs w:val="17"/>
          <w:color w:val="auto"/>
        </w:rPr>
        <w:t>, as compared to placebo, which we believe was primarily related to study design and execution issues related to patient selection, including adherence to inhaled corticosteroid, or ICS, therapy eosinophilic phenotype thresholds and disease severity. A single serious adverse event deemed by the investigator likely to be related to study drug was observed in a Japanese patient who had received a 160 mg dose of GB001 in a Phase 1 clinical trial conducted by Teijin Pharma Limited, or Teijin. The patient had GB001 levels approximately three to five times higher than the other patients receiving the 160 mg dose, and the dose was significantly higher than the highest dose of 60 mg currently being evaluated in our ongoing Phase 2b clinical trial. We commenced a Phase 2b clinical trial in moderate-to-severe eosinophilic asthma in October 2018.</w:t>
      </w:r>
    </w:p>
    <w:p>
      <w:pPr>
        <w:spacing w:after="0" w:line="178" w:lineRule="exact"/>
        <w:rPr>
          <w:sz w:val="20"/>
          <w:szCs w:val="20"/>
          <w:color w:val="auto"/>
        </w:rPr>
      </w:pPr>
    </w:p>
    <w:p>
      <w:pPr>
        <w:ind w:left="200" w:right="220" w:firstLine="771"/>
        <w:spacing w:after="0" w:line="259" w:lineRule="auto"/>
        <w:rPr>
          <w:sz w:val="20"/>
          <w:szCs w:val="20"/>
          <w:color w:val="auto"/>
        </w:rPr>
      </w:pPr>
      <w:r>
        <w:rPr>
          <w:rFonts w:ascii="Arial" w:cs="Arial" w:eastAsia="Arial" w:hAnsi="Arial"/>
          <w:sz w:val="18"/>
          <w:szCs w:val="18"/>
          <w:color w:val="auto"/>
        </w:rPr>
        <w:t>Furthermore, we believe that there are a number of indications along the allergic spectrum for which GB001 may provide benefit. Accordingly, we plan to pursue the parallel development of GB001 in chronic rhinosinusitis with nasal polyps, or CRSwNP, and chronic spontaneous urticaria, or CSU. We expect to initiate proof-of-concept Phase 2 clinical trials for these indications in 2019. We retain worldwide rights to GB001, excluding Japan.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GB002 (PDGF Receptor Kinase Inhibitor)</w:t>
      </w:r>
    </w:p>
    <w:p>
      <w:pPr>
        <w:spacing w:after="0" w:line="225" w:lineRule="exact"/>
        <w:rPr>
          <w:sz w:val="20"/>
          <w:szCs w:val="20"/>
          <w:color w:val="auto"/>
        </w:rPr>
      </w:pPr>
    </w:p>
    <w:p>
      <w:pPr>
        <w:ind w:left="200" w:firstLine="771"/>
        <w:spacing w:after="0" w:line="287" w:lineRule="auto"/>
        <w:rPr>
          <w:sz w:val="20"/>
          <w:szCs w:val="20"/>
          <w:color w:val="auto"/>
        </w:rPr>
      </w:pPr>
      <w:r>
        <w:rPr>
          <w:rFonts w:ascii="Arial" w:cs="Arial" w:eastAsia="Arial" w:hAnsi="Arial"/>
          <w:sz w:val="16"/>
          <w:szCs w:val="16"/>
          <w:color w:val="auto"/>
        </w:rPr>
        <w:t>GB002 is an orally inhaled, small molecule, selective platelet-derived growth factor, or PDGF, receptor kinase inhibitor in development for the treatment of pulmonary arterial hypertension, or PAH, an orphan disease with high unmet medical need. PAH is characterized by abnormally high pressure in the blood vessels transporting blood from the right side of the heart to the lungs and is a progressive and often fatal disease. In contrast to the three classes of marketed vasodilatory therapies for PAH, GB002 has the potential to be the first treatment with disease-modifying effects. Modulation of the PDGF pathway has been shown to be therapeutically relevant in PAH. In 2013, Novartis Pharmaceutical Corporation, or Novartis, announced results from a Phase 3 clinical trial in PAH of imatinib (Gleevec), a tyrosine kinase inhibitor with known activity against PDGF and marketed for oncology indications. These results were notable for not only achievement of statistically significant improvement in the study’s primary efficacy endpoint, but also for systemic toxicities. To our knowledge, no further development of the drug has occurred in PAH. To date, these toxicities have not been observed with GB002 in our ongoing Phase 1 studies in healthy volunteers. We plan to commence a Phase 1b clinical trial in PAH in the first half of 2019 and a Phase 2/3 clinical trial in PAH in the second half of 2019. We retain worldwide rights to GB002. The U.S. Food and Drug Administration, or FDA, has granted GB002 orphan drug designation for the treatment of patients with PAH.</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GB004 (HIF-1</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Stabilizer)</w:t>
      </w:r>
    </w:p>
    <w:p>
      <w:pPr>
        <w:spacing w:after="0" w:line="225"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GB004 is a novel, gut-targeted, oral small molecule in development for the treatment of inflammatory bowel disease, or IBD, including ulcerative colitis, or UC, and Crohn’s disease, or CD. GB004 stabilizes hypoxia inducible factor-1a, or HIF-1a, through the inhibition of prolyl hydroxylase domain proteins, or PHDs, key enzymes involved in HIF degradation. Preclinical data from animal models of IBD demonstrated that HIF-1a stabilization restores intestinal epithelial barrier integrity and function and results in immunomodulatory effects that we believe are important in reducing inflammation and enhancing mucosal healing in IBD patients. We have completed a Phase 1 single-ascending-dose, or SAD, study in healthy volunteers and are dosing healthy volunteers in a Phase 1 multiple-ascending-dose, or MAD, study. We plan to pursue clinical development in both UC and CD patients and, following submission of an Investigational New Drug, or IND, application with the FDA, initiate a Phase 1b clinical trial in UC in the first half of 2019. We also plan to initiate a Phase 2 clinical trial in UC in the first half of 2020. We retain worldwide rights to GB004.</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Research Capabilities and Preclinical Programs</w:t>
      </w:r>
    </w:p>
    <w:p>
      <w:pPr>
        <w:spacing w:after="0" w:line="225"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We currently have three programs in preclinical development. GB1275 is an oral small molecule, CD11b agonist in preclinical development for the treatment of oncology indications for which we plan to submit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 IND application and, after acceptance, initiate a Phase 1 clinical trial in 2019. We are also currently evaluating a portfolio of novel BTK inhibitors for the treatment of autoimmune indications and small molecule cancer metabolism modulators for the treatment of solid tumors. We are continuing to build our research capabilities, specifically focusing on our areas of expertise within immunology, inflammation and oncology, in order to advance new programs into the clinic, as well as to optimize our existing programs.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200" w:right="60" w:firstLine="771"/>
        <w:spacing w:after="0" w:line="286" w:lineRule="auto"/>
        <w:rPr>
          <w:sz w:val="20"/>
          <w:szCs w:val="20"/>
          <w:color w:val="auto"/>
        </w:rPr>
      </w:pPr>
      <w:r>
        <w:rPr>
          <w:rFonts w:ascii="Arial" w:cs="Arial" w:eastAsia="Arial" w:hAnsi="Arial"/>
          <w:sz w:val="17"/>
          <w:szCs w:val="17"/>
          <w:color w:val="auto"/>
        </w:rPr>
        <w:t>Our founders and management team have held senior positions at leading biopharmaceutical companies, including Receptos, Inc., Genentech USA, Inc. (Roche), or Genentech, Bristol-Myers Squibb Company, GlaxoSmithKline LLC and Celgene Corporation, among others, and possess substantial experience and expertise across the spectrum of drug discovery, development and commercialization.</w:t>
      </w:r>
    </w:p>
    <w:p>
      <w:pPr>
        <w:spacing w:after="0" w:line="166"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Sheila Gujrathi, M.D., our Co-Founder and President and Chief Executive Officer, was previously Chief Medical Officer of Receptos until its acquisition by Celgene in 2015, and has also served in senior leadership roles at Bristol-Myers Squibb and Genentech. Faheem Hasnain, our Co-Founder and Executive Chairman and former Chief Executive Officer, previously served as Chief Executive Officer at Receptos, and has over 30 years of senior leadership experience at both large and small biopharmaceutical companies. Luisa Salter-Cid, Ph.D., our Chief Scientific Officer, was previously the Head of Immunology Discovery at Bristol-Myers Squibb, having overseen immunology and immuno-oncology discovery efforts since 2005.</w:t>
      </w:r>
    </w:p>
    <w:p>
      <w:pPr>
        <w:spacing w:after="0" w:line="158" w:lineRule="exact"/>
        <w:rPr>
          <w:sz w:val="20"/>
          <w:szCs w:val="20"/>
          <w:color w:val="auto"/>
        </w:rPr>
      </w:pPr>
    </w:p>
    <w:p>
      <w:pPr>
        <w:ind w:left="200" w:right="460" w:firstLine="771"/>
        <w:spacing w:after="0" w:line="277" w:lineRule="auto"/>
        <w:rPr>
          <w:sz w:val="20"/>
          <w:szCs w:val="20"/>
          <w:color w:val="auto"/>
        </w:rPr>
      </w:pPr>
      <w:r>
        <w:rPr>
          <w:rFonts w:ascii="Arial" w:cs="Arial" w:eastAsia="Arial" w:hAnsi="Arial"/>
          <w:sz w:val="18"/>
          <w:szCs w:val="18"/>
          <w:color w:val="auto"/>
        </w:rPr>
        <w:t>The development and operational expertise of our executive and senior scientific team will be essential as we execute on our strategy of building a large, diversified biopharmaceutical company to deliver significant value to both patients and shareholders.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240" w:firstLine="771"/>
        <w:spacing w:after="0" w:line="286" w:lineRule="auto"/>
        <w:rPr>
          <w:sz w:val="20"/>
          <w:szCs w:val="20"/>
          <w:color w:val="auto"/>
        </w:rPr>
      </w:pPr>
      <w:r>
        <w:rPr>
          <w:rFonts w:ascii="Arial" w:cs="Arial" w:eastAsia="Arial" w:hAnsi="Arial"/>
          <w:sz w:val="17"/>
          <w:szCs w:val="17"/>
          <w:color w:val="auto"/>
        </w:rPr>
        <w:t>We are a clinical-stage biopharmaceutical company focused on discovering, acquiring, developing and commercializing therapeutics in the disease areas of immunology, inflammation and oncology. Our goal is to be an industry leader in each of these therapeutic areas and to enhance and extend the lives of patients suffering from such diseases. Critical components of our business strategy include:</w:t>
      </w:r>
    </w:p>
    <w:p>
      <w:pPr>
        <w:spacing w:after="0" w:line="189" w:lineRule="exact"/>
        <w:rPr>
          <w:sz w:val="20"/>
          <w:szCs w:val="20"/>
          <w:color w:val="auto"/>
        </w:rPr>
      </w:pPr>
    </w:p>
    <w:p>
      <w:pPr>
        <w:ind w:left="1400" w:right="160" w:hanging="318"/>
        <w:spacing w:after="0" w:line="261"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Create deep therapeutic centers of excellence by leveraging our immunology and translational discovery and development expertise. </w:t>
      </w:r>
      <w:r>
        <w:rPr>
          <w:rFonts w:ascii="Arial" w:cs="Arial" w:eastAsia="Arial" w:hAnsi="Arial"/>
          <w:sz w:val="18"/>
          <w:szCs w:val="18"/>
          <w:color w:val="auto"/>
        </w:rPr>
        <w:t>We currently have six programs across the areas of immunology, inflammation and oncology. We will continue to build out</w:t>
      </w:r>
      <w:r>
        <w:rPr>
          <w:rFonts w:ascii="Arial" w:cs="Arial" w:eastAsia="Arial" w:hAnsi="Arial"/>
          <w:sz w:val="18"/>
          <w:szCs w:val="18"/>
          <w:b w:val="1"/>
          <w:bCs w:val="1"/>
          <w:color w:val="auto"/>
        </w:rPr>
        <w:t xml:space="preserve"> </w:t>
      </w:r>
      <w:r>
        <w:rPr>
          <w:rFonts w:ascii="Arial" w:cs="Arial" w:eastAsia="Arial" w:hAnsi="Arial"/>
          <w:sz w:val="18"/>
          <w:szCs w:val="18"/>
          <w:color w:val="auto"/>
        </w:rPr>
        <w:t>our portfolio, focusing on these therapeutic areas, through both internal discovery and strategic transactions to create a diversified portfolio of early and late-stage product candidates.</w:t>
      </w:r>
    </w:p>
    <w:p>
      <w:pPr>
        <w:spacing w:after="0" w:line="207" w:lineRule="exact"/>
        <w:rPr>
          <w:rFonts w:ascii="Arial" w:cs="Arial" w:eastAsia="Arial" w:hAnsi="Arial"/>
          <w:sz w:val="18"/>
          <w:szCs w:val="18"/>
          <w:color w:val="auto"/>
        </w:rPr>
      </w:pPr>
    </w:p>
    <w:p>
      <w:pPr>
        <w:ind w:left="1400" w:right="100" w:hanging="318"/>
        <w:spacing w:after="0" w:line="258"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Maximize the impact of our product candidates by expanding development across multiple indications. </w:t>
      </w:r>
      <w:r>
        <w:rPr>
          <w:rFonts w:ascii="Arial" w:cs="Arial" w:eastAsia="Arial" w:hAnsi="Arial"/>
          <w:sz w:val="18"/>
          <w:szCs w:val="18"/>
          <w:color w:val="auto"/>
        </w:rPr>
        <w:t>We aim to focus our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efforts on product candidates that have the potential to treat multiple diseases and plan to develop them in additional indications where warranted. For example, we believe GB001 has the potential to be effective in a variety of allergic and inflammatory diseases beyond moderate-to-severe eosinophilic asthma, and we expect to initiate proof-of-concept Phase 2 clinical trials in CRSwNP and CSU in 2019. We also plan to develop GB004 in both UC and CD.</w:t>
      </w:r>
    </w:p>
    <w:p>
      <w:pPr>
        <w:spacing w:after="0" w:line="210" w:lineRule="exact"/>
        <w:rPr>
          <w:rFonts w:ascii="Arial" w:cs="Arial" w:eastAsia="Arial" w:hAnsi="Arial"/>
          <w:sz w:val="18"/>
          <w:szCs w:val="18"/>
          <w:color w:val="auto"/>
        </w:rPr>
      </w:pPr>
    </w:p>
    <w:p>
      <w:pPr>
        <w:ind w:left="1400" w:hanging="318"/>
        <w:spacing w:after="0" w:line="314" w:lineRule="auto"/>
        <w:tabs>
          <w:tab w:leader="none" w:pos="14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Expeditiously generate proof-of-concept data from our preclinical programs to facilitate value creation and efficient capital deployment. </w:t>
      </w:r>
      <w:r>
        <w:rPr>
          <w:rFonts w:ascii="Arial" w:cs="Arial" w:eastAsia="Arial" w:hAnsi="Arial"/>
          <w:sz w:val="16"/>
          <w:szCs w:val="16"/>
          <w:color w:val="auto"/>
        </w:rPr>
        <w:t>We view our preclinical programs as important drivers of the long-term sustainability of our company. We plan to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our preclinical programs to generate meaningful data to determine quickly whether each warrants clinical development.</w:t>
      </w:r>
    </w:p>
    <w:p>
      <w:pPr>
        <w:spacing w:after="0" w:line="169" w:lineRule="exact"/>
        <w:rPr>
          <w:rFonts w:ascii="Arial" w:cs="Arial" w:eastAsia="Arial" w:hAnsi="Arial"/>
          <w:sz w:val="16"/>
          <w:szCs w:val="16"/>
          <w:color w:val="auto"/>
        </w:rPr>
      </w:pPr>
    </w:p>
    <w:p>
      <w:pPr>
        <w:ind w:left="1400" w:right="120" w:hanging="318"/>
        <w:spacing w:after="0" w:line="282"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Leverage the drug discovery, development and commercialization expertise of our world-class team. </w:t>
      </w:r>
      <w:r>
        <w:rPr>
          <w:rFonts w:ascii="Arial" w:cs="Arial" w:eastAsia="Arial" w:hAnsi="Arial"/>
          <w:sz w:val="18"/>
          <w:szCs w:val="18"/>
          <w:color w:val="auto"/>
        </w:rPr>
        <w:t>Our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team and key scientific leaders have successfully discovered,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200"/>
        <w:spacing w:after="0" w:line="264" w:lineRule="auto"/>
        <w:rPr>
          <w:sz w:val="20"/>
          <w:szCs w:val="20"/>
          <w:color w:val="auto"/>
        </w:rPr>
      </w:pPr>
      <w:r>
        <w:rPr>
          <w:rFonts w:ascii="Arial" w:cs="Arial" w:eastAsia="Arial" w:hAnsi="Arial"/>
          <w:sz w:val="18"/>
          <w:szCs w:val="18"/>
          <w:color w:val="auto"/>
        </w:rPr>
        <w:t>developed and commercialized small molecule and biologic agents at both large and small biopharmaceutical companies. We plan to utilize this deep, broad set of expertise and experiences as we execute on our in-house discovery and development strategies and evaluate new external acquisition opportunities.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GB001 (DP2 Antagonist)</w:t>
      </w:r>
    </w:p>
    <w:p>
      <w:pPr>
        <w:spacing w:after="0" w:line="225"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GB001 is an oral DP2 antagonist in development for the treatment of moderate-to-severe eosinophilic asthma and other allergic conditions. As of December 15, 2018, GB001 had been studied in 409 subjects in total and was generally well tolerated. In a Phase 2 clinical trial conducted in Japan, GB001 showed a statistically significant improvement in time-to-first asthma exacerbation compared to placebo. We commenced a Phase 2b clinical trial in moderate-to-severe eosinophilic asthma in October 2018 and expect to conduct an interim analysis in the first half of 2020. If the interim analysis is positive, we plan on initiating a Phase 3 clinical trial thereafter. We have held a Type C meeting with the FDA to inform our Phase 2b and Phase 3 clinical trial design and endpoints. In addition, we plan to pursue the parallel development of GB001 in CRSwNP and CSU by initiating proof-of-concept Phase 2 clinical trials for these indications in 2019. We retain worldwide rights to GB001, excluding Japan.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200" w:right="200" w:firstLine="771"/>
        <w:spacing w:after="0" w:line="299" w:lineRule="auto"/>
        <w:rPr>
          <w:sz w:val="20"/>
          <w:szCs w:val="20"/>
          <w:color w:val="auto"/>
        </w:rPr>
      </w:pPr>
      <w:r>
        <w:rPr>
          <w:rFonts w:ascii="Arial" w:cs="Arial" w:eastAsia="Arial" w:hAnsi="Arial"/>
          <w:sz w:val="18"/>
          <w:szCs w:val="18"/>
          <w:color w:val="auto"/>
        </w:rPr>
        <w:t>DP2, also known as CRTh2, is a receptor for prostaglandin D</w:t>
      </w:r>
      <w:r>
        <w:rPr>
          <w:rFonts w:ascii="Arial" w:cs="Arial" w:eastAsia="Arial" w:hAnsi="Arial"/>
          <w:sz w:val="15"/>
          <w:szCs w:val="15"/>
          <w:color w:val="auto"/>
        </w:rPr>
        <w:t>2</w:t>
      </w:r>
      <w:r>
        <w:rPr>
          <w:rFonts w:ascii="Arial" w:cs="Arial" w:eastAsia="Arial" w:hAnsi="Arial"/>
          <w:sz w:val="18"/>
          <w:szCs w:val="18"/>
          <w:color w:val="auto"/>
        </w:rPr>
        <w:t>, or PGD</w:t>
      </w:r>
      <w:r>
        <w:rPr>
          <w:rFonts w:ascii="Arial" w:cs="Arial" w:eastAsia="Arial" w:hAnsi="Arial"/>
          <w:sz w:val="15"/>
          <w:szCs w:val="15"/>
          <w:color w:val="auto"/>
        </w:rPr>
        <w:t>2</w:t>
      </w:r>
      <w:r>
        <w:rPr>
          <w:rFonts w:ascii="Arial" w:cs="Arial" w:eastAsia="Arial" w:hAnsi="Arial"/>
          <w:sz w:val="18"/>
          <w:szCs w:val="18"/>
          <w:color w:val="auto"/>
        </w:rPr>
        <w:t>, a lipid mediator produced mainly by mast cells. DP2 is primarily responsible for mediating the pro-inflammatory effects of PGD</w:t>
      </w:r>
      <w:r>
        <w:rPr>
          <w:rFonts w:ascii="Arial" w:cs="Arial" w:eastAsia="Arial" w:hAnsi="Arial"/>
          <w:sz w:val="15"/>
          <w:szCs w:val="15"/>
          <w:color w:val="auto"/>
        </w:rPr>
        <w:t>2</w:t>
      </w:r>
      <w:r>
        <w:rPr>
          <w:rFonts w:ascii="Arial" w:cs="Arial" w:eastAsia="Arial" w:hAnsi="Arial"/>
          <w:sz w:val="18"/>
          <w:szCs w:val="18"/>
          <w:color w:val="auto"/>
        </w:rPr>
        <w:t>, as depicted below in Figure 1, including:</w:t>
      </w:r>
    </w:p>
    <w:p>
      <w:pPr>
        <w:spacing w:after="0" w:line="160" w:lineRule="exact"/>
        <w:rPr>
          <w:sz w:val="20"/>
          <w:szCs w:val="20"/>
          <w:color w:val="auto"/>
        </w:rPr>
      </w:pPr>
    </w:p>
    <w:p>
      <w:pPr>
        <w:ind w:left="1400" w:hanging="318"/>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activation of T helper 2, or Th2, cells, mast cells, basophils and eosinophils;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stimulation of type 2 cytokine production, including IL-4, IL-5 and IL-13, by Th2 cells;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increased expression of adhesion molecules on eosinophils and basophils.</w:t>
      </w:r>
    </w:p>
    <w:p>
      <w:pPr>
        <w:spacing w:after="0" w:line="225" w:lineRule="exact"/>
        <w:rPr>
          <w:sz w:val="20"/>
          <w:szCs w:val="20"/>
          <w:color w:val="auto"/>
        </w:rPr>
      </w:pPr>
    </w:p>
    <w:p>
      <w:pPr>
        <w:ind w:left="200" w:right="160" w:firstLine="771"/>
        <w:spacing w:after="0" w:line="286" w:lineRule="auto"/>
        <w:rPr>
          <w:sz w:val="20"/>
          <w:szCs w:val="20"/>
          <w:color w:val="auto"/>
        </w:rPr>
      </w:pPr>
      <w:r>
        <w:rPr>
          <w:rFonts w:ascii="Arial" w:cs="Arial" w:eastAsia="Arial" w:hAnsi="Arial"/>
          <w:sz w:val="17"/>
          <w:szCs w:val="17"/>
          <w:color w:val="auto"/>
        </w:rPr>
        <w:t>These pro-inflammatory effects contribute to airway constriction, swelling in the walls of the airways and mucous production at sites of allergic airway inflammation, all of which are hallmarks of the airway obstruction seen in asthma. The expression of DP2 is more common in patients with more severe disease, and, importantly, a significant proportion of severe asthma patients have eosinophilic inflammation.</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1. Mechanism of DP2 in Allergic Airway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172085</wp:posOffset>
            </wp:positionV>
            <wp:extent cx="3104515" cy="24009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0451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right="540" w:firstLine="771"/>
        <w:spacing w:after="0" w:line="308" w:lineRule="auto"/>
        <w:rPr>
          <w:sz w:val="20"/>
          <w:szCs w:val="20"/>
          <w:color w:val="auto"/>
        </w:rPr>
      </w:pPr>
      <w:r>
        <w:rPr>
          <w:rFonts w:ascii="Arial" w:cs="Arial" w:eastAsia="Arial" w:hAnsi="Arial"/>
          <w:sz w:val="17"/>
          <w:szCs w:val="17"/>
          <w:color w:val="auto"/>
        </w:rPr>
        <w:t>Aberrant Th2 cell activation and resulting type 2 cytokine production have been shown to play a prominent role in various allergic and inflammatory disorders beyond eosinophilic asthma, including CRSwNP, CSU, eosinophilic esophagitis and atopic dermatitis.</w:t>
      </w:r>
    </w:p>
    <w:p>
      <w:pPr>
        <w:spacing w:after="0" w:line="147" w:lineRule="exact"/>
        <w:rPr>
          <w:sz w:val="20"/>
          <w:szCs w:val="20"/>
          <w:color w:val="auto"/>
        </w:rPr>
      </w:pPr>
    </w:p>
    <w:p>
      <w:pPr>
        <w:ind w:left="200" w:right="60" w:firstLine="771"/>
        <w:spacing w:after="0" w:line="297" w:lineRule="auto"/>
        <w:rPr>
          <w:sz w:val="20"/>
          <w:szCs w:val="20"/>
          <w:color w:val="auto"/>
        </w:rPr>
      </w:pPr>
      <w:r>
        <w:rPr>
          <w:rFonts w:ascii="Arial" w:cs="Arial" w:eastAsia="Arial" w:hAnsi="Arial"/>
          <w:sz w:val="16"/>
          <w:szCs w:val="16"/>
          <w:color w:val="auto"/>
        </w:rPr>
        <w:t>DP2 antagonism has been clinically validated by Novartis’ oral DP2 antagonist, fevipiprant, in a Phase 2 clinical trial. In this trial, both the 150 mg once-daily and 75 mg twice-daily doses demonstrated statistically significant improvements in FEV</w:t>
      </w:r>
      <w:r>
        <w:rPr>
          <w:rFonts w:ascii="Arial" w:cs="Arial" w:eastAsia="Arial" w:hAnsi="Arial"/>
          <w:sz w:val="13"/>
          <w:szCs w:val="13"/>
          <w:color w:val="auto"/>
        </w:rPr>
        <w:t>1</w:t>
      </w:r>
      <w:r>
        <w:rPr>
          <w:rFonts w:ascii="Arial" w:cs="Arial" w:eastAsia="Arial" w:hAnsi="Arial"/>
          <w:sz w:val="16"/>
          <w:szCs w:val="16"/>
          <w:color w:val="auto"/>
        </w:rPr>
        <w:t xml:space="preserve"> compared to placebo in adult patients with asthma inadequately controlled with ICS. In addition, post hoc analyses of Phase 2 safety data related to asthma worsening, including exacerbations, appeared to demonstrate a reduction in the number of subjects experiencing an asthma event on fevipiprant compared to placebo. As of December 15, 2018, fevipiprant, at 150 mg once-daily and 450 mg once-daily doses, is being investigated by Novartis in six Phase 3 clinical trials in asthma patients.</w:t>
      </w:r>
    </w:p>
    <w:p>
      <w:pPr>
        <w:spacing w:after="0" w:line="158" w:lineRule="exact"/>
        <w:rPr>
          <w:sz w:val="20"/>
          <w:szCs w:val="20"/>
          <w:color w:val="auto"/>
        </w:rPr>
      </w:pPr>
    </w:p>
    <w:p>
      <w:pPr>
        <w:ind w:left="200" w:right="20" w:firstLine="771"/>
        <w:spacing w:after="0" w:line="297" w:lineRule="auto"/>
        <w:rPr>
          <w:sz w:val="20"/>
          <w:szCs w:val="20"/>
          <w:color w:val="auto"/>
        </w:rPr>
      </w:pPr>
      <w:r>
        <w:rPr>
          <w:rFonts w:ascii="Arial" w:cs="Arial" w:eastAsia="Arial" w:hAnsi="Arial"/>
          <w:sz w:val="16"/>
          <w:szCs w:val="16"/>
          <w:color w:val="auto"/>
        </w:rPr>
        <w:t xml:space="preserve">GB001 has been shown in preclinical studies to be a selective antagonist of the DP2 receptor. GB001 binds reversibly to human DP2 with an affinity, or Ki, of 1 to 2 nanomolar, significantly greater than its affinity for the other PGD2 receptors. No significant activity was demonstrated in a standard selectivity panel of 90 other receptors and enzymes. GB001 has also shown a slow rate of disassociation from DP2, with a receptor residence time of 19.8 minutes, as measured by half-life. Additionally,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 GB001 inhibited PGD2 induced internalization of DP2. Combined with our observed human plasma half-life of 10 to 15 hours, we believe these measurements support the oral, once-daily dosing regimen of GB001.</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Asthma</w:t>
      </w:r>
    </w:p>
    <w:p>
      <w:pPr>
        <w:spacing w:after="0" w:line="225"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Asthma is a complex, chronic, highly heterogeneous inflammatory condition of the airways characterized by airflow obstruction, bronchial hyperactivity and airway inflammation. Symptoms of asthma, which can be fatal, are also called asthma exacerbations or attacks and include episodes of wheezing, breathlessness, chest tightness and coughing.</w:t>
      </w:r>
    </w:p>
    <w:p>
      <w:pPr>
        <w:spacing w:after="0" w:line="181" w:lineRule="exact"/>
        <w:rPr>
          <w:sz w:val="20"/>
          <w:szCs w:val="20"/>
          <w:color w:val="auto"/>
        </w:rPr>
      </w:pPr>
    </w:p>
    <w:p>
      <w:pPr>
        <w:ind w:left="200" w:right="200" w:firstLine="771"/>
        <w:spacing w:after="0" w:line="279" w:lineRule="auto"/>
        <w:rPr>
          <w:sz w:val="20"/>
          <w:szCs w:val="20"/>
          <w:color w:val="auto"/>
        </w:rPr>
      </w:pPr>
      <w:r>
        <w:rPr>
          <w:rFonts w:ascii="Arial" w:cs="Arial" w:eastAsia="Arial" w:hAnsi="Arial"/>
          <w:sz w:val="17"/>
          <w:szCs w:val="17"/>
          <w:color w:val="auto"/>
        </w:rPr>
        <w:t>Patients are deemed to have intermittent, mild, moderate or severe disease based on the frequency and severity of their symptoms. Asthma can also be sub-categorized by the composition of the white blood cells that are causing inflammation in and around the airway wall. We estimate that approximately 50% of severe asthma patients have a phenotype called eosinophilic asthma, which is marked by an increase of eosinophils in the mucosal sputum that coats the airways. Eosinophils are immune cells that have been shown to play a major role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in inflammation and allergic response, and eosinophilic asthma is associated with more severe symptoms, late-onset disease and resistance to steroid treatment.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the Asthma Market</w:t>
      </w:r>
    </w:p>
    <w:p>
      <w:pPr>
        <w:spacing w:after="0" w:line="225"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Asthma is a substantial, widespread condition afflicting more than 330 million patients worldwide and about 25 million patients in the United States. Approximately 25% and 12% of patients in the United States have moderate and severe disease, respectively, according to Datamonitor. The disease is responsible for more than $50 billion in annual direct healthcare costs in the United States and results in an estimated 420,000 and 3,500 deaths per year worldwide and in the United States, respectively.</w:t>
      </w:r>
    </w:p>
    <w:p>
      <w:pPr>
        <w:spacing w:after="0" w:line="187" w:lineRule="exact"/>
        <w:rPr>
          <w:sz w:val="20"/>
          <w:szCs w:val="20"/>
          <w:color w:val="auto"/>
        </w:rPr>
      </w:pPr>
    </w:p>
    <w:p>
      <w:pPr>
        <w:ind w:left="200" w:right="20" w:firstLine="771"/>
        <w:spacing w:after="0" w:line="286" w:lineRule="auto"/>
        <w:rPr>
          <w:sz w:val="20"/>
          <w:szCs w:val="20"/>
          <w:color w:val="auto"/>
        </w:rPr>
      </w:pPr>
      <w:r>
        <w:rPr>
          <w:rFonts w:ascii="Arial" w:cs="Arial" w:eastAsia="Arial" w:hAnsi="Arial"/>
          <w:sz w:val="17"/>
          <w:szCs w:val="17"/>
          <w:color w:val="auto"/>
        </w:rPr>
        <w:t>Total asthma drug sales in the U.S. market were approximately $7.9 billion in 2017 and are projected to reach $13.9 billion by 2026, according to Datamonitor. Nearly $5.6 billion of the estimated $13.9 billion in sales is attributable to biologic therapies. In the future, we believe asthma market growth may be driven by increasing disease diagnosis and new biologic and small molecule agents entering the market.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 Paradigm in Asthma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treatment guidelines for asthma, depicted below for adolescents and adults in Figure 2, is a step-up paradigm.</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2. Treatment Guidelines for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37150" cy="1981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3715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LABA = long-acting beta agonist; LTRA = leukotriene receptor antagonist; SABA = short-acting beta agonist</w:t>
      </w:r>
    </w:p>
    <w:p>
      <w:pPr>
        <w:spacing w:after="0" w:line="225"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goals of the step-up treatment paradigm are to achieve long-term control of asthma symptoms, minimize the use of SABAs and maintain near-normal lung function and activity levels. Reduction in asthma exacerbations is the primary endpoint predominantly used in new product development in asthma, while surrogate endpoints for improvements in lung function are commonly used as supportive secondary endpoints. Biologics, including the recently approved IL-5 and IL-4/IL-13 antibodies, are typically used only in the most refractory, severe patients. We believe this is because of their route of administration through either subcutaneous (omalizumab, mepolizumab, benralizumab and dupilumab) or intravenous (reslizumab) injection, high cost and concerns about potential adverse events.</w:t>
      </w:r>
    </w:p>
    <w:p>
      <w:pPr>
        <w:spacing w:after="0" w:line="193"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While the recent introduction of biologic agents has altered the course of treatment for refractory, severe patients, the last major change in the treatment paradigm for mild or moderate asthma came with the 1998 FDA approval of Singulair (montelukast), an LTRA, which became the top controller therapy for asthma. Worldwide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sales for Singulair peaked at approximately $5.5 billion in 2011, prior to the entry of generic competition. Singulair’s profile as an effective oral drug with a well-understood safety profile made it an attractive option for patients across the severity spectrum despite inferior efficacy, as measured by asthma exacerbations rate reduction, compared to that of the biologic agents. The success of Singulair highlights the unmet need and opportunity in the asthma market for safe and effective, orally-administered therapies.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GB001 Product Differentiation</w:t>
      </w:r>
    </w:p>
    <w:p>
      <w:pPr>
        <w:spacing w:after="0" w:line="225" w:lineRule="exact"/>
        <w:rPr>
          <w:sz w:val="20"/>
          <w:szCs w:val="20"/>
          <w:color w:val="auto"/>
        </w:rPr>
      </w:pPr>
    </w:p>
    <w:p>
      <w:pPr>
        <w:ind w:left="200" w:right="60" w:firstLine="771"/>
        <w:spacing w:after="0" w:line="273" w:lineRule="auto"/>
        <w:rPr>
          <w:sz w:val="20"/>
          <w:szCs w:val="20"/>
          <w:color w:val="auto"/>
        </w:rPr>
      </w:pPr>
      <w:r>
        <w:rPr>
          <w:rFonts w:ascii="Arial" w:cs="Arial" w:eastAsia="Arial" w:hAnsi="Arial"/>
          <w:sz w:val="17"/>
          <w:szCs w:val="17"/>
          <w:color w:val="auto"/>
        </w:rPr>
        <w:t>We believe there is a significant market opportunity for improved and effective oral therapies in moderate-to-severe asthma with consistent safety and tolerability profiles that can be used prior to biologics. Published Phase 2 clinical trial results for fevipiprant appear to be comparable to the anti-inflammatory effects demonstrated by certain biologics in clinical studies. We believe oral options are generally preferred to biologics due to their route of administration, which leads to improved patient adherence. Furthermore, oral administration is especially important as children and adolescents are frequent sufferers of asthma. We believe GB001 as an oral agent has the potential to reduce asthma exacerbations and improve lung function, and thereby could be positioned as a pre-biologic treatment alternative.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History of GB001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acquired GB001 through our acquisition of Pulmagen Therapeutics (Asthma) Limited, or Pulmagen, a wholly-owned subsidiary of our</w:t>
      </w:r>
    </w:p>
    <w:p>
      <w:pPr>
        <w:spacing w:after="0" w:line="46" w:lineRule="exact"/>
        <w:rPr>
          <w:sz w:val="20"/>
          <w:szCs w:val="20"/>
          <w:color w:val="auto"/>
        </w:rPr>
      </w:pPr>
    </w:p>
    <w:p>
      <w:pPr>
        <w:ind w:left="200" w:right="80" w:firstLine="4"/>
        <w:spacing w:after="0" w:line="255" w:lineRule="auto"/>
        <w:tabs>
          <w:tab w:leader="none" w:pos="4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BioPharma Inc. subsidiary, in January 2018, after its partner, Teijin, completed a positive Phase 2, proof-of-concept clinical trial in Japanese patients. We have rights outside of Japan to all of the data from the two Phase 2 clinical trials conducted by Pulmagen and Teijin described below. As of December 15, 2018, 409 subjects have received at least one dose of GB001.</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Completed Pulmagen Phase 2 Clinical Trial</w:t>
      </w:r>
    </w:p>
    <w:p>
      <w:pPr>
        <w:spacing w:after="0" w:line="225"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In December 2014, Pulmagen completed a Phase 2 clinical trial of GB001, the primary objectives of which were (1) to evaluate the safety and efficacy of 20 mg GB001 once daily compared to placebo and an active comparator, montelukast, over a 10-week treatment period and (2) to evaluate the effect of the co-administration of 10 mg montelukast once daily with GB001 treatment in a two-week extension. The primary endpoint was improvement in FEV</w:t>
      </w:r>
      <w:r>
        <w:rPr>
          <w:rFonts w:ascii="Arial" w:cs="Arial" w:eastAsia="Arial" w:hAnsi="Arial"/>
          <w:sz w:val="14"/>
          <w:szCs w:val="14"/>
          <w:color w:val="auto"/>
        </w:rPr>
        <w:t>1</w:t>
      </w:r>
      <w:r>
        <w:rPr>
          <w:rFonts w:ascii="Arial" w:cs="Arial" w:eastAsia="Arial" w:hAnsi="Arial"/>
          <w:sz w:val="17"/>
          <w:szCs w:val="17"/>
          <w:color w:val="auto"/>
        </w:rPr>
        <w:t xml:space="preserve"> over 10 weeks. The study enrolled 248 patients with mild to moderate asthma that were uncontrolled on low- or medium-dose ICS, randomized 1:1:1 to placebo, 20 mg GB001 once daily and 10 mg montelukast once daily. Patients were put on a standard medium-dose of ICS in a four week lead-in to the study, during which they were also removed from their LABA, if applicable.</w:t>
      </w:r>
    </w:p>
    <w:p>
      <w:pPr>
        <w:spacing w:after="0" w:line="178"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color w:val="auto"/>
        </w:rPr>
        <w:t>GB001 was generally well tolerated with a treatment emergent adverse event, or TEAE, rate similar to placebo, but the study did not meet its primary endpoint. Notably, neither the active comparator, montelukast, nor GB001, showed statistically significant differences in FEV</w:t>
      </w:r>
      <w:r>
        <w:rPr>
          <w:rFonts w:ascii="Arial" w:cs="Arial" w:eastAsia="Arial" w:hAnsi="Arial"/>
          <w:sz w:val="15"/>
          <w:szCs w:val="15"/>
          <w:color w:val="auto"/>
        </w:rPr>
        <w:t>1</w:t>
      </w:r>
      <w:r>
        <w:rPr>
          <w:rFonts w:ascii="Arial" w:cs="Arial" w:eastAsia="Arial" w:hAnsi="Arial"/>
          <w:sz w:val="18"/>
          <w:szCs w:val="18"/>
          <w:color w:val="auto"/>
        </w:rPr>
        <w:t xml:space="preserve"> improvement as compared to placebo. We believe the lack of statistically significant differences between the active treatment arms and placebo was primarily related to study design and execution issues related to patient selection, including adherence to ICS therapy, eosinophilic phenotype thresholds and disease severity.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Completed Teijin Phase 2 Clinical Trial</w:t>
      </w:r>
    </w:p>
    <w:p>
      <w:pPr>
        <w:spacing w:after="0" w:line="225" w:lineRule="exact"/>
        <w:rPr>
          <w:sz w:val="20"/>
          <w:szCs w:val="20"/>
          <w:color w:val="auto"/>
        </w:rPr>
      </w:pPr>
    </w:p>
    <w:p>
      <w:pPr>
        <w:ind w:left="200" w:right="20" w:firstLine="771"/>
        <w:spacing w:after="0" w:line="286" w:lineRule="auto"/>
        <w:rPr>
          <w:sz w:val="20"/>
          <w:szCs w:val="20"/>
          <w:color w:val="auto"/>
        </w:rPr>
      </w:pPr>
      <w:r>
        <w:rPr>
          <w:rFonts w:ascii="Arial" w:cs="Arial" w:eastAsia="Arial" w:hAnsi="Arial"/>
          <w:sz w:val="16"/>
          <w:szCs w:val="16"/>
          <w:color w:val="auto"/>
        </w:rPr>
        <w:t>In December 2016, Pulmagen and Teijin announced results from a Phase 2 clinical trial of GB001 conducted by Teijin in Japan. The trial was a double-blind, randomized, placebo-controlled, multi-center study, enrolling 158 patients with mild to moderate eosinophilic asthma who were using LABA and/or medium-dose ICS to control their disease. Patients on LABA discontinued its use upon entry to the trial, and all patients were brought to a standardized medium dose of ICS for a four week lead-in period. Patients were then randomized 1:1:1 to one of two dose arms of GB001, 5 mg or</w:t>
      </w:r>
    </w:p>
    <w:p>
      <w:pPr>
        <w:spacing w:after="0" w:line="2"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20 mg once daily, or to placebo in combination with a low dose of ICS for four weeks. Following this period of combination with low-dose ICS, use of ICS was discontinued,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and patients continued taking GB001 or placebo for 12 weeks. The primary endpoint of the trial was change in morning peak expiratory flow, or AM PEF, a measure of lung function, from baseline to the last visit, marked as study completion or termination from the trial.</w:t>
      </w:r>
    </w:p>
    <w:p>
      <w:pPr>
        <w:spacing w:after="0" w:line="170"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A total of 91 patients completed the trial, with the dropout rate higher in the placebo arm (62%), as compared to the GB001 arms (40%, 5 mg; 25%, 20 mg). A statistically significant difference was seen in the AM PEF between placebo and both arms of GB001 (p = 0.015, 5 mg; p = 0.027,</w:t>
      </w:r>
    </w:p>
    <w:p>
      <w:pPr>
        <w:ind w:left="200" w:right="120"/>
        <w:spacing w:after="0" w:line="252" w:lineRule="auto"/>
        <w:rPr>
          <w:sz w:val="20"/>
          <w:szCs w:val="20"/>
          <w:color w:val="auto"/>
        </w:rPr>
      </w:pPr>
      <w:r>
        <w:rPr>
          <w:rFonts w:ascii="Arial" w:cs="Arial" w:eastAsia="Arial" w:hAnsi="Arial"/>
          <w:sz w:val="18"/>
          <w:szCs w:val="18"/>
          <w:color w:val="auto"/>
        </w:rPr>
        <w:t>20 mg). The p-value is the probability that the difference between two data sets was due to chance. The smaller the p-value, the more likely the differences are not due to chance alone. In general, if the p-value is less than or equal to 0.05, the outcome is statistically significant. The FDA’s evidentiary standard of efficacy generally relies on a p-value of less than or equal to 0.05. In addition, time-to-first asthma worsening, a key secondary endpoint, reached statistical significance for the 20 mg dose arm versus placebo (p &lt; 0.001). Asthma worsening in this trial was defined as a composite measure to help characterize overall asthma exacerbations. Figure 3 below presents the improvement in time-to-first asthma worsening of patients as measured by the asthma worsening rate.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3. Improvement in Time-To-First Asthma Worsening of Patients with Mild to Moderate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171450</wp:posOffset>
            </wp:positionV>
            <wp:extent cx="4699635" cy="20326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9963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480" w:firstLine="771"/>
        <w:spacing w:after="0" w:line="277" w:lineRule="auto"/>
        <w:rPr>
          <w:sz w:val="20"/>
          <w:szCs w:val="20"/>
          <w:color w:val="auto"/>
        </w:rPr>
      </w:pPr>
      <w:r>
        <w:rPr>
          <w:rFonts w:ascii="Arial" w:cs="Arial" w:eastAsia="Arial" w:hAnsi="Arial"/>
          <w:sz w:val="18"/>
          <w:szCs w:val="18"/>
          <w:color w:val="auto"/>
        </w:rPr>
        <w:t>The dose response in the time-to-first exacerbation was even more pronounced in the subgroup of patients with high blood eosinophils, defined as those with greater than 300 cells per microliter (µL), as shown below in Figure 4.</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4. Pronounced Improvement in Time-To-First Asthma Worsening of Patients with High Blood Eosinophils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171450</wp:posOffset>
            </wp:positionV>
            <wp:extent cx="4699635" cy="1809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9963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Subgroup analyses demonstrated patients with high blood eosinophils at baseline treated with the 20 mg dose of GB001 also had statistically significant improvement in FEV</w:t>
      </w:r>
      <w:r>
        <w:rPr>
          <w:rFonts w:ascii="Arial" w:cs="Arial" w:eastAsia="Arial" w:hAnsi="Arial"/>
          <w:sz w:val="15"/>
          <w:szCs w:val="15"/>
          <w:color w:val="auto"/>
        </w:rPr>
        <w:t>1</w:t>
      </w:r>
      <w:r>
        <w:rPr>
          <w:rFonts w:ascii="Arial" w:cs="Arial" w:eastAsia="Arial" w:hAnsi="Arial"/>
          <w:sz w:val="18"/>
          <w:szCs w:val="18"/>
          <w:color w:val="auto"/>
        </w:rPr>
        <w:t xml:space="preserve"> compared with placebo (p = 0.016). GB001 was well tolerated in this trial, with an adverse event profile consistent with placebo, including nasopharyngitis, gastrointestinal disorders and measures of blood and liver markers. No serious adverse events, or SAEs, were observed in the GB001 treatment arms.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These results showed a clear, dose-dependent response to treatment with GB001, both in measures of lung function and asthma exacerbation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reduction.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Pulmagen and Teijin Phase 1 Clinical Trials</w:t>
      </w:r>
    </w:p>
    <w:p>
      <w:pPr>
        <w:spacing w:after="0" w:line="225"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In Phase 1 studies conducted by Pulmagen and Teijin, GB001 demonstrated safety and pharmacodynamic, or PD, parameters consistent with the DP2 drug class.</w:t>
      </w:r>
    </w:p>
    <w:p>
      <w:pPr>
        <w:spacing w:after="0" w:line="170" w:lineRule="exact"/>
        <w:rPr>
          <w:sz w:val="20"/>
          <w:szCs w:val="20"/>
          <w:color w:val="auto"/>
        </w:rPr>
      </w:pPr>
    </w:p>
    <w:p>
      <w:pPr>
        <w:ind w:left="200" w:right="120" w:firstLine="771"/>
        <w:spacing w:after="0" w:line="273" w:lineRule="auto"/>
        <w:rPr>
          <w:sz w:val="20"/>
          <w:szCs w:val="20"/>
          <w:color w:val="auto"/>
        </w:rPr>
      </w:pPr>
      <w:r>
        <w:rPr>
          <w:rFonts w:ascii="Arial" w:cs="Arial" w:eastAsia="Arial" w:hAnsi="Arial"/>
          <w:sz w:val="17"/>
          <w:szCs w:val="17"/>
          <w:color w:val="auto"/>
        </w:rPr>
        <w:t>Most TEAEs were mild or moderate and were considered not related to study drug. A single SAE deemed by the investigator likely to be related to study drug was observed in a Japanese patient who had received a 160 mg dose of GB001, which is eight times higher than the highest dose Teijin tested in its Phase 2 clinical trial conducted in Japan. The patient experienced intrahepatic cholestasis, a liver disorder, which resolved after treatment discontinuation. At the time of the intrahepatic cholestasis, the patient had GB001 levels approximately three to five times higher than other patients receiving the 160 mg dose. Other than this SAE, there were no laboratory testing, physical exam or electrocardiographic findings that were considered to be clinically significant and related to GB001.</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Ongoing Phase 2b Eosinophilic Asthma Clinical Trial</w:t>
      </w:r>
    </w:p>
    <w:p>
      <w:pPr>
        <w:spacing w:after="0" w:line="225"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We commenced a Phase 2b clinical trial of GB001 in moderate-to-severe eosinophilic asthma in October 2018, and we expect to conduct an interim analysis of the results of this trial in the first half of 2020. We have designed this trial to efficiently assess proof-of-principle and help enable rapid transition to Phase 3 clinical trials, and we have held a Type C meeting with the FDA to inform our trial design and endpoints. We plan on enrolling 480 patients in the study in a 1:1:1:1 randomized to three GB001 dose arms of 20 mg, 40 mg and 60 mg per day and one placebo arm with once-daily dosing.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believe that we have designed our trial in a manner to address the potential shortcomings of the Pulmagen Phase 2 clinical trial, in that:</w:t>
      </w:r>
    </w:p>
    <w:p>
      <w:pPr>
        <w:spacing w:after="0" w:line="275" w:lineRule="exact"/>
        <w:rPr>
          <w:sz w:val="20"/>
          <w:szCs w:val="20"/>
          <w:color w:val="auto"/>
        </w:rPr>
      </w:pPr>
    </w:p>
    <w:p>
      <w:pPr>
        <w:jc w:val="center"/>
        <w:ind w:left="5620" w:right="1460" w:hanging="4538"/>
        <w:spacing w:after="0" w:line="449" w:lineRule="auto"/>
        <w:tabs>
          <w:tab w:leader="none" w:pos="1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study population will consist of more severe patients than those enrolled in the Pulmagen Phase 2 clinical trial; 99</w:t>
      </w:r>
    </w:p>
    <w:p>
      <w:pPr>
        <w:sectPr>
          <w:pgSz w:w="11900" w:h="16838" w:orient="portrait"/>
          <w:cols w:equalWidth="0" w:num="1">
            <w:col w:w="11120"/>
          </w:cols>
          <w:pgMar w:left="240" w:top="459"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enrollment inclusion criteria will be based on a history of asthma exacerbations within the last year;</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enrolled patients will be required to have moderate-to-severe asthma with eosinophil counts greater than or equal to 250 cells/µL; and</w:t>
      </w:r>
    </w:p>
    <w:p>
      <w:pPr>
        <w:spacing w:after="0" w:line="275" w:lineRule="exact"/>
        <w:rPr>
          <w:rFonts w:ascii="Arial" w:cs="Arial" w:eastAsia="Arial" w:hAnsi="Arial"/>
          <w:sz w:val="16"/>
          <w:szCs w:val="16"/>
          <w:color w:val="auto"/>
        </w:rPr>
      </w:pPr>
    </w:p>
    <w:p>
      <w:pPr>
        <w:ind w:left="1400" w:right="180" w:hanging="318"/>
        <w:spacing w:after="0" w:line="277" w:lineRule="auto"/>
        <w:tabs>
          <w:tab w:leader="none" w:pos="1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enrolled patients will be closely monitored during the run-in period to help ensure that the lack of adherence to background therapy is not a contributing factor for their poorly controlled asthma.</w:t>
      </w:r>
    </w:p>
    <w:p>
      <w:pPr>
        <w:spacing w:after="0" w:line="170" w:lineRule="exact"/>
        <w:rPr>
          <w:sz w:val="20"/>
          <w:szCs w:val="20"/>
          <w:color w:val="auto"/>
        </w:rPr>
      </w:pPr>
    </w:p>
    <w:p>
      <w:pPr>
        <w:ind w:left="200" w:firstLine="771"/>
        <w:spacing w:after="0" w:line="298" w:lineRule="auto"/>
        <w:rPr>
          <w:sz w:val="20"/>
          <w:szCs w:val="20"/>
          <w:color w:val="auto"/>
        </w:rPr>
      </w:pPr>
      <w:r>
        <w:rPr>
          <w:rFonts w:ascii="Arial" w:cs="Arial" w:eastAsia="Arial" w:hAnsi="Arial"/>
          <w:sz w:val="17"/>
          <w:szCs w:val="17"/>
          <w:color w:val="auto"/>
        </w:rPr>
        <w:t>The primary endpoint is reduction in asthma worsening from baseline, assessed at week 24, with an additional four weeks of follow-up. The parameters included in the asthma worsening composite primary endpoint include changes in FEV</w:t>
      </w:r>
      <w:r>
        <w:rPr>
          <w:rFonts w:ascii="Arial" w:cs="Arial" w:eastAsia="Arial" w:hAnsi="Arial"/>
          <w:sz w:val="14"/>
          <w:szCs w:val="14"/>
          <w:color w:val="auto"/>
        </w:rPr>
        <w:t>1</w:t>
      </w:r>
      <w:r>
        <w:rPr>
          <w:rFonts w:ascii="Arial" w:cs="Arial" w:eastAsia="Arial" w:hAnsi="Arial"/>
          <w:sz w:val="17"/>
          <w:szCs w:val="17"/>
          <w:color w:val="auto"/>
        </w:rPr>
        <w:t>, AM PEF, rescue medication use and asthma control and severe asthma exacerbations. We will also assess FEV</w:t>
      </w:r>
      <w:r>
        <w:rPr>
          <w:rFonts w:ascii="Arial" w:cs="Arial" w:eastAsia="Arial" w:hAnsi="Arial"/>
          <w:sz w:val="14"/>
          <w:szCs w:val="14"/>
          <w:color w:val="auto"/>
        </w:rPr>
        <w:t>1</w:t>
      </w:r>
      <w:r>
        <w:rPr>
          <w:rFonts w:ascii="Arial" w:cs="Arial" w:eastAsia="Arial" w:hAnsi="Arial"/>
          <w:sz w:val="17"/>
          <w:szCs w:val="17"/>
          <w:color w:val="auto"/>
        </w:rPr>
        <w:t xml:space="preserve"> independently as a secondary efficacy measure.</w:t>
      </w:r>
    </w:p>
    <w:p>
      <w:pPr>
        <w:spacing w:after="0" w:line="136"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We plan to conduct an interim analysis after approximately 320 patients complete the 24-week treatment period, and we expect the results of this interim analysis to be available in the first half of 2020. If the results obtained in the interim analysis support further development, we plan on initiating our first Phase 3 clinical trial thereafter. We expect to report full data from the Phase 2b clinical trial in the second half of 2020. If the full data support further development, we will initiate a second Phase 3 clinical trial.</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 in Additional Indications</w:t>
      </w:r>
    </w:p>
    <w:p>
      <w:pPr>
        <w:spacing w:after="0" w:line="225" w:lineRule="exact"/>
        <w:rPr>
          <w:sz w:val="20"/>
          <w:szCs w:val="20"/>
          <w:color w:val="auto"/>
        </w:rPr>
      </w:pPr>
    </w:p>
    <w:p>
      <w:pPr>
        <w:jc w:val="both"/>
        <w:ind w:left="200" w:firstLine="771"/>
        <w:spacing w:after="0" w:line="259" w:lineRule="auto"/>
        <w:rPr>
          <w:sz w:val="20"/>
          <w:szCs w:val="20"/>
          <w:color w:val="auto"/>
        </w:rPr>
      </w:pPr>
      <w:r>
        <w:rPr>
          <w:rFonts w:ascii="Arial" w:cs="Arial" w:eastAsia="Arial" w:hAnsi="Arial"/>
          <w:sz w:val="18"/>
          <w:szCs w:val="18"/>
          <w:color w:val="auto"/>
        </w:rPr>
        <w:t>Because DP2 plays a central role in the activation of Th2 cells, we believe GB001 could be effective in the treatment of other Th2-associated allergic and inflammatory disorders, such as CRSwNP, CSU, eosinophilic esophagitis and atopic dermatitis. Based on unmet medical need and a review of the mechanistic rationale and market opportunities, we have decided to initially pursue further development in CRSwNP and CSU in parallel with our eosinophilic asthma program.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Chronic Rhinosinusitis with Nasal Polyps</w:t>
      </w:r>
    </w:p>
    <w:p>
      <w:pPr>
        <w:spacing w:after="0" w:line="225" w:lineRule="exact"/>
        <w:rPr>
          <w:sz w:val="20"/>
          <w:szCs w:val="20"/>
          <w:color w:val="auto"/>
        </w:rPr>
      </w:pPr>
    </w:p>
    <w:p>
      <w:pPr>
        <w:ind w:left="200" w:right="400" w:firstLine="771"/>
        <w:spacing w:after="0" w:line="302" w:lineRule="auto"/>
        <w:rPr>
          <w:sz w:val="20"/>
          <w:szCs w:val="20"/>
          <w:color w:val="auto"/>
        </w:rPr>
      </w:pPr>
      <w:r>
        <w:rPr>
          <w:rFonts w:ascii="Arial" w:cs="Arial" w:eastAsia="Arial" w:hAnsi="Arial"/>
          <w:sz w:val="16"/>
          <w:szCs w:val="16"/>
          <w:color w:val="auto"/>
        </w:rPr>
        <w:t>CRS is a debilitating disorder marked by persistent symptoms including congestion, stuffiness, nasal discharge, pain or facial pressure, impairment or loss of the sense of smell (anosmia), cough and fatigue. Mast cells and eosinophils are involved in allergic forms of chronic nasal inflammation, including CRS. Nasal polyps are a type 2 cytokine driven inflammatory process, and in Caucasians, eosinophils are the predominant inflammatory cell. Approximately 80% of patients in Western countries with CRSwNP have eosinophilic upper airway inflammation.</w:t>
      </w:r>
    </w:p>
    <w:p>
      <w:pPr>
        <w:spacing w:after="0" w:line="154"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CRS is associated with an increased risk for late-onset asthma, suggesting significant overlap in the underlying pathology of the diseases. PGD</w:t>
      </w:r>
      <w:r>
        <w:rPr>
          <w:rFonts w:ascii="Arial" w:cs="Arial" w:eastAsia="Arial" w:hAnsi="Arial"/>
          <w:sz w:val="14"/>
          <w:szCs w:val="14"/>
          <w:color w:val="auto"/>
        </w:rPr>
        <w:t>2</w:t>
      </w:r>
      <w:r>
        <w:rPr>
          <w:rFonts w:ascii="Arial" w:cs="Arial" w:eastAsia="Arial" w:hAnsi="Arial"/>
          <w:sz w:val="17"/>
          <w:szCs w:val="17"/>
          <w:color w:val="auto"/>
        </w:rPr>
        <w:t xml:space="preserve"> has been correlated with the recruitment and activation of Th2 cells in nasal polyps, and type 2 cytokines, such as IL-4, IL-5 and IL-13, have been shown to play a pivotal role in nasal polyp formation. Among others, clinical studies of anti-IL-5 and anti-IL-4 receptor antibodies and an anti-immunoglobulin E, or anti-IgE, antibody are currently being studied in CRSwNP by other biopharmaceutical companies.</w:t>
      </w:r>
    </w:p>
    <w:p>
      <w:pPr>
        <w:spacing w:after="0" w:line="171"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According to a 2014 study, annual direct costs related to CRS were estimated to be $6.9 to $9.9 billion worldwide. The prevalence of CRSwNP is estimated to be 4% of the U.S. population, or approximately 13 million individuals. CRSwNP patients represent 25 to 30% of total CRS patients. CRSwNP patients are initially treated with intranasal corticosteroids. When patients fail intranasal corticosteroids, oral corticosteroids typically serve as the next line of therapy, although this treatment provides only two to four weeks of benefit while causing systemic side effects such as reduced glucose tolerance, osteoporosis and weight gain. Failure to control symptoms with corticosteroids presents the need for potential surgical intervention. A long-term study of post-surgical patients showed that nearly 80% of patients had polyps recur at least once, and 36% of patients required an additional surgery. We believe a significant number of patients in the United States are inadequately controlled with standard-of-care steroid treatment.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plan to commence a Phase 2 proof-of-concept trial in adult patients with CRSwNP in 2019 and expect data to read out in 2020.</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Chronic Spontaneous Urticaria</w:t>
      </w:r>
    </w:p>
    <w:p>
      <w:pPr>
        <w:spacing w:after="0" w:line="225" w:lineRule="exact"/>
        <w:rPr>
          <w:sz w:val="20"/>
          <w:szCs w:val="20"/>
          <w:color w:val="auto"/>
        </w:rPr>
      </w:pPr>
    </w:p>
    <w:p>
      <w:pPr>
        <w:ind w:left="200" w:right="140" w:firstLine="771"/>
        <w:spacing w:after="0" w:line="272" w:lineRule="auto"/>
        <w:rPr>
          <w:sz w:val="20"/>
          <w:szCs w:val="20"/>
          <w:color w:val="auto"/>
        </w:rPr>
      </w:pPr>
      <w:r>
        <w:rPr>
          <w:rFonts w:ascii="Arial" w:cs="Arial" w:eastAsia="Arial" w:hAnsi="Arial"/>
          <w:sz w:val="17"/>
          <w:szCs w:val="17"/>
          <w:color w:val="auto"/>
        </w:rPr>
        <w:t>Chronic urticaria, or CU, is characterized by the recurring eruption of transient, itchy, red welts on the skin. Patients with CU are often severely impaired in their quality of life, including negative effects on sleep, daily activities, school/work life and social interactions. Urticaria symptoms are caused by degranulation of dermal mast cells, and an allergic-mediated response is believed to contribute to mast cell activation in many cases. One of the most common forms of CU is CSU, previously known as the idiopathic form, or chronic idiopathic urticaria. In CSU patients, an underlying trigger for the skin lesions cannot be identified, thus making it impractical to employ a therapeutic strategy that relies on avoidance of causative environmental exposures. A published estimate of the U.S. prevalence of CSU ranged from 0.5% to 1.0% of the population, and approximately 20% of patients, or approximately 300,000 to 600,000 patients, have symptoms for more than five years.</w:t>
      </w:r>
    </w:p>
    <w:p>
      <w:pPr>
        <w:spacing w:after="0" w:line="178" w:lineRule="exact"/>
        <w:rPr>
          <w:sz w:val="20"/>
          <w:szCs w:val="20"/>
          <w:color w:val="auto"/>
        </w:rPr>
      </w:pPr>
    </w:p>
    <w:p>
      <w:pPr>
        <w:ind w:left="200" w:right="40" w:firstLine="771"/>
        <w:spacing w:after="0" w:line="302" w:lineRule="auto"/>
        <w:rPr>
          <w:sz w:val="20"/>
          <w:szCs w:val="20"/>
          <w:color w:val="auto"/>
        </w:rPr>
      </w:pPr>
      <w:r>
        <w:rPr>
          <w:rFonts w:ascii="Arial" w:cs="Arial" w:eastAsia="Arial" w:hAnsi="Arial"/>
          <w:sz w:val="16"/>
          <w:szCs w:val="16"/>
          <w:color w:val="auto"/>
        </w:rPr>
        <w:t>The current treatment guidelines for the management of all forms of urticaria recommend the use of non-sedating oral H1-antihistamines as first-line therapy. For patients that do not respond to standard doses of H1-antihistamines, doses are increased by as much as four times. Though this can increase the response rates, side effects may also increase. Patients that do not respond to or are unable to tolerate high dose antihistamines have few remaining options. For antihistamine refractory patients with CSU, the only currently approved treatment is the biologic agent, omalizumab.</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plan to commence a Phase 2 proof-of-concept trial in adult patients with CSU in 2019 and expect data to read out in 2020.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GB002 (PDGF Receptor Kinase Inhibitor)</w:t>
      </w:r>
    </w:p>
    <w:p>
      <w:pPr>
        <w:spacing w:after="0" w:line="225"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GB002 is an orally inhaled, small molecule, PDGF receptor kinase inhibitor in development for the treatment of PAH. In contrast to the three classes of marketed vasodilatory therapies for PAH, GB002 has the potential to be the first treatment with disease-modifying effects. Inhaled GB002, which is designed to act on both isoforms of the PDGF receptor, a and b, has inhibited and reversed cell overgrowth in lung blood vessels in PAH animal models. In 2013, results from a Phase 3 clinical trial in PAH of imatinib (Gleevec), an oral tyrosine kinase inhibitor with known activity against PDGF and marketed for oncology indications, showed statistically significant improvement in its primary efficacy endpoint, thus providing mechanistic validation, but systemic toxicities were also observed. To date, these toxicities have not been observed with GB002 in our ongoing Phase 1 studies in healthy volunteers. We have received FDA feedback through Type C meeting interactions to inform our Phase 2/3 clinical trial design and endpoints. We plan to commence a Phase 1b clinical trial in PAH in the first half of 2019 and a Phase 2/3 clinical trial in PAH in the second half of 2019. We in-licensed GB002 from Pulmokine, Inc. in 2017 and retain worldwide rights. The FDA has granted GB002 orphan drug designation for the treatment of patients with PAH.</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Mechanism of Action</w:t>
      </w:r>
    </w:p>
    <w:p>
      <w:pPr>
        <w:spacing w:after="0" w:line="225"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6"/>
          <w:szCs w:val="16"/>
          <w:color w:val="auto"/>
        </w:rPr>
        <w:t>PAH is driven by abnormal cellular proliferation within and around the small blood vessels of the lung that carry blood from the right side of the heart to the lungs. Functional and structural changes in the pulmonary vasculature, known as vascular remodeling, can lead to smooth muscle cell proliferation and migration from the middle layer of the blood vessel into the inner layer. This can result in the development of plexiform and neointimal lesions that can obstruct blood flow. The obstruction of blood flow in the pulmonary vessels can also predispose patients to thrombosis, or blood clots, within these small pulmonary vessels that further blocks blood flow. This progressive obstruction of blood flow from the right side of the heart to the lungs can cause the right ventricle to fail, thus leading to severe breathlessness, reduced exercise tolerance and death.</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771"/>
        <w:spacing w:after="0" w:line="276" w:lineRule="auto"/>
        <w:rPr>
          <w:sz w:val="20"/>
          <w:szCs w:val="20"/>
          <w:color w:val="auto"/>
        </w:rPr>
      </w:pPr>
      <w:r>
        <w:rPr>
          <w:rFonts w:ascii="Arial" w:cs="Arial" w:eastAsia="Arial" w:hAnsi="Arial"/>
          <w:sz w:val="17"/>
          <w:szCs w:val="17"/>
          <w:color w:val="auto"/>
        </w:rPr>
        <w:t>The PDGF receptor is a tyrosine kinase receptor which, when activated by its agonist, induces cellular proliferation. PDGF expression is known to be particularly important to stimulating smooth muscle cell proliferation in PAH patients. Further supporting this mechanism, PDGF receptors and their ligands are both upregulated in PAH. Upregulated PDGF signaling results in endothelial cell and fibroblast dysfunction and the proliferation and migration of smooth muscle cells. This effect results in the overgrowth and occlusion of blood vessels in the lung. Kinase inhibitors with activity against the PDGF pathway have shown the ability to reverse PAH in animal models.</w:t>
      </w:r>
    </w:p>
    <w:p>
      <w:pPr>
        <w:spacing w:after="0" w:line="173"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Inhaled GB002 is designed to act on both isoforms of the PDGF receptor, a and b. Data from preclinical animal models and human lung histology from PAH patients suggests that it is important to inhibit both of these isoforms of the PDGF receptor. PDGF receptor a is highly expressed in pulmonary arteriole vascular smooth muscle cells, or PAVSMCs. Inhibiting PDGF receptor a may help reduce the abnormal cell proliferation of PAVSMCs that results in blood vessel thickening. PDGF receptor b is more highly expressed in fibroblasts and myofibroblasts that are involved with the abnormal cell proliferation within the blood vessel that leads to the obstruction of the pulmonary arterioles. We believe inhibiting PDGF receptor b is therefore important in decreasing the abnormal cell proliferation of these cell types.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Figure 5 below shows the key role of the PDGF pathway in pulmonary vascular remodeling and the disease pathogenesis of PAH.</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5. PDGF Pathway in Pulmonary Vascular Remodeling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172085</wp:posOffset>
            </wp:positionV>
            <wp:extent cx="4665345" cy="2306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6534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0" w:right="540" w:firstLine="771"/>
        <w:spacing w:after="0" w:line="342" w:lineRule="auto"/>
        <w:rPr>
          <w:sz w:val="20"/>
          <w:szCs w:val="20"/>
          <w:color w:val="auto"/>
        </w:rPr>
      </w:pPr>
      <w:r>
        <w:rPr>
          <w:rFonts w:ascii="Arial" w:cs="Arial" w:eastAsia="Arial" w:hAnsi="Arial"/>
          <w:sz w:val="16"/>
          <w:szCs w:val="16"/>
          <w:color w:val="auto"/>
        </w:rPr>
        <w:t>Mechanistic validation of a PDGF receptor kinase inhibitor has been observed in studies of imatinib (Gleevec), an oral tyrosine kinase inhibitor with known activity against the PDGF receptor kinase, that demonstrated proof-of-concept in humans in a Phase 3 clinical trial in PAH.</w:t>
      </w:r>
    </w:p>
    <w:p>
      <w:pPr>
        <w:spacing w:after="0" w:line="124" w:lineRule="exact"/>
        <w:rPr>
          <w:sz w:val="20"/>
          <w:szCs w:val="20"/>
          <w:color w:val="auto"/>
        </w:rPr>
      </w:pPr>
    </w:p>
    <w:p>
      <w:pPr>
        <w:ind w:left="200" w:right="140" w:firstLine="771"/>
        <w:spacing w:after="0" w:line="276" w:lineRule="auto"/>
        <w:rPr>
          <w:sz w:val="20"/>
          <w:szCs w:val="20"/>
          <w:color w:val="auto"/>
        </w:rPr>
      </w:pPr>
      <w:r>
        <w:rPr>
          <w:rFonts w:ascii="Arial" w:cs="Arial" w:eastAsia="Arial" w:hAnsi="Arial"/>
          <w:sz w:val="17"/>
          <w:szCs w:val="17"/>
          <w:color w:val="auto"/>
        </w:rPr>
        <w:t>The IMPRES trial was a Phase 3 clinical trial conducted by Novartis of imatinib (Gleevec) in PAH. Gleevec is currently approved in certain oncology indications. Imatinib has known activity against multiple tyrosine kinases, including the PDGF and c-KIT receptors and c-ABL. 202 patients were enrolled in the IMPRES trial, of which 41% had been treated with prostanoids, oral phosphodiesterase type 5, or PDE5, inhibitors and oral endothelin receptor agonists, or ERAs. As shown in Figure 6 below, the study met its primary endpoint, improvement in six-minute walk distance, or 6MWD, versus placebo at week 24 from baseline, with statistical significance (p = 0.002).</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6. Improvement in Six-Minute Walk Distance of PAH Patients Treated with Imatinib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171450</wp:posOffset>
            </wp:positionV>
            <wp:extent cx="3430270" cy="17494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3027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right="340" w:firstLine="771"/>
        <w:spacing w:after="0" w:line="277" w:lineRule="auto"/>
        <w:rPr>
          <w:sz w:val="20"/>
          <w:szCs w:val="20"/>
          <w:color w:val="auto"/>
        </w:rPr>
      </w:pPr>
      <w:r>
        <w:rPr>
          <w:rFonts w:ascii="Arial" w:cs="Arial" w:eastAsia="Arial" w:hAnsi="Arial"/>
          <w:sz w:val="18"/>
          <w:szCs w:val="18"/>
          <w:color w:val="auto"/>
        </w:rPr>
        <w:t>As shown in Figure 7 below, patients on imatinib also demonstrated statistically significant improvements in measures of hemodynamics, including pulmonary vascular resistance, or PVR, a standard measurement in the evaluation of patients with PAH.</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7. Improvement in Pulmonary Vascular Resistance of PAH Patients Treated with Imatinib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63775" cy="20237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637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firstLine="771"/>
        <w:spacing w:after="0" w:line="286" w:lineRule="auto"/>
        <w:rPr>
          <w:sz w:val="20"/>
          <w:szCs w:val="20"/>
          <w:color w:val="auto"/>
        </w:rPr>
      </w:pPr>
      <w:r>
        <w:rPr>
          <w:rFonts w:ascii="Arial" w:cs="Arial" w:eastAsia="Arial" w:hAnsi="Arial"/>
          <w:sz w:val="17"/>
          <w:szCs w:val="17"/>
          <w:color w:val="auto"/>
        </w:rPr>
        <w:t>However, systemic adverse events such as bleeding and poor tolerability led to a high drop-out rate within the active arm of the trial. Subdural hematomas occurred in eight patients who were also being administered oral anticoagulants during the study. Novartis withdrew its supplemental regulatory applications in PAH in 2013 and, to our knowledge, did not pursue further development of imatinib in the indication.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Pulmonary Arterial Hypertension</w:t>
      </w:r>
    </w:p>
    <w:p>
      <w:pPr>
        <w:spacing w:after="0" w:line="225"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PAH is an orphan disease that is characterized by abnormally high blood pressure in the blood vessels carrying deoxygenated blood from the right side of the heart to the lungs and is progressive and often fatal. Symptoms include shortness of breath at rest or with minimal exertion. Other symptoms include fatigue, chest pain, dizzy spells and fainting. The progressive nature of this disease causes the right side of the heart to work much harder and eventually weaken or fail.</w:t>
      </w:r>
    </w:p>
    <w:p>
      <w:pPr>
        <w:spacing w:after="0" w:line="187"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Patients are often evaluated by functional class, which categorizes patients by their ability to carry out physical activity and symptom severity. Worsening symptoms, and thus higher numbered functional classes,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associated with higher mortality. The four functional classes established by the World Health Organization are detailed below in Table 1.</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60" w:type="dxa"/>
            <w:vAlign w:val="bottom"/>
          </w:tcPr>
          <w:p>
            <w:pPr>
              <w:ind w:left="1600"/>
              <w:spacing w:after="0"/>
              <w:rPr>
                <w:sz w:val="20"/>
                <w:szCs w:val="20"/>
                <w:color w:val="auto"/>
              </w:rPr>
            </w:pPr>
            <w:r>
              <w:rPr>
                <w:rFonts w:ascii="Arial" w:cs="Arial" w:eastAsia="Arial" w:hAnsi="Arial"/>
                <w:sz w:val="18"/>
                <w:szCs w:val="18"/>
                <w:b w:val="1"/>
                <w:bCs w:val="1"/>
                <w:color w:val="auto"/>
              </w:rPr>
              <w:t>Table 1. PAH Functional Classes</w:t>
            </w:r>
          </w:p>
        </w:tc>
        <w:tc>
          <w:tcPr>
            <w:tcW w:w="0" w:type="dxa"/>
            <w:vAlign w:val="bottom"/>
          </w:tcPr>
          <w:p>
            <w:pPr>
              <w:spacing w:after="0"/>
              <w:rPr>
                <w:sz w:val="1"/>
                <w:szCs w:val="1"/>
                <w:color w:val="auto"/>
              </w:rPr>
            </w:pPr>
          </w:p>
        </w:tc>
      </w:tr>
      <w:tr>
        <w:trPr>
          <w:trHeight w:val="369"/>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Functional</w:t>
            </w:r>
          </w:p>
        </w:tc>
        <w:tc>
          <w:tcPr>
            <w:tcW w:w="87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8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Class I</w:t>
            </w:r>
          </w:p>
        </w:tc>
        <w:tc>
          <w:tcPr>
            <w:tcW w:w="460" w:type="dxa"/>
            <w:vAlign w:val="bottom"/>
            <w:shd w:val="clear" w:color="auto" w:fill="CCEEFF"/>
          </w:tcPr>
          <w:p>
            <w:pPr>
              <w:spacing w:after="0"/>
              <w:rPr>
                <w:sz w:val="16"/>
                <w:szCs w:val="16"/>
                <w:color w:val="auto"/>
              </w:rPr>
            </w:pPr>
          </w:p>
        </w:tc>
        <w:tc>
          <w:tcPr>
            <w:tcW w:w="8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Patients with PAH, but without resulting limitation of physical activity. Ordinary physical activity does not cause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7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undue dyspnea or fatigue, chest pain or near syncope.</w:t>
            </w:r>
          </w:p>
        </w:tc>
        <w:tc>
          <w:tcPr>
            <w:tcW w:w="0" w:type="dxa"/>
            <w:vAlign w:val="bottom"/>
          </w:tcPr>
          <w:p>
            <w:pPr>
              <w:spacing w:after="0"/>
              <w:rPr>
                <w:sz w:val="1"/>
                <w:szCs w:val="1"/>
                <w:color w:val="auto"/>
              </w:rPr>
            </w:pPr>
          </w:p>
        </w:tc>
      </w:tr>
      <w:tr>
        <w:trPr>
          <w:trHeight w:val="269"/>
        </w:trPr>
        <w:tc>
          <w:tcPr>
            <w:tcW w:w="680" w:type="dxa"/>
            <w:vAlign w:val="bottom"/>
            <w:gridSpan w:val="2"/>
          </w:tcPr>
          <w:p>
            <w:pPr>
              <w:spacing w:after="0"/>
              <w:rPr>
                <w:sz w:val="20"/>
                <w:szCs w:val="20"/>
                <w:color w:val="auto"/>
              </w:rPr>
            </w:pPr>
            <w:r>
              <w:rPr>
                <w:rFonts w:ascii="Arial" w:cs="Arial" w:eastAsia="Arial" w:hAnsi="Arial"/>
                <w:sz w:val="18"/>
                <w:szCs w:val="18"/>
                <w:color w:val="auto"/>
              </w:rPr>
              <w:t>Class II</w:t>
            </w:r>
          </w:p>
        </w:tc>
        <w:tc>
          <w:tcPr>
            <w:tcW w:w="8740" w:type="dxa"/>
            <w:vAlign w:val="bottom"/>
            <w:gridSpan w:val="3"/>
          </w:tcPr>
          <w:p>
            <w:pPr>
              <w:ind w:left="460"/>
              <w:spacing w:after="0"/>
              <w:rPr>
                <w:sz w:val="20"/>
                <w:szCs w:val="20"/>
                <w:color w:val="auto"/>
              </w:rPr>
            </w:pPr>
            <w:r>
              <w:rPr>
                <w:rFonts w:ascii="Arial" w:cs="Arial" w:eastAsia="Arial" w:hAnsi="Arial"/>
                <w:sz w:val="18"/>
                <w:szCs w:val="18"/>
                <w:color w:val="auto"/>
              </w:rPr>
              <w:t>Patients with PAH resulting in slight limitation of physical activity. They are comfortable at rest. Ordinary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40" w:type="dxa"/>
            <w:vAlign w:val="bottom"/>
            <w:gridSpan w:val="3"/>
          </w:tcPr>
          <w:p>
            <w:pPr>
              <w:ind w:left="460"/>
              <w:spacing w:after="0"/>
              <w:rPr>
                <w:sz w:val="20"/>
                <w:szCs w:val="20"/>
                <w:color w:val="auto"/>
              </w:rPr>
            </w:pPr>
            <w:r>
              <w:rPr>
                <w:rFonts w:ascii="Arial" w:cs="Arial" w:eastAsia="Arial" w:hAnsi="Arial"/>
                <w:sz w:val="18"/>
                <w:szCs w:val="18"/>
                <w:color w:val="auto"/>
              </w:rPr>
              <w:t>physical activity causes undue dyspnea or fatigue, chest pain or near syncope.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III</w:t>
            </w:r>
          </w:p>
        </w:tc>
        <w:tc>
          <w:tcPr>
            <w:tcW w:w="8740" w:type="dxa"/>
            <w:vAlign w:val="bottom"/>
            <w:gridSpan w:val="3"/>
            <w:shd w:val="clear" w:color="auto" w:fill="CCEEFF"/>
          </w:tcPr>
          <w:p>
            <w:pPr>
              <w:ind w:left="460"/>
              <w:spacing w:after="0" w:line="201" w:lineRule="exact"/>
              <w:rPr>
                <w:sz w:val="20"/>
                <w:szCs w:val="20"/>
                <w:color w:val="auto"/>
              </w:rPr>
            </w:pPr>
            <w:r>
              <w:rPr>
                <w:rFonts w:ascii="Arial" w:cs="Arial" w:eastAsia="Arial" w:hAnsi="Arial"/>
                <w:sz w:val="18"/>
                <w:szCs w:val="18"/>
                <w:color w:val="auto"/>
                <w:w w:val="97"/>
              </w:rPr>
              <w:t>Patients with PAH resulting in marked limitation of physical activity. They are comfortable at rest. Less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7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ordinary activity causes undue dyspnea or fatigue, chest pain or near syncope.</w:t>
            </w:r>
          </w:p>
        </w:tc>
        <w:tc>
          <w:tcPr>
            <w:tcW w:w="0" w:type="dxa"/>
            <w:vAlign w:val="bottom"/>
          </w:tcPr>
          <w:p>
            <w:pPr>
              <w:spacing w:after="0"/>
              <w:rPr>
                <w:sz w:val="1"/>
                <w:szCs w:val="1"/>
                <w:color w:val="auto"/>
              </w:rPr>
            </w:pPr>
          </w:p>
        </w:tc>
      </w:tr>
      <w:tr>
        <w:trPr>
          <w:trHeight w:val="269"/>
        </w:trPr>
        <w:tc>
          <w:tcPr>
            <w:tcW w:w="680" w:type="dxa"/>
            <w:vAlign w:val="bottom"/>
            <w:gridSpan w:val="2"/>
          </w:tcPr>
          <w:p>
            <w:pPr>
              <w:spacing w:after="0"/>
              <w:rPr>
                <w:sz w:val="20"/>
                <w:szCs w:val="20"/>
                <w:color w:val="auto"/>
              </w:rPr>
            </w:pPr>
            <w:r>
              <w:rPr>
                <w:rFonts w:ascii="Arial" w:cs="Arial" w:eastAsia="Arial" w:hAnsi="Arial"/>
                <w:sz w:val="18"/>
                <w:szCs w:val="18"/>
                <w:color w:val="auto"/>
                <w:w w:val="98"/>
              </w:rPr>
              <w:t>Class IV</w:t>
            </w:r>
          </w:p>
        </w:tc>
        <w:tc>
          <w:tcPr>
            <w:tcW w:w="8740" w:type="dxa"/>
            <w:vAlign w:val="bottom"/>
            <w:gridSpan w:val="3"/>
          </w:tcPr>
          <w:p>
            <w:pPr>
              <w:ind w:left="460"/>
              <w:spacing w:after="0"/>
              <w:rPr>
                <w:sz w:val="20"/>
                <w:szCs w:val="20"/>
                <w:color w:val="auto"/>
              </w:rPr>
            </w:pPr>
            <w:r>
              <w:rPr>
                <w:rFonts w:ascii="Arial" w:cs="Arial" w:eastAsia="Arial" w:hAnsi="Arial"/>
                <w:sz w:val="18"/>
                <w:szCs w:val="18"/>
                <w:color w:val="auto"/>
                <w:w w:val="96"/>
              </w:rPr>
              <w:t>Patients with PAH with inability to carry out any physical activity without symptoms. These patients manifest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740" w:type="dxa"/>
            <w:vAlign w:val="bottom"/>
            <w:gridSpan w:val="3"/>
          </w:tcPr>
          <w:p>
            <w:pPr>
              <w:ind w:left="460"/>
              <w:spacing w:after="0"/>
              <w:rPr>
                <w:sz w:val="20"/>
                <w:szCs w:val="20"/>
                <w:color w:val="auto"/>
              </w:rPr>
            </w:pPr>
            <w:r>
              <w:rPr>
                <w:rFonts w:ascii="Arial" w:cs="Arial" w:eastAsia="Arial" w:hAnsi="Arial"/>
                <w:sz w:val="18"/>
                <w:szCs w:val="18"/>
                <w:color w:val="auto"/>
                <w:w w:val="93"/>
              </w:rPr>
              <w:t>signs of right heart failure. Dyspnea and/or fatigue may even be present at rest. Discomfort is increased by 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40" w:type="dxa"/>
            <w:vAlign w:val="bottom"/>
            <w:gridSpan w:val="3"/>
          </w:tcPr>
          <w:p>
            <w:pPr>
              <w:ind w:left="460"/>
              <w:spacing w:after="0"/>
              <w:rPr>
                <w:sz w:val="20"/>
                <w:szCs w:val="20"/>
                <w:color w:val="auto"/>
              </w:rPr>
            </w:pPr>
            <w:r>
              <w:rPr>
                <w:rFonts w:ascii="Arial" w:cs="Arial" w:eastAsia="Arial" w:hAnsi="Arial"/>
                <w:sz w:val="18"/>
                <w:szCs w:val="18"/>
                <w:color w:val="auto"/>
              </w:rPr>
              <w:t>physical activity.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60" w:firstLine="771"/>
        <w:spacing w:after="0" w:line="264" w:lineRule="auto"/>
        <w:rPr>
          <w:sz w:val="20"/>
          <w:szCs w:val="20"/>
          <w:color w:val="auto"/>
        </w:rPr>
      </w:pPr>
      <w:r>
        <w:rPr>
          <w:rFonts w:ascii="Arial" w:cs="Arial" w:eastAsia="Arial" w:hAnsi="Arial"/>
          <w:sz w:val="18"/>
          <w:szCs w:val="18"/>
          <w:color w:val="auto"/>
        </w:rPr>
        <w:t>Additionally, recent medical society guidelines have identified intermediate and high-risk categories of PAH based on several variables including signs of right heart failure, rate of symptom progression, functional class, 6MWD, maximum oxygen consumption, NTproBNP, which is a biomarker for heart failure, and measures of right heart function.</w:t>
      </w:r>
    </w:p>
    <w:p>
      <w:pPr>
        <w:spacing w:after="0" w:line="181" w:lineRule="exact"/>
        <w:rPr>
          <w:sz w:val="20"/>
          <w:szCs w:val="20"/>
          <w:color w:val="auto"/>
        </w:rPr>
      </w:pPr>
    </w:p>
    <w:p>
      <w:pPr>
        <w:jc w:val="both"/>
        <w:ind w:left="200" w:right="120" w:firstLine="771"/>
        <w:spacing w:after="0" w:line="264" w:lineRule="auto"/>
        <w:rPr>
          <w:sz w:val="20"/>
          <w:szCs w:val="20"/>
          <w:color w:val="auto"/>
        </w:rPr>
      </w:pPr>
      <w:r>
        <w:rPr>
          <w:rFonts w:ascii="Arial" w:cs="Arial" w:eastAsia="Arial" w:hAnsi="Arial"/>
          <w:sz w:val="18"/>
          <w:szCs w:val="18"/>
          <w:color w:val="auto"/>
        </w:rPr>
        <w:t>Despite the introduction of many new therapies over the last several years, PAH continues to have a high morbidity and mortality. Based on registry data, newly diagnosed functional class III and IV patients have 5-year survival rates of 60% and 44%, respectively, while rates for previously diagnosed patients were even lower at 57% and 27%, respectively.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PAH Market</w:t>
      </w:r>
    </w:p>
    <w:p>
      <w:pPr>
        <w:spacing w:after="0" w:line="225" w:lineRule="exact"/>
        <w:rPr>
          <w:sz w:val="20"/>
          <w:szCs w:val="20"/>
          <w:color w:val="auto"/>
        </w:rPr>
      </w:pPr>
    </w:p>
    <w:p>
      <w:pPr>
        <w:jc w:val="both"/>
        <w:ind w:left="200" w:right="60" w:firstLine="771"/>
        <w:spacing w:after="0" w:line="312" w:lineRule="auto"/>
        <w:rPr>
          <w:sz w:val="20"/>
          <w:szCs w:val="20"/>
          <w:color w:val="auto"/>
        </w:rPr>
      </w:pPr>
      <w:r>
        <w:rPr>
          <w:rFonts w:ascii="Arial" w:cs="Arial" w:eastAsia="Arial" w:hAnsi="Arial"/>
          <w:sz w:val="16"/>
          <w:szCs w:val="16"/>
          <w:color w:val="auto"/>
        </w:rPr>
        <w:t>Diagnosed PAH prevalence in the United States is approximately 53,000 patients, and prevalence is highest among women between the ages of 30-60. The number of diagnosed PAH patients continues to increase, and we believe this increase is likely due to enhanced awareness and diagnosis of the disease. Total PAH drug sales worldwide in 2016 were estimated at approximately $5.6 billion and are expected to exceed $6.0 billion by 2019.</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 Paradigm in PAH</w:t>
      </w:r>
    </w:p>
    <w:p>
      <w:pPr>
        <w:spacing w:after="0" w:line="225"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Current PAH therapies consist of three classes of vasodilators: PDE5 inhibitors and guanylate cyclase stimulators, ERAs, and prostanoids. PDE5 inhibitors are often used in combination with ERAs as an early treatment strategy. In patients who fail to respond to combination therapy of an ERA and a PDE5, it is common practice to add a prostanoid. Prostanoids are also commonly used to treat patients with evidence of right heart failure. While existing treatments have led to significant improvements in time to clinical worsening and other composite endpoints in PAH patients, none directly alter the underlying disease process. The effect of vasodilation, while improving blood flow through the lungs, may eventually be overtaken by worsening cellular proliferation and arterial remodeling underlying the condition. We believe an agent with disease-modifying characteristics that safely addresses the underlying cellular overgrowth could provide utility across functional classes and risk categories.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GB002 Product Differentiation</w:t>
      </w:r>
    </w:p>
    <w:p>
      <w:pPr>
        <w:spacing w:after="0" w:line="225" w:lineRule="exact"/>
        <w:rPr>
          <w:sz w:val="20"/>
          <w:szCs w:val="20"/>
          <w:color w:val="auto"/>
        </w:rPr>
      </w:pPr>
    </w:p>
    <w:p>
      <w:pPr>
        <w:ind w:left="200" w:right="180" w:firstLine="771"/>
        <w:spacing w:after="0" w:line="279" w:lineRule="auto"/>
        <w:rPr>
          <w:sz w:val="20"/>
          <w:szCs w:val="20"/>
          <w:color w:val="auto"/>
        </w:rPr>
      </w:pPr>
      <w:r>
        <w:rPr>
          <w:rFonts w:ascii="Arial" w:cs="Arial" w:eastAsia="Arial" w:hAnsi="Arial"/>
          <w:sz w:val="17"/>
          <w:szCs w:val="17"/>
          <w:color w:val="auto"/>
        </w:rPr>
        <w:t>GB002 is an orally inhaled PDGF receptor kinase inhibitor designed to build on the evidence of efficacy seen in trials of imatinib while overcoming imatinib’s observed systemic safety issues. GB002 was designed with a higher degree of selectivity as compared to imatinib. GB002 has increased potency against the PDGF receptor-b isoform, similar potency against the PDGF-a isoform, and less activity against c-ABL. We believe GB002 has the potential to be a differentiated PDGF-targeted therapeutic that is designed to potentially provide:</w:t>
      </w:r>
    </w:p>
    <w:p>
      <w:pPr>
        <w:spacing w:after="0" w:line="198" w:lineRule="exact"/>
        <w:rPr>
          <w:sz w:val="20"/>
          <w:szCs w:val="20"/>
          <w:color w:val="auto"/>
        </w:rPr>
      </w:pPr>
    </w:p>
    <w:p>
      <w:pPr>
        <w:ind w:left="1400" w:right="60" w:hanging="318"/>
        <w:spacing w:after="0" w:line="277"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improved response to PDGF-driven abnormal cell proliferation in pulmonary arteries by addressing the underlying mechanism that leads to arterial wall thickening, rather than resultant vasodilation;</w:t>
      </w:r>
    </w:p>
    <w:p>
      <w:pPr>
        <w:spacing w:after="0" w:line="197" w:lineRule="exact"/>
        <w:rPr>
          <w:rFonts w:ascii="Arial" w:cs="Arial" w:eastAsia="Arial" w:hAnsi="Arial"/>
          <w:sz w:val="18"/>
          <w:szCs w:val="18"/>
          <w:color w:val="auto"/>
        </w:rPr>
      </w:pPr>
    </w:p>
    <w:p>
      <w:pPr>
        <w:ind w:left="1400" w:right="460" w:hanging="318"/>
        <w:spacing w:after="0" w:line="277"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more tolerable safety profile than imatinib due to the direct delivery to the lungs, as supported by the absence adverse bleeding observed to date in toxicology programs or Phase 1 studies; and</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convenient, simple and portable inhalation methodology and delivery system.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History of GB002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Preclinical Program</w:t>
      </w:r>
    </w:p>
    <w:p>
      <w:pPr>
        <w:spacing w:after="0" w:line="225"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GB002 inhibits both PDGF a and b, and inhibited and reversed cell overgrowth in lung blood vessels in PAH in a rat model, as shown below in Figure 8. This rat model replicates many features of human PAH, including the abnormal cell proliferation that can block the small vessels of the lung. GB002 substantially reduced the occlusive lesions in the small lung blood vessels in this model. Additionally, in this model, GB002 demonstrated a statistically significant reduction in right ventricular systolic pressure as compared to placebo.</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8. Reversed Vascular Remodeling by GB002 Through Inhibition of PDGF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2246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858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Ongoing Phase 1 Study</w:t>
      </w:r>
    </w:p>
    <w:p>
      <w:pPr>
        <w:spacing w:after="0" w:line="225" w:lineRule="exact"/>
        <w:rPr>
          <w:sz w:val="20"/>
          <w:szCs w:val="20"/>
          <w:color w:val="auto"/>
        </w:rPr>
      </w:pPr>
    </w:p>
    <w:p>
      <w:pPr>
        <w:ind w:left="200" w:right="100" w:firstLine="771"/>
        <w:spacing w:after="0" w:line="312" w:lineRule="auto"/>
        <w:rPr>
          <w:sz w:val="20"/>
          <w:szCs w:val="20"/>
          <w:color w:val="auto"/>
        </w:rPr>
      </w:pPr>
      <w:r>
        <w:rPr>
          <w:rFonts w:ascii="Arial" w:cs="Arial" w:eastAsia="Arial" w:hAnsi="Arial"/>
          <w:sz w:val="16"/>
          <w:szCs w:val="16"/>
          <w:color w:val="auto"/>
        </w:rPr>
        <w:t>We are currently conducting Phase 1a SAD and MAD double-blind, placebo-controlled, randomized studies of orally inhaled GB002 in healthy adult volunteers. In the SAD portion of the study, we have completed five dosing cohorts, each consisting of six volunteers on active drug and two on placebo. We have assessed pharmacokinetics, or PK, parameters and safety. No treatment-related safety issues have been reported during the</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24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study to date. We have completed dosing for the three cohorts in the MAD portion of the study, in which healthy volunteers receive doses of GB002 or placebo for seven days. As of December 15, 2018, no treatment-related safety issues have arisen during the study.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Planned Phase 1b Clinical Trial</w:t>
      </w:r>
    </w:p>
    <w:p>
      <w:pPr>
        <w:spacing w:after="0" w:line="225"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We expect to commence a Phase 1b ascending dose, single-blind, placebo-controlled, randomized trial of GB002 in functional class II and III PAH patients in the first half of 2019. We plan to enroll two to three cohorts of approximately eight patients each and follow patients for two weeks of dosing. The primary goal of the trial is to assess safety, and we also intend to assess certain PK/PD measurements in patients. We anticipate reporting data from our Phase 1b clinical trial in PAH in the first half of 2020.</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Planned Phase 2/3 PAH Clinical Trial</w:t>
      </w:r>
    </w:p>
    <w:p>
      <w:pPr>
        <w:spacing w:after="0" w:line="225" w:lineRule="exact"/>
        <w:rPr>
          <w:sz w:val="20"/>
          <w:szCs w:val="20"/>
          <w:color w:val="auto"/>
        </w:rPr>
      </w:pPr>
    </w:p>
    <w:p>
      <w:pPr>
        <w:ind w:left="200" w:firstLine="771"/>
        <w:spacing w:after="0" w:line="273" w:lineRule="auto"/>
        <w:rPr>
          <w:sz w:val="20"/>
          <w:szCs w:val="20"/>
          <w:color w:val="auto"/>
        </w:rPr>
      </w:pPr>
      <w:r>
        <w:rPr>
          <w:rFonts w:ascii="Arial" w:cs="Arial" w:eastAsia="Arial" w:hAnsi="Arial"/>
          <w:sz w:val="17"/>
          <w:szCs w:val="17"/>
          <w:color w:val="auto"/>
        </w:rPr>
        <w:t>We plan to commence a randomized, double-blind, placebo-controlled Phase 2/3 clinical trial in functional class III and IV PAH patients in the second half of 2019. We have received FDA feedback through Type C meeting interactions to inform our Phase 2/3 clinical trial design and endpoints. Our planned primary endpoint is the change from baseline in pulmonary vascular resistance at week 24. Key planned secondary endpoints include change from baseline to week 24 in 6MWD and NTproBNP. If we meet the primary endpoint and observe a favorable trend in the key secondary endpoints with a tolerable safety profile, we plan to discuss the possibility of expedited pathways for review and approval with the FDA. We anticipate reporting topline data from our Phase 2/3 clinical trial in PAH in the second half of 2021.</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GB004 (HIF-1</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Stabilizer)</w:t>
      </w:r>
    </w:p>
    <w:p>
      <w:pPr>
        <w:spacing w:after="0" w:line="225" w:lineRule="exact"/>
        <w:rPr>
          <w:sz w:val="20"/>
          <w:szCs w:val="20"/>
          <w:color w:val="auto"/>
        </w:rPr>
      </w:pPr>
    </w:p>
    <w:p>
      <w:pPr>
        <w:ind w:left="200" w:right="20" w:firstLine="771"/>
        <w:spacing w:after="0" w:line="291" w:lineRule="auto"/>
        <w:rPr>
          <w:sz w:val="20"/>
          <w:szCs w:val="20"/>
          <w:color w:val="auto"/>
        </w:rPr>
      </w:pPr>
      <w:r>
        <w:rPr>
          <w:rFonts w:ascii="Arial" w:cs="Arial" w:eastAsia="Arial" w:hAnsi="Arial"/>
          <w:sz w:val="16"/>
          <w:szCs w:val="16"/>
          <w:color w:val="auto"/>
        </w:rPr>
        <w:t>GB004 is a novel, gut-targeted, oral small molecule being developed for the treatment of IBD including UC and CD. GB004 stabilizes HIF through the inhibition of HIF PHDs, key enzymes involved in HIF degradation. Preclinical data from animal models of IBD demonstrated that HIF-1a stabilization restores intestinal epithelial barrier integrity and function, and results in immunomodulatory effects that we believe are important in reducing inflammation and enhancing mucosal healing in IBD patients. We have completed a Phase 1 SAD study in healthy volunteers and are currently dosing healthy volunteers in a Phase 1 MAD study. We plan to pursue clinical development in both UC and CD patients and, following an IND submission with the FDA, initiate a Phase 1b clinical trial in UC in the first half of 2019. We also plan to initiate a Phase 2 clinical trial in UC in the first half of 2020. We in-licensed GB004 from Aerpio Pharmaceuticals, Inc., or Aerpio, in June 2018 and retain worldwide rights.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Mechanism of Action</w:t>
      </w:r>
    </w:p>
    <w:p>
      <w:pPr>
        <w:spacing w:after="0" w:line="225"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HIFs have an important role in protecting cells from low oxygen levels. PHDs are enzymes that hydroxylate HIFs when oxygen levels are normal. At low oxygen levels, the activity of PHDs are inhibited, and HIFs are stabilized. Stabilized HIFs subsequently activate the expression of genes that protect cells and promote the healing of tissue that has been injured. Pharmacological inhibition of PHDs can replicate the effects of low oxygen levels on HIF stabilization.</w:t>
      </w:r>
    </w:p>
    <w:p>
      <w:pPr>
        <w:spacing w:after="0" w:line="187" w:lineRule="exact"/>
        <w:rPr>
          <w:sz w:val="20"/>
          <w:szCs w:val="20"/>
          <w:color w:val="auto"/>
        </w:rPr>
      </w:pPr>
    </w:p>
    <w:p>
      <w:pPr>
        <w:ind w:left="200" w:right="20" w:firstLine="771"/>
        <w:spacing w:after="0" w:line="291" w:lineRule="auto"/>
        <w:rPr>
          <w:sz w:val="20"/>
          <w:szCs w:val="20"/>
          <w:color w:val="auto"/>
        </w:rPr>
      </w:pPr>
      <w:r>
        <w:rPr>
          <w:rFonts w:ascii="Arial" w:cs="Arial" w:eastAsia="Arial" w:hAnsi="Arial"/>
          <w:sz w:val="16"/>
          <w:szCs w:val="16"/>
          <w:color w:val="auto"/>
        </w:rPr>
        <w:t>IBD represents a state of chronic tissue injury. In IBD animal models, stabilizing HIF through the inhibition of PHD promoted the restoration of intestinal epithelial barrier function and reduction of inflammation. GB004 is a PHD inhibitor designed to be gut-targeted with higher intestinal exposure than systemic exposure. GB004 has also demonstrated greater accumulation of HIF-1a than HIF-2a in IBD animal models. Systemically active PHD inhibitors, which stabilize HIF-2a thereby increasing systemic erythropoietin, or EPO, production by the liver and kidney, are under development for the treatment of anemia in chronic kidney disease. By contrast, the use of orally administered GB004, which stabilized HIF-1a in an IBD animal model, did not result in higher red blood cell counts or a clinically significant increase in plasma EPO levels. We believe this is likely a consequence of both the limited systemic exposure of oral GB004 and its predominately selective inhibition of PHDs that stabilize HIF-1a.</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Gut-targeting</w:t>
      </w:r>
    </w:p>
    <w:p>
      <w:pPr>
        <w:spacing w:after="0" w:line="225"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In animal models of IBD, the reduction in inflammation was similar between oral and intravenously- administered GB004. Oral administration resulted in lower systemic exposure and greater accumulation of HIF-1a than HIF-2a without an increase in EPO, blood count or HIF-mediated effects outside of the gastrointestinal, or GI, tract, including in the heart, kidney, and liver. Other data in non-diseased animals have also shown that orally delivered GB004 preferentially concentrated in the GI tract at a rate many times higher than in other organs, such as the heart, kidney or liver.</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Figure 9 below depicts the proposed mechanism of action of GB004.</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Figure 9. Mechanism of PHD Inhibitor to Restore Epithelial Barrier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172085</wp:posOffset>
            </wp:positionV>
            <wp:extent cx="4244975" cy="2967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4497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right="1380" w:firstLine="771"/>
        <w:spacing w:after="0" w:line="277" w:lineRule="auto"/>
        <w:rPr>
          <w:sz w:val="20"/>
          <w:szCs w:val="20"/>
          <w:color w:val="auto"/>
        </w:rPr>
      </w:pPr>
      <w:r>
        <w:rPr>
          <w:rFonts w:ascii="Arial" w:cs="Arial" w:eastAsia="Arial" w:hAnsi="Arial"/>
          <w:sz w:val="18"/>
          <w:szCs w:val="18"/>
          <w:color w:val="auto"/>
        </w:rPr>
        <w:t>GB004’s potential beneficial effects in IBD can be broken into two categories: restoration of epithelial barrier function and immunomodulation.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Restoration of Epithelial Barrier Function</w:t>
      </w:r>
    </w:p>
    <w:p>
      <w:pPr>
        <w:spacing w:after="0" w:line="225" w:lineRule="exact"/>
        <w:rPr>
          <w:sz w:val="20"/>
          <w:szCs w:val="20"/>
          <w:color w:val="auto"/>
        </w:rPr>
      </w:pPr>
    </w:p>
    <w:p>
      <w:pPr>
        <w:ind w:left="200" w:right="160" w:firstLine="771"/>
        <w:spacing w:after="0" w:line="293" w:lineRule="auto"/>
        <w:rPr>
          <w:sz w:val="20"/>
          <w:szCs w:val="20"/>
          <w:color w:val="auto"/>
        </w:rPr>
      </w:pPr>
      <w:r>
        <w:rPr>
          <w:rFonts w:ascii="Arial" w:cs="Arial" w:eastAsia="Arial" w:hAnsi="Arial"/>
          <w:sz w:val="16"/>
          <w:szCs w:val="16"/>
          <w:color w:val="auto"/>
        </w:rPr>
        <w:t>HIF-1a expression leads to increases in genes known to promote epithelial integrity and mucosal barrier function. GB004 stabilizes HIF-1a, promoting healing of the intestinal epithelial barrier. The treatment of 2,4,6-trinitrobenzenesulfonic acid (TNBS) colitis mouse models with GB004 demonstrated statistically significant restitution of the epithelial barrier and mucosal healing as compared to placebo with similar improvements to dexamethasone, a corticosteriod used for the treatment of moderate-to-severe IBD. While current therapies target the inflammatory response in IBD, GB004 represents a novel mechanism designed to directly enhance the repair of the epithelial barrier. We believe that repairing damage to epithelium and the associated reduction of inflammation would lead to a significant improvement in the symptoms experienced by IBD patients.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Immunomodulation</w:t>
      </w:r>
    </w:p>
    <w:p>
      <w:pPr>
        <w:spacing w:after="0" w:line="225"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HIF-1a is an important modulator of the innate and adaptive immune response. HIF-1a increases antimicrobial peptides, factors that protect the host from infection. In addition, HIF-1a may be critical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regulatory immune cell function and these cells are important cells for reducing inflammation in IBD. Taken together, HIF-1a mediated effects on innate and adaptive immune responses in the gut contribute to resolution of inflammation and complement the epithelial barrier protective effects of HIF-1a stabilization.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IBD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IBD refers to two conditions, UC and CD, that are characterized by chronic inflammation of the GI tract.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Ulcerative Colitis</w:t>
      </w:r>
    </w:p>
    <w:p>
      <w:pPr>
        <w:spacing w:after="0" w:line="225" w:lineRule="exact"/>
        <w:rPr>
          <w:sz w:val="20"/>
          <w:szCs w:val="20"/>
          <w:color w:val="auto"/>
        </w:rPr>
      </w:pPr>
    </w:p>
    <w:p>
      <w:pPr>
        <w:ind w:left="200" w:right="140" w:firstLine="771"/>
        <w:spacing w:after="0" w:line="264" w:lineRule="auto"/>
        <w:rPr>
          <w:sz w:val="20"/>
          <w:szCs w:val="20"/>
          <w:color w:val="auto"/>
        </w:rPr>
      </w:pPr>
      <w:r>
        <w:rPr>
          <w:rFonts w:ascii="Arial" w:cs="Arial" w:eastAsia="Arial" w:hAnsi="Arial"/>
          <w:sz w:val="18"/>
          <w:szCs w:val="18"/>
          <w:color w:val="auto"/>
        </w:rPr>
        <w:t>UC is a chronic GI inflammatory disorder that involves the mucosal lining of the colon. Patients with UC suffer from a multitude of GI symptoms, such as diarrhea, rectal bleeding and weight loss. UC is characterized by a chronic course of remissions and exacerbations. Within 10 years of diagnosis, it is estimated that 20% of adults with UC will have undergone colectomy.</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Crohn’s Disease</w:t>
      </w:r>
    </w:p>
    <w:p>
      <w:pPr>
        <w:spacing w:after="0" w:line="225"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CD is a chronic, inflammatory condition that involves the full thickness of the wall of the GI tract, and is characterized by erosions, strictures and perforations of the intestine. Symptoms include diarrhea, abdominal pain, blood in the stool and weight loss. Maintaining symptomatic control and obtaining remission are critical to minimizing short-term and long-term complications and to improving the outcomes and quality of life for patients with CD. The natural course of CD is a progression from inflammation of the mucosa to stricture formation of the intestine and of mucosal penetration or fistula formation, with the risk of stricture and fistula increasing with the duration of CD.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the IBD Market</w:t>
      </w:r>
    </w:p>
    <w:p>
      <w:pPr>
        <w:spacing w:after="0" w:line="225" w:lineRule="exact"/>
        <w:rPr>
          <w:sz w:val="20"/>
          <w:szCs w:val="20"/>
          <w:color w:val="auto"/>
        </w:rPr>
      </w:pPr>
    </w:p>
    <w:p>
      <w:pPr>
        <w:ind w:left="200" w:right="180" w:firstLine="771"/>
        <w:spacing w:after="0" w:line="279" w:lineRule="auto"/>
        <w:rPr>
          <w:sz w:val="20"/>
          <w:szCs w:val="20"/>
          <w:color w:val="auto"/>
        </w:rPr>
      </w:pPr>
      <w:r>
        <w:rPr>
          <w:rFonts w:ascii="Arial" w:cs="Arial" w:eastAsia="Arial" w:hAnsi="Arial"/>
          <w:sz w:val="17"/>
          <w:szCs w:val="17"/>
          <w:color w:val="auto"/>
        </w:rPr>
        <w:t>Approximately three million Americans report being diagnosed with either UC or CD. The U.S. market for IBD biologics reached an estimated $7 billion in 2016 and is projected to grow to over $10 billion by 2025, according to Datamonitor. The current biologic market is dominated by the anti-TNF inhibitors Humira, marketed by AbbVie Inc., and Remicade, marketed by Janssen Pharmaceuticals, Inc., or Janssen, and the growing share of the anti-integrin Entyvio, marketed by Takeda Pharmaceuticals America, Inc.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 Paradigm in IBD</w:t>
      </w:r>
    </w:p>
    <w:p>
      <w:pPr>
        <w:spacing w:after="0" w:line="225"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Treatment of IBD consists mainly of immunosuppressive therapies. Treatment choices depend on the patient’s disease severity and responsiveness to therapy. Medications which treat mild to moderate IBD are generally well tolerated. However, as the severity of IBD increases, the potential toxicities of the medications required to manage the disease also increase. For example, treatment of mild to moderate patients typically starts with topical agents, such as 5-aminosalucylic acid, or 5-ASA. For those IBD patients who do not respond to 5-ASAs, or those with more severe disease, corticosteroids are generally used to induce clinical remission. However, longer-term treatment with corticosteroids is associated with multiple adverse effects. Additionally, approximately 38% of patients who initially respond to corticosteroids either become steroid-dependent or require surgery within a year of initiating corticosteroids for UC.</w:t>
      </w:r>
    </w:p>
    <w:p>
      <w:pPr>
        <w:spacing w:after="0" w:line="189" w:lineRule="exact"/>
        <w:rPr>
          <w:sz w:val="20"/>
          <w:szCs w:val="20"/>
          <w:color w:val="auto"/>
        </w:rPr>
      </w:pPr>
    </w:p>
    <w:p>
      <w:pPr>
        <w:ind w:left="200" w:right="160" w:firstLine="771"/>
        <w:spacing w:after="0" w:line="257" w:lineRule="auto"/>
        <w:rPr>
          <w:sz w:val="20"/>
          <w:szCs w:val="20"/>
          <w:color w:val="auto"/>
        </w:rPr>
      </w:pPr>
      <w:r>
        <w:rPr>
          <w:rFonts w:ascii="Arial" w:cs="Arial" w:eastAsia="Arial" w:hAnsi="Arial"/>
          <w:sz w:val="18"/>
          <w:szCs w:val="18"/>
          <w:color w:val="auto"/>
        </w:rPr>
        <w:t>Patients with moderately to severely active IBD, who become nonresponsive or intolerant to corticosteroids, are treated with immunomodulators, biologics or a Janus kinase, or JAK, inhibitor. Immunomodulators show a delay in onset of action of one to three months, and can result in neutropenia, pancreatitis, nephrotoxicity and hepatotoxicity. Therefore, the treatment of IBD patients with moderately to severely active inflammation is dominated by anti-TNF biologics given their better efficacy and side effect profile than immunomodulators. This paradigm is shifting because of the approval of agents in other classes,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such as an anti-integrin, an anti-IL-12 / IL-23 and a JAK inhibitor. Additional immune suppressive therapies for the treatment of IBD are expected in the coming years with the anticipated introduction of oral S1P1 inhibitors and additional oral JAK inhibitors.</w:t>
      </w:r>
    </w:p>
    <w:p>
      <w:pPr>
        <w:spacing w:after="0" w:line="170" w:lineRule="exact"/>
        <w:rPr>
          <w:sz w:val="20"/>
          <w:szCs w:val="20"/>
          <w:color w:val="auto"/>
        </w:rPr>
      </w:pPr>
    </w:p>
    <w:p>
      <w:pPr>
        <w:ind w:left="200" w:right="760" w:firstLine="771"/>
        <w:spacing w:after="0" w:line="277" w:lineRule="auto"/>
        <w:rPr>
          <w:sz w:val="20"/>
          <w:szCs w:val="20"/>
          <w:color w:val="auto"/>
        </w:rPr>
      </w:pPr>
      <w:r>
        <w:rPr>
          <w:rFonts w:ascii="Arial" w:cs="Arial" w:eastAsia="Arial" w:hAnsi="Arial"/>
          <w:sz w:val="18"/>
          <w:szCs w:val="18"/>
          <w:color w:val="auto"/>
        </w:rPr>
        <w:t>Furthermore, current treatments and those in development focus on immunosuppression, interference in immune cell migration and inflammatory pathways.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GB004 Product Differentiation</w:t>
      </w:r>
    </w:p>
    <w:p>
      <w:pPr>
        <w:spacing w:after="0" w:line="225" w:lineRule="exact"/>
        <w:rPr>
          <w:sz w:val="20"/>
          <w:szCs w:val="20"/>
          <w:color w:val="auto"/>
        </w:rPr>
      </w:pPr>
    </w:p>
    <w:p>
      <w:pPr>
        <w:ind w:left="200" w:right="200" w:firstLine="771"/>
        <w:spacing w:after="0" w:line="264" w:lineRule="auto"/>
        <w:rPr>
          <w:sz w:val="20"/>
          <w:szCs w:val="20"/>
          <w:color w:val="auto"/>
        </w:rPr>
      </w:pPr>
      <w:r>
        <w:rPr>
          <w:rFonts w:ascii="Arial" w:cs="Arial" w:eastAsia="Arial" w:hAnsi="Arial"/>
          <w:sz w:val="18"/>
          <w:szCs w:val="18"/>
          <w:color w:val="auto"/>
        </w:rPr>
        <w:t>GB004 is designed to be gut-targeted with higher intestinal exposure than systemic exposure. In IBD animal models, GB004 has demonstrated greater accumulation of HIF-1a than HIF-2a which may lead to restoration of epithelial barrier function and resolution of inflammation, while avoiding the potential adverse effects of increased EPO.</w:t>
      </w:r>
    </w:p>
    <w:p>
      <w:pPr>
        <w:spacing w:after="0" w:line="181" w:lineRule="exact"/>
        <w:rPr>
          <w:sz w:val="20"/>
          <w:szCs w:val="20"/>
          <w:color w:val="auto"/>
        </w:rPr>
      </w:pPr>
    </w:p>
    <w:p>
      <w:pPr>
        <w:jc w:val="both"/>
        <w:ind w:left="200" w:right="120" w:firstLine="771"/>
        <w:spacing w:after="0" w:line="302" w:lineRule="auto"/>
        <w:rPr>
          <w:sz w:val="20"/>
          <w:szCs w:val="20"/>
          <w:color w:val="auto"/>
        </w:rPr>
      </w:pPr>
      <w:r>
        <w:rPr>
          <w:rFonts w:ascii="Arial" w:cs="Arial" w:eastAsia="Arial" w:hAnsi="Arial"/>
          <w:sz w:val="16"/>
          <w:szCs w:val="16"/>
          <w:color w:val="auto"/>
        </w:rPr>
        <w:t>GB004 is distinct, and may have a differentiated profile, from the immunomodulatory or immunosuppressive mechanisms of approved IBD medicines and those in late-stage development. By reducing inflammation and potentially restoring intestinal epithelial barrier function and restitution through GB004’s gut-targeted nature and preferential stabilization of HIF-1a, we believe GB004 could improve outcomes for IBD patients. We believe this mechanism has potential as a standalone therapeutic as well as a combination therapy with other therapeutic mechanisms in IBD.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Development Plan in IBD and Other Indications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Ongoing Phase 1 SAD and MAD Trial</w:t>
      </w:r>
    </w:p>
    <w:p>
      <w:pPr>
        <w:spacing w:after="0" w:line="225"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GB004 was evaluated by Aerpio in a first-in-human Phase 1 SAD study in healthy male volunteers. The primary objective of the study was to evaluate the safety and tolerability of ascending dose levels of GB004 after single oral administrations. The secondary objective was to characterize the single-dose PK profiles after escalating GB004 doses. A total of 40 subjects were randomized into five cohorts with 8 subjects each. All subjects completed the study. The five dose levels evaluated in this study were 20 mg, 60 mg, 120 mg, and 240 mg in 50 ml of solution and 240 mg in 100 ml of solution. All GB004 doses evaluated in this study were determined to be safe and well tolerated. No deaths or SAEs occurred. There were no significant differences in systemic levels of vascular endothelial growth factor, or VEGF, and EPO between GB004 and placebo patients.</w:t>
      </w:r>
    </w:p>
    <w:p>
      <w:pPr>
        <w:spacing w:after="0" w:line="165" w:lineRule="exact"/>
        <w:rPr>
          <w:sz w:val="20"/>
          <w:szCs w:val="20"/>
          <w:color w:val="auto"/>
        </w:rPr>
      </w:pPr>
    </w:p>
    <w:p>
      <w:pPr>
        <w:ind w:left="200" w:right="180" w:firstLine="771"/>
        <w:spacing w:after="0" w:line="257" w:lineRule="auto"/>
        <w:rPr>
          <w:sz w:val="20"/>
          <w:szCs w:val="20"/>
          <w:color w:val="auto"/>
        </w:rPr>
      </w:pPr>
      <w:r>
        <w:rPr>
          <w:rFonts w:ascii="Arial" w:cs="Arial" w:eastAsia="Arial" w:hAnsi="Arial"/>
          <w:sz w:val="18"/>
          <w:szCs w:val="18"/>
          <w:color w:val="auto"/>
        </w:rPr>
        <w:t>We are currently evaluating GB004 in a randomized, double-blind, placebo-controlled, MAD study to assess the safety, tolerability, PK and PD effects in healthy male and female volunteers. A total of 40 subjects are planned to be randomized into five cohorts with eight subjects each. Dose levels to be evaluated in the five cohorts are 60 mg and 120 mg per day in male volunteers, 240 mg per day in four male volunteers and four female volunteers, 120 mg per day in female volunteers and, if required, 60 mg per day in female volunteers. Volunteers unable to complete seven days of dosing may be replaced.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Summary of Planned Phase 1b Clinical Trial in UC</w:t>
      </w:r>
    </w:p>
    <w:p>
      <w:pPr>
        <w:spacing w:after="0" w:line="225" w:lineRule="exact"/>
        <w:rPr>
          <w:sz w:val="20"/>
          <w:szCs w:val="20"/>
          <w:color w:val="auto"/>
        </w:rPr>
      </w:pPr>
    </w:p>
    <w:p>
      <w:pPr>
        <w:ind w:left="200" w:right="40" w:firstLine="771"/>
        <w:spacing w:after="0" w:line="302" w:lineRule="auto"/>
        <w:rPr>
          <w:sz w:val="20"/>
          <w:szCs w:val="20"/>
          <w:color w:val="auto"/>
        </w:rPr>
      </w:pPr>
      <w:r>
        <w:rPr>
          <w:rFonts w:ascii="Arial" w:cs="Arial" w:eastAsia="Arial" w:hAnsi="Arial"/>
          <w:sz w:val="16"/>
          <w:szCs w:val="16"/>
          <w:color w:val="auto"/>
        </w:rPr>
        <w:t>We plan to submit an IND for GB004 in IBD and, after acceptance, initiate a Phase 1b trial of GB004 in approximately 30 symptomatic adult UC patients in the first half of 2019. Dose selection for this trial will be informed by the results of the MAD study. The goals of the study are to assess safety, tolerability, PK/PD and target engagement of GB004 in patients with UC. We expect to report topline data from this trial in the first half of 2020. We expect to initiate a Phase 2 clinical trial in UC in the first half of 2020 and anticipate reporting topline data from the trial by the first half of 2022.</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Research Capabilities and Preclinical Programs</w:t>
      </w:r>
    </w:p>
    <w:p>
      <w:pPr>
        <w:spacing w:after="0" w:line="225"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We currently have three programs in preclinical development and expect to file an IND application with the FDA for one of these programs, GB1275, in 2019. We are continuing to build our research capabilities,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specifically focusing on our areas of expertise within immunology, inflammation and oncology, in order to advance new programs into the clinic, as well as optimize our existing programs.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GB1275 (CD11b Agonist)</w:t>
      </w:r>
    </w:p>
    <w:p>
      <w:pPr>
        <w:spacing w:after="0" w:line="225" w:lineRule="exact"/>
        <w:rPr>
          <w:sz w:val="20"/>
          <w:szCs w:val="20"/>
          <w:color w:val="auto"/>
        </w:rPr>
      </w:pPr>
    </w:p>
    <w:p>
      <w:pPr>
        <w:ind w:left="200" w:right="20" w:firstLine="771"/>
        <w:spacing w:after="0" w:line="254" w:lineRule="auto"/>
        <w:rPr>
          <w:sz w:val="20"/>
          <w:szCs w:val="20"/>
          <w:color w:val="auto"/>
        </w:rPr>
      </w:pPr>
      <w:r>
        <w:rPr>
          <w:rFonts w:ascii="Arial" w:cs="Arial" w:eastAsia="Arial" w:hAnsi="Arial"/>
          <w:sz w:val="18"/>
          <w:szCs w:val="18"/>
          <w:color w:val="auto"/>
        </w:rPr>
        <w:t>GB1275 is an oral small molecule, CD11b agonist in preclinical development for the treatment of oncology indications. CD11b and CD18 are members of the integrin family of cell adhesion receptors that combine to form the functional adhesion receptor CD11b/CD18 (also known as Mac-1, CR3 or alpha- M beta-2) on cell surfaces. CD11b is highly expressed on immune system cells including tumor-associated macrophages, or TAMs, and myeloid derived suppressor cells, or MDSCs, which play a significant role in tumor growth, immune evasion and metastases. CD11b is also upregulated in many tumor types, and the presence of CD11b+ cells is associated with poor prognosis in multiple cancer types. We acquired GB1275 through our acquisition of Adhaere Pharmaceuticals, Inc. in September 2018 for an upfront payment of $7.5 million in cash, up to $62.0 million in regulatory, development and sales milestones and tiered royalties on worldwide net sales at percentages ranging from low to mid-single digits, subject to customary reductions.</w:t>
      </w:r>
    </w:p>
    <w:p>
      <w:pPr>
        <w:spacing w:after="0" w:line="192" w:lineRule="exact"/>
        <w:rPr>
          <w:sz w:val="20"/>
          <w:szCs w:val="20"/>
          <w:color w:val="auto"/>
        </w:rPr>
      </w:pPr>
    </w:p>
    <w:p>
      <w:pPr>
        <w:ind w:left="200" w:right="20" w:firstLine="771"/>
        <w:spacing w:after="0" w:line="272" w:lineRule="auto"/>
        <w:rPr>
          <w:sz w:val="20"/>
          <w:szCs w:val="20"/>
          <w:color w:val="auto"/>
        </w:rPr>
      </w:pPr>
      <w:r>
        <w:rPr>
          <w:rFonts w:ascii="Arial" w:cs="Arial" w:eastAsia="Arial" w:hAnsi="Arial"/>
          <w:sz w:val="17"/>
          <w:szCs w:val="17"/>
          <w:color w:val="auto"/>
        </w:rPr>
        <w:t>Innate immune cells modulate the tumor microenvironment, or TME, and fuel cancer cell growth and survival. We believe that validation for targeting the immunosuppressive TME in pancreatic cancer has been supported by evidence of durable clinical benefit in trials with an anti- colony-stimulating factor 1 receptor, or anti-CSF1R, antibody plus nivolumab, an agent approved for oncology indications, as well as C-C chemokine receptor type 2, or CCR2, inhibition in combination with chemotherapy. Our novel approach to integrin modulation, using small molecule CD11b agonists, targets innate immune cells, which enhances immune-mediated tumor killing. Preclinical data for GB1275 suggest our approach to integrin modulation transiently increases the myeloid cell adhesion to the blood vessel wall and reduces influx of TAMs and MDSCs in tumors, thereby increasing density of CD8</w:t>
      </w:r>
      <w:r>
        <w:rPr>
          <w:rFonts w:ascii="Arial" w:cs="Arial" w:eastAsia="Arial" w:hAnsi="Arial"/>
          <w:sz w:val="14"/>
          <w:szCs w:val="14"/>
          <w:color w:val="auto"/>
        </w:rPr>
        <w:t>+</w:t>
      </w:r>
      <w:r>
        <w:rPr>
          <w:rFonts w:ascii="Arial" w:cs="Arial" w:eastAsia="Arial" w:hAnsi="Arial"/>
          <w:sz w:val="17"/>
          <w:szCs w:val="17"/>
          <w:color w:val="auto"/>
        </w:rPr>
        <w:t xml:space="preserve"> T-cells in the TME and decreasing tumor growth.</w:t>
      </w:r>
    </w:p>
    <w:p>
      <w:pPr>
        <w:spacing w:after="0" w:line="178"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Preclinical studies have demonstrated reduced tumor burden and improved survival with GB1275 as a single agent and in combination with chemotherapy and immuno-oncology therapies across multiple tumor models, including pancreatic, breast and colon cancers in mice. Preclinical data also suggest differentiation from other approaches targeting immunosuppressive mechanisms, including anti-CSF1R antibodies and CCR2 inhibition, and we therefore plan to advance GB1275 in development for the treatment of immuno-oncology resistant tumors, such as pancreatic and triple negative breast cancer.</w:t>
      </w:r>
    </w:p>
    <w:p>
      <w:pPr>
        <w:spacing w:after="0" w:line="188" w:lineRule="exact"/>
        <w:rPr>
          <w:sz w:val="20"/>
          <w:szCs w:val="20"/>
          <w:color w:val="auto"/>
        </w:rPr>
      </w:pPr>
    </w:p>
    <w:p>
      <w:pPr>
        <w:ind w:left="200" w:right="20" w:firstLine="771"/>
        <w:spacing w:after="0" w:line="342" w:lineRule="auto"/>
        <w:rPr>
          <w:sz w:val="20"/>
          <w:szCs w:val="20"/>
          <w:color w:val="auto"/>
        </w:rPr>
      </w:pPr>
      <w:r>
        <w:rPr>
          <w:rFonts w:ascii="Arial" w:cs="Arial" w:eastAsia="Arial" w:hAnsi="Arial"/>
          <w:sz w:val="16"/>
          <w:szCs w:val="16"/>
          <w:color w:val="auto"/>
        </w:rPr>
        <w:t>Preclinical studies and profile characterization of GB1275 support daily oral dosing with no significant toxicology findings. We plan to submit an IND for GB1275 and, after acceptance, initiate a Phase 1 clinical trial of GB1275 in 2019. We anticipate reporting data from this trial in 2021.</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Autoimmune Program</w:t>
      </w:r>
    </w:p>
    <w:p>
      <w:pPr>
        <w:spacing w:after="0" w:line="225" w:lineRule="exact"/>
        <w:rPr>
          <w:sz w:val="20"/>
          <w:szCs w:val="20"/>
          <w:color w:val="auto"/>
        </w:rPr>
      </w:pPr>
    </w:p>
    <w:p>
      <w:pPr>
        <w:jc w:val="both"/>
        <w:ind w:left="200" w:right="100" w:firstLine="771"/>
        <w:spacing w:after="0" w:line="264" w:lineRule="auto"/>
        <w:rPr>
          <w:sz w:val="20"/>
          <w:szCs w:val="20"/>
          <w:color w:val="auto"/>
        </w:rPr>
      </w:pPr>
      <w:r>
        <w:rPr>
          <w:rFonts w:ascii="Arial" w:cs="Arial" w:eastAsia="Arial" w:hAnsi="Arial"/>
          <w:sz w:val="18"/>
          <w:szCs w:val="18"/>
          <w:color w:val="auto"/>
        </w:rPr>
        <w:t>We have a portfolio of novel BTK inhibitors with differentiated selectivity profiles with and without central nervous system penetration. We are currently evaluating these molecules with the goal of advancing an optimized compound into clinical development for the treatment of autoimmune indications.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Oncology Program</w:t>
      </w:r>
    </w:p>
    <w:p>
      <w:pPr>
        <w:spacing w:after="0" w:line="225" w:lineRule="exact"/>
        <w:rPr>
          <w:sz w:val="20"/>
          <w:szCs w:val="20"/>
          <w:color w:val="auto"/>
        </w:rPr>
      </w:pPr>
    </w:p>
    <w:p>
      <w:pPr>
        <w:ind w:left="200" w:right="160" w:firstLine="771"/>
        <w:spacing w:after="0" w:line="264" w:lineRule="auto"/>
        <w:rPr>
          <w:sz w:val="20"/>
          <w:szCs w:val="20"/>
          <w:color w:val="auto"/>
        </w:rPr>
      </w:pPr>
      <w:r>
        <w:rPr>
          <w:rFonts w:ascii="Arial" w:cs="Arial" w:eastAsia="Arial" w:hAnsi="Arial"/>
          <w:sz w:val="18"/>
          <w:szCs w:val="18"/>
          <w:color w:val="auto"/>
        </w:rPr>
        <w:t>We are developing small molecule cancer metabolism modulators that have the potential to treat solid tumors that are refractory to currently available checkpoint inhibitors. We are currently evaluating these molecules with the goal of advancing an optimized compound into clinical development for the treatment of solid tumors.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0" w:right="500" w:firstLine="771"/>
        <w:spacing w:after="0" w:line="277" w:lineRule="auto"/>
        <w:rPr>
          <w:sz w:val="20"/>
          <w:szCs w:val="20"/>
          <w:color w:val="auto"/>
        </w:rPr>
      </w:pPr>
      <w:r>
        <w:rPr>
          <w:rFonts w:ascii="Arial" w:cs="Arial" w:eastAsia="Arial" w:hAnsi="Arial"/>
          <w:sz w:val="18"/>
          <w:szCs w:val="18"/>
          <w:color w:val="auto"/>
        </w:rPr>
        <w:t>The biotechnology and pharmaceutical industries are characterized by rapid technological advancement, significant competition and an emphasis on intellectual property. We face potential competition from many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 Our commercial opportunity could be reduced or eliminated if our competitors develop and commercialize products that are safer, more effective, have fewer or less severe side effects or more convenient than any products that we may develop. Our competitors also may obtain FDA or other regulatory approval for their products more rapidly than we do. We believe that the key competitive factors affecting the success of any of our product candidates will include efficacy, safety profile, convenience, cost, level of promotional activity devoted to them and intellectual property protection.</w:t>
      </w:r>
    </w:p>
    <w:p>
      <w:pPr>
        <w:spacing w:after="0" w:line="178"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We expect to face competition from existing products and products in development for each of our product candidates. GB001, currently in development for the treatment of moderate-to-severe eosinophilic asthma, is an oral DP2 antagonist, a class of medicines with no currently-approved agents. However, other DP2 antagonists are currently in development by Novartis, Chiesi Farmaceutici S.p.A., Merck &amp; Company, Inc. and Sunshine Lake Pharma Co., Ltd. If approved, we will also face branded competition from existing biologics, including Xolair (omalizumab/anti-IgE, marketed by Genentech and Novartis) and Dupixent (dupilumab/anti-IL-4/IL-13, marketed by Regeneron Pharmaceuticals, Inc. and Sanofi S.A.), for moderate to severe asthma, and Nucala (mepolizumab/anti-IL-5, marketed by GlaxoSmithKline), Cinqair (reslizumab/anti-IL-5, marketed by Teva Pharmaceutical Industries Ltd.), and Fasenra (benralizumab/anti-IL-5, marketed by AstraZeneca Pharmaceuticals LP) for severe eosinophilic asthma. We will also face competition from generic montelukast, which is utilized in mild to moderate patients. Several other agents are advancing in clinical trials for asthma, including tezepelumab, REGN3500 (anti-IL-33; Regeneron), etokimab (anti-IL-33; AnaptysBio, Inc.), GSK3772847 (anti-IL-33; GlaxoSmithKline) and RG6149 (anti-ST2; Genentech).</w:t>
      </w:r>
    </w:p>
    <w:p>
      <w:pPr>
        <w:spacing w:after="0" w:line="178" w:lineRule="exact"/>
        <w:rPr>
          <w:sz w:val="20"/>
          <w:szCs w:val="20"/>
          <w:color w:val="auto"/>
        </w:rPr>
      </w:pPr>
    </w:p>
    <w:p>
      <w:pPr>
        <w:ind w:left="200" w:right="920" w:firstLine="771"/>
        <w:spacing w:after="0" w:line="308" w:lineRule="auto"/>
        <w:rPr>
          <w:sz w:val="20"/>
          <w:szCs w:val="20"/>
          <w:color w:val="auto"/>
        </w:rPr>
      </w:pPr>
      <w:r>
        <w:rPr>
          <w:rFonts w:ascii="Arial" w:cs="Arial" w:eastAsia="Arial" w:hAnsi="Arial"/>
          <w:sz w:val="17"/>
          <w:szCs w:val="17"/>
          <w:color w:val="auto"/>
        </w:rPr>
        <w:t>Additionally, while there are no agents currently approved beyond corticosteroids for CRSwNP, several agents approved for or in development for asthma are currently in development for CRSwNP, including Xolair, Fasenra, Dupixent and etokimab.</w:t>
      </w:r>
    </w:p>
    <w:p>
      <w:pPr>
        <w:spacing w:after="0" w:line="147" w:lineRule="exact"/>
        <w:rPr>
          <w:sz w:val="20"/>
          <w:szCs w:val="20"/>
          <w:color w:val="auto"/>
        </w:rPr>
      </w:pPr>
    </w:p>
    <w:p>
      <w:pPr>
        <w:ind w:left="200" w:right="400" w:firstLine="771"/>
        <w:spacing w:after="0" w:line="277" w:lineRule="auto"/>
        <w:rPr>
          <w:sz w:val="20"/>
          <w:szCs w:val="20"/>
          <w:color w:val="auto"/>
        </w:rPr>
      </w:pPr>
      <w:r>
        <w:rPr>
          <w:rFonts w:ascii="Arial" w:cs="Arial" w:eastAsia="Arial" w:hAnsi="Arial"/>
          <w:sz w:val="18"/>
          <w:szCs w:val="18"/>
          <w:color w:val="auto"/>
        </w:rPr>
        <w:t>Xolair is currently FDA-approved for the treatment of CSU. We may also face competition from agents currently in development for the indication, including ligelizumab (anti-IgE; Novartis) and AK002 (anti-Siglec-8; Allakos Inc.).</w:t>
      </w:r>
    </w:p>
    <w:p>
      <w:pPr>
        <w:spacing w:after="0" w:line="170" w:lineRule="exact"/>
        <w:rPr>
          <w:sz w:val="20"/>
          <w:szCs w:val="20"/>
          <w:color w:val="auto"/>
        </w:rPr>
      </w:pPr>
    </w:p>
    <w:p>
      <w:pPr>
        <w:ind w:left="200" w:right="100" w:firstLine="771"/>
        <w:spacing w:after="0" w:line="271" w:lineRule="auto"/>
        <w:rPr>
          <w:sz w:val="20"/>
          <w:szCs w:val="20"/>
          <w:color w:val="auto"/>
        </w:rPr>
      </w:pPr>
      <w:r>
        <w:rPr>
          <w:rFonts w:ascii="Arial" w:cs="Arial" w:eastAsia="Arial" w:hAnsi="Arial"/>
          <w:sz w:val="17"/>
          <w:szCs w:val="17"/>
          <w:color w:val="auto"/>
        </w:rPr>
        <w:t>GB002 is a potentially first-in-class PDGF receptor kinase inhibitor initially targeted for intermediate and high-risk PAH patients. While potentially unique in our class, we expect our primary competition in this patient set will include prostanoids, available in oral form as Orenitram (United Therapeutics Corporation, or United Therapeutics) and Uptravi (Janssen), by inhalation as Tyvaso (United Therapeutics), and by infusion as Remodulin (United Therapeutics). While we may face some competition from products used in class I and II patients, such as the oral PDE5 inhibitors, including Revatio (Pfizer Inc.) and Adcirca (United Therapeutics); the sGC stimulator Adempas (Bayer AG); and oral ERAs, including Tracleer (Janssen), Letairis (Gilead Sciences, Inc.) and Opsumit (Janssen), we believe that, if approved, GB002 would be used along with these background therapies. PAH is also an active indication for investigational drugs, and we may face competition in the future from ralinepag (Arena Pharmaceuticals, Inc.), sotatercept (Acceleron Pharma, Inc.) and bardoxolone methyl (Reata Pharmaceuticals, Inc.).</w:t>
      </w:r>
    </w:p>
    <w:p>
      <w:pPr>
        <w:spacing w:after="0" w:line="179" w:lineRule="exact"/>
        <w:rPr>
          <w:sz w:val="20"/>
          <w:szCs w:val="20"/>
          <w:color w:val="auto"/>
        </w:rPr>
      </w:pPr>
    </w:p>
    <w:p>
      <w:pPr>
        <w:ind w:left="200" w:right="80" w:firstLine="771"/>
        <w:spacing w:after="0" w:line="293" w:lineRule="auto"/>
        <w:rPr>
          <w:sz w:val="20"/>
          <w:szCs w:val="20"/>
          <w:color w:val="auto"/>
        </w:rPr>
      </w:pPr>
      <w:r>
        <w:rPr>
          <w:rFonts w:ascii="Arial" w:cs="Arial" w:eastAsia="Arial" w:hAnsi="Arial"/>
          <w:sz w:val="16"/>
          <w:szCs w:val="16"/>
          <w:color w:val="auto"/>
        </w:rPr>
        <w:t>GB004 is potentially a first-in-class HIF-1a stabilizer with the potential to restore epithelial barrier function in patients with IBD. Patients with mild to moderate UC can initially be maintained in remission using a 5-ASA. For those patients who do not respond to 5-ASA, or those with more severe and/or extensive disease at diagnosis, corticosteroids are generally the next line of treatment. Patients who have become nonresponsive or intolerant to corticosteroids may move to azathioprine and 6-mercaptopurine. The treatment of severe patients is dominated by anti-TNF biologics, though the paradigm is shifting because of the approval of agents in other classes, such as anti-integrin, IL-12 / IL-23, and JAK inhibitors. Further disruption is expected in the coming years through the introduction of oral S1P1 inhibitors and additional oral JAK inhibitors.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771"/>
        <w:spacing w:after="0" w:line="297" w:lineRule="auto"/>
        <w:rPr>
          <w:sz w:val="20"/>
          <w:szCs w:val="20"/>
          <w:color w:val="auto"/>
        </w:rPr>
      </w:pPr>
      <w:r>
        <w:rPr>
          <w:rFonts w:ascii="Arial" w:cs="Arial" w:eastAsia="Arial" w:hAnsi="Arial"/>
          <w:sz w:val="16"/>
          <w:szCs w:val="16"/>
          <w:color w:val="auto"/>
        </w:rPr>
        <w:t>There may be other earlier stage clinical programs that, if approved, would compete with our product candidates. 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Pulmokine</w:t>
      </w:r>
    </w:p>
    <w:p>
      <w:pPr>
        <w:spacing w:after="0" w:line="225" w:lineRule="exact"/>
        <w:rPr>
          <w:sz w:val="20"/>
          <w:szCs w:val="20"/>
          <w:color w:val="auto"/>
        </w:rPr>
      </w:pPr>
    </w:p>
    <w:p>
      <w:pPr>
        <w:ind w:left="200" w:right="100" w:firstLine="771"/>
        <w:spacing w:after="0" w:line="255" w:lineRule="auto"/>
        <w:rPr>
          <w:sz w:val="20"/>
          <w:szCs w:val="20"/>
          <w:color w:val="auto"/>
        </w:rPr>
      </w:pPr>
      <w:r>
        <w:rPr>
          <w:rFonts w:ascii="Arial" w:cs="Arial" w:eastAsia="Arial" w:hAnsi="Arial"/>
          <w:sz w:val="18"/>
          <w:szCs w:val="18"/>
          <w:color w:val="auto"/>
        </w:rPr>
        <w:t>In October 2017, we entered into a license agreement, or the Pulmokine Agreement, with Pulmokine, Inc., under which we were granted an exclusive worldwide license and sublicense to certain intellectual property rights owned or controlled by Pulmokine, including intellectual property rights co-owned by Pulmokine and Gilead Sciences, to develop and commercialize GB002 and certain backup compounds for the treatment, prevention and diagnosis of any and all disease or conditions. We also have the right to sublicense our rights under the Pulmokine Agreement, subject to certain conditions. We are required to use commercially reasonable efforts to develop and commercialize at least one licensed product in the United States and in at least two countries in the European Union.</w:t>
      </w:r>
    </w:p>
    <w:p>
      <w:pPr>
        <w:spacing w:after="0" w:line="193" w:lineRule="exact"/>
        <w:rPr>
          <w:sz w:val="20"/>
          <w:szCs w:val="20"/>
          <w:color w:val="auto"/>
        </w:rPr>
      </w:pPr>
    </w:p>
    <w:p>
      <w:pPr>
        <w:ind w:left="200" w:right="120" w:firstLine="771"/>
        <w:spacing w:after="0" w:line="255" w:lineRule="auto"/>
        <w:rPr>
          <w:sz w:val="20"/>
          <w:szCs w:val="20"/>
          <w:color w:val="auto"/>
        </w:rPr>
      </w:pPr>
      <w:r>
        <w:rPr>
          <w:rFonts w:ascii="Arial" w:cs="Arial" w:eastAsia="Arial" w:hAnsi="Arial"/>
          <w:sz w:val="18"/>
          <w:szCs w:val="18"/>
          <w:color w:val="auto"/>
        </w:rPr>
        <w:t>Under the terms of the Pulmokine Agreement, we made an upfront payment of $5.5 million to Pulmokine and are obligated to make future development and regulatory milestone payments of up to $63 million, commercial milestone payments of up to $45 million, and sales milestone payments of up to $190 million. We are also obligated to pay tiered royalties on sales for each licensed product, at percentages ranging from the mid-single digits to the high single-digits. In addition, if we choose to sublicense or assign to any third parties our rights under the Pulmokine Agreement with respect to a licensed product, or our GB002 operating subsidiary undergoes a change of control, we must pay to Pulmokine a specified percentage of all revenue to be received in connection with such transaction.</w:t>
      </w:r>
    </w:p>
    <w:p>
      <w:pPr>
        <w:spacing w:after="0" w:line="193"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Our royalty obligations and the Pulmokine Agreement will expire on a licensed product-by-licensed product and country-by-country basis on the later of ten years from the date of first commercial sale or when there is no longer a valid patent claim covering such licensed product or specified regulatory exclusivity for the licensed product in such country. The Pulmokine Agreement may be terminated in its entirety either by Pulmokine or by us in the event of an uncured material breach by the other party, in the event the other party is subject to specified bankruptcy, insolvency or similar circumstances, or in the event of a force majeure event under certain circumstances. The agreement may be terminated by Pulmokine if we commence a legal action challenging the validity or enforceability of any licensed patents. We may terminate the agreement, either in its entirety or on a product-by-product basis, in the event of potential safety or efficacy concerns affecting a licensed product.</w:t>
      </w:r>
    </w:p>
    <w:p>
      <w:pPr>
        <w:spacing w:after="0" w:line="178"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The intellectual property rights co-owned by Pulmokine and Gilead Sciences are subject to a license agreement, or the Gilead Agreement, between Pulmokine and Gilead Sciences. Under the Gilead Agreement, Pulmokine is required to use commercially reasonable efforts to develop and commercialize at least one licensed product, which obligation can be satisfied through our development efforts required under the Pulmokine Agreement, and to pay Gilead Sciences future regulatory milestone payments and royalties. Upon termination of the Gilead Agreement for any reason, our sublicense under the Pulmokine Agreement will survive provided that we did not cause a material breach that was the basis for such termination and we agree to be bound by the terms of the Gilead Agreement.</w:t>
      </w:r>
    </w:p>
    <w:p>
      <w:pPr>
        <w:spacing w:after="0" w:line="193" w:lineRule="exact"/>
        <w:rPr>
          <w:sz w:val="20"/>
          <w:szCs w:val="20"/>
          <w:color w:val="auto"/>
        </w:rPr>
      </w:pPr>
    </w:p>
    <w:p>
      <w:pPr>
        <w:ind w:left="200" w:right="500" w:firstLine="771"/>
        <w:spacing w:after="0" w:line="308" w:lineRule="auto"/>
        <w:rPr>
          <w:sz w:val="20"/>
          <w:szCs w:val="20"/>
          <w:color w:val="auto"/>
        </w:rPr>
      </w:pPr>
      <w:r>
        <w:rPr>
          <w:rFonts w:ascii="Arial" w:cs="Arial" w:eastAsia="Arial" w:hAnsi="Arial"/>
          <w:sz w:val="17"/>
          <w:szCs w:val="17"/>
          <w:color w:val="auto"/>
        </w:rPr>
        <w:t>Upon termination of the agreement for any reason, all rights and licenses granted to us under the agreement will terminate and revert to Pulmokine, and in the event of certain termination events, we would grant Pulmokine worldwide rights to the terminated program.</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Aerpio Pharmaceuticals</w:t>
      </w:r>
    </w:p>
    <w:p>
      <w:pPr>
        <w:spacing w:after="0" w:line="225"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In June 2018, we entered into a license agreement, or the Aerpio Agreement, with Aerpio Pharmaceuticals, Inc., under which we were granted an exclusive worldwide license to certain intellectual property rights owned or controlled by Aerpio to develop and commercialize GB004 and certain other related compounds for all applications. We also have the right to sublicense our rights under the Aerpio Agreement, subject to certain conditions. We are required to use commercially reasonable efforts to develop and commercialize at least one licensed product in the United States, in at least two countries in the European Union, and in Japan, in each case for at least one of the initial indications of UC or CD. The license agreement also includes a sublicense to a patent owned by The Regents of the University of Colorado, or UC Regents, and non-exclusively licensed to Aerpio. The terms of the license agreement prohibit further sublicensing of the UC Regents patent rights.</w:t>
      </w:r>
    </w:p>
    <w:p>
      <w:pPr>
        <w:spacing w:after="0" w:line="178" w:lineRule="exact"/>
        <w:rPr>
          <w:sz w:val="20"/>
          <w:szCs w:val="20"/>
          <w:color w:val="auto"/>
        </w:rPr>
      </w:pPr>
    </w:p>
    <w:p>
      <w:pPr>
        <w:ind w:left="200" w:firstLine="771"/>
        <w:spacing w:after="0" w:line="287" w:lineRule="auto"/>
        <w:rPr>
          <w:sz w:val="20"/>
          <w:szCs w:val="20"/>
          <w:color w:val="auto"/>
        </w:rPr>
      </w:pPr>
      <w:r>
        <w:rPr>
          <w:rFonts w:ascii="Arial" w:cs="Arial" w:eastAsia="Arial" w:hAnsi="Arial"/>
          <w:sz w:val="16"/>
          <w:szCs w:val="16"/>
          <w:color w:val="auto"/>
        </w:rPr>
        <w:t>Under the terms of the Aerpio Agreement, we made an upfront payment of $20 million to Aerpio and are obligated to make future development and regulatory milestone payments of up to $55 million, commercial milestone payments of up to $85 million and sales milestone payments of up to $260 million. We are also obligated to pay tiered royalties on sales for each licensed product, at percentages ranging from a high-single-digit to mid-teens, subject to certain customary reductions. In addition, if we choose to sublicense or assign to any third parties our rights under the Aerpio Agreement with respect to any licensed product or if our GB004 operating subsidiary undergoes a change of control and the value of such transaction exceeds a specified value, we have an option to pay a specified percentage of all revenue to be received in connection with such transaction, and if we exercise the option Aerpio will no longer be paid the development, regulatory, commercial or sales milestones or royalties on the sales of licensed products under the agreement. If we do not exercise our buy-down option with respect to a sublicense or assignment of our rights under the Aerpio Agreement or with respect to a change of control of our GB004 operating subsidiary, Aerpio will have an option to receive a specified percentage of all revenue received in connection with such transaction, and if Aerpio exercises the option Aerpio will no longer be paid the development, regulatory, commercial or sales milestones or royalties on sales of licensed products under the agreement.</w:t>
      </w:r>
    </w:p>
    <w:p>
      <w:pPr>
        <w:spacing w:after="0" w:line="173" w:lineRule="exact"/>
        <w:rPr>
          <w:sz w:val="20"/>
          <w:szCs w:val="20"/>
          <w:color w:val="auto"/>
        </w:rPr>
      </w:pPr>
    </w:p>
    <w:p>
      <w:pPr>
        <w:ind w:left="200" w:right="80" w:firstLine="771"/>
        <w:spacing w:after="0" w:line="271" w:lineRule="auto"/>
        <w:rPr>
          <w:sz w:val="20"/>
          <w:szCs w:val="20"/>
          <w:color w:val="auto"/>
        </w:rPr>
      </w:pPr>
      <w:r>
        <w:rPr>
          <w:rFonts w:ascii="Arial" w:cs="Arial" w:eastAsia="Arial" w:hAnsi="Arial"/>
          <w:sz w:val="17"/>
          <w:szCs w:val="17"/>
          <w:color w:val="auto"/>
        </w:rPr>
        <w:t>Our royalty obligations and the Aerpio Agreement will expire on a licensed product-by-licensed product and country-by-country basis on the later of fifteen years from the date of first commercial sale or when there is no longer a valid patent claim covering such licensed product in such country. The agreement may be terminated either by Aerpio or by us in the event of an uncured material breach by the other party or in the event the other party becomes subject to specified bankruptcy, insolvency or similar circumstances. In the event we commence a legal action challenging the validity or enforceability of any licensed patents, Aerpio will have the right to terminate the agreement or elect to increase milestone and royalty payments by a specified percentage. We may terminate the agreement in the event of potential safety or efficacy concerns affecting a licensed product. Upon termination of the agreement for any reason all rights and licenses granted to us under the agreement will terminate, and in the event of certain termination events, we would grant Aerpio worldwide rights to the terminated program.</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00" w:right="60" w:firstLine="771"/>
        <w:spacing w:after="0" w:line="273" w:lineRule="auto"/>
        <w:rPr>
          <w:sz w:val="20"/>
          <w:szCs w:val="20"/>
          <w:color w:val="auto"/>
        </w:rPr>
      </w:pPr>
      <w:r>
        <w:rPr>
          <w:rFonts w:ascii="Arial" w:cs="Arial" w:eastAsia="Arial" w:hAnsi="Arial"/>
          <w:sz w:val="17"/>
          <w:szCs w:val="17"/>
          <w:color w:val="auto"/>
        </w:rPr>
        <w:t>We currently rely on multiple third-party manufacturers for the manufacture of our product candidates for preclinical and clinical testing. We intend to rely on third-party contract manufacturers for commercial manufacturing if our product candidates receive marketing approval. We believe there are multiple sources for all of the materials required for the manufacture of our product candidates. Our manufacturing strategy enables us to more efficiently direct financial resources to the research, development and commercialization of product candidates rather than diverting resources to internally develop manufacturing facilities. As our product candidates advance through development, we expect to enter into longer-term commercial supply agreements with key suppliers and manufacturers to fulfill and secure our production needs.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00" w:right="80" w:firstLine="771"/>
        <w:spacing w:after="0" w:line="271" w:lineRule="auto"/>
        <w:rPr>
          <w:sz w:val="20"/>
          <w:szCs w:val="20"/>
          <w:color w:val="auto"/>
        </w:rPr>
      </w:pPr>
      <w:r>
        <w:rPr>
          <w:rFonts w:ascii="Arial" w:cs="Arial" w:eastAsia="Arial" w:hAnsi="Arial"/>
          <w:sz w:val="17"/>
          <w:szCs w:val="17"/>
          <w:color w:val="auto"/>
        </w:rPr>
        <w:t>We strive to protect the proprietary technology, inventions and improvements that are commercially important to our business, including seeking, maintaining, and defending patent rights, whether developed internally or licensed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preserve the confidentiality of our trade secrets; to defend and enforce our proprietary rights, including any patents that we may own in the future; and to operate without infringing on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GB001</w:t>
      </w:r>
    </w:p>
    <w:p>
      <w:pPr>
        <w:spacing w:after="0" w:line="225" w:lineRule="exact"/>
        <w:rPr>
          <w:sz w:val="20"/>
          <w:szCs w:val="20"/>
          <w:color w:val="auto"/>
        </w:rPr>
      </w:pPr>
    </w:p>
    <w:p>
      <w:pPr>
        <w:ind w:left="200" w:firstLine="771"/>
        <w:spacing w:after="0" w:line="254" w:lineRule="auto"/>
        <w:rPr>
          <w:sz w:val="20"/>
          <w:szCs w:val="20"/>
          <w:color w:val="auto"/>
        </w:rPr>
      </w:pPr>
      <w:r>
        <w:rPr>
          <w:rFonts w:ascii="Arial" w:cs="Arial" w:eastAsia="Arial" w:hAnsi="Arial"/>
          <w:sz w:val="18"/>
          <w:szCs w:val="18"/>
          <w:color w:val="auto"/>
        </w:rPr>
        <w:t>As of December 17, 2018, with respect to GB001, we owned one issued U.S. patent directed to compound and pharmaceutical composition claims, which is not due to expire before 2026, excluding any additional term for patent term adjustment or extension, and a number of patents and pending patent applications in other jurisdictions, including issued patents in Australia, Canada, China, the European Patent Convention, India, Mexico, New Zealand and Russia, and a pending application in Brazil directed to compound and pharmaceutical composition claims. As of December 17, 2018, we owned one pending U.S. patent application directed to compound claims, which, if issued, is not due to expire before 2037, excluding any additional term for patent term adjustment or extension, and a number of pending patent applications in other jurisdictions, including pending applications in Australia, Brazil, Canada, China, the European Patent Convention, India, South Korea, Mexico, New Zealand, Russia, and Taiwan directed to compound claims.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GB002</w:t>
      </w:r>
    </w:p>
    <w:p>
      <w:pPr>
        <w:spacing w:after="0" w:line="225" w:lineRule="exact"/>
        <w:rPr>
          <w:sz w:val="20"/>
          <w:szCs w:val="20"/>
          <w:color w:val="auto"/>
        </w:rPr>
      </w:pPr>
    </w:p>
    <w:p>
      <w:pPr>
        <w:ind w:left="200" w:right="140" w:firstLine="771"/>
        <w:spacing w:after="0" w:line="271" w:lineRule="auto"/>
        <w:rPr>
          <w:sz w:val="20"/>
          <w:szCs w:val="20"/>
          <w:color w:val="auto"/>
        </w:rPr>
      </w:pPr>
      <w:r>
        <w:rPr>
          <w:rFonts w:ascii="Arial" w:cs="Arial" w:eastAsia="Arial" w:hAnsi="Arial"/>
          <w:sz w:val="17"/>
          <w:szCs w:val="17"/>
          <w:color w:val="auto"/>
        </w:rPr>
        <w:t>As of December 17, 2018, with respect to GB002, we have exclusively licensed one pending U.S. patent application and one pending PCT application owned by Pulmokine directed to method of use claims, which, if issued, is not due to expire before 2037, excluding any additional term for patent term adjustment or extension. We also have exclusively licensed two issued U.S. patents co-owned by Pulmokine and Gilead Sciences, Inc., which are not due to expire before 2034, excluding any additional term for patent term adjustment or extension; two pending U.S. patent applications, which, if issued, are not due to expire before 2034, excluding any additional term for patent term adjustment or extension; and a number of patents and pending patent applications in other jurisdictions, including issued patents in Australia, the European Patent Convention and Japan, and pending applications in Australia, Canada, China, the European Patent Convention and Japan. These patents and patent applications are directed to GB002 compound, formulation and method of use claims.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GB004</w:t>
      </w:r>
    </w:p>
    <w:p>
      <w:pPr>
        <w:spacing w:after="0" w:line="225" w:lineRule="exact"/>
        <w:rPr>
          <w:sz w:val="20"/>
          <w:szCs w:val="20"/>
          <w:color w:val="auto"/>
        </w:rPr>
      </w:pPr>
    </w:p>
    <w:p>
      <w:pPr>
        <w:ind w:left="200" w:right="20" w:firstLine="771"/>
        <w:spacing w:after="0" w:line="253" w:lineRule="auto"/>
        <w:rPr>
          <w:sz w:val="20"/>
          <w:szCs w:val="20"/>
          <w:color w:val="auto"/>
        </w:rPr>
      </w:pPr>
      <w:r>
        <w:rPr>
          <w:rFonts w:ascii="Arial" w:cs="Arial" w:eastAsia="Arial" w:hAnsi="Arial"/>
          <w:sz w:val="18"/>
          <w:szCs w:val="18"/>
          <w:color w:val="auto"/>
        </w:rPr>
        <w:t>As of December 17, 2018, with respect to GB004, we have exclusively licensed from Aerpio nine issued U.S. patents directed to compound, pharmaceutical composition and method of use claims, eight of which are not due to expire before 2030, and one, directed to synthetic method claims, is not due to expire before 2035, excluding any additional term for patent term adjustment or extension; one pending U.S. patent application directed to compound and method of use claims, which, if issued, is not due to expire before 2030, excluding any additional term for patent term adjustment or extension; and a number of patents and pending patent applications in other jurisdictions. The patents and pending patent applications directed to compound, pharmaceutical composition and method of use claims in other jurisdictions, and which are not due to expire before 2030, include issued patents in Australia, Canada, China, the European Patent Convention, India, Japan, Mexico, New Zealand and South Korea, and pending patent applications in Brazil, the European Patent Convention, India, Mexico and South Korea. The patents and pending patent applications directed to synthetic method claims in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other jurisdictions, and which are not due to expire before 2035, include pending patent applications in China, the European Patent Convention, India and Japan.</w:t>
      </w:r>
    </w:p>
    <w:p>
      <w:pPr>
        <w:spacing w:after="0" w:line="170" w:lineRule="exact"/>
        <w:rPr>
          <w:sz w:val="20"/>
          <w:szCs w:val="20"/>
          <w:color w:val="auto"/>
        </w:rPr>
      </w:pPr>
    </w:p>
    <w:p>
      <w:pPr>
        <w:ind w:left="200" w:right="40" w:firstLine="771"/>
        <w:spacing w:after="0" w:line="286" w:lineRule="auto"/>
        <w:rPr>
          <w:sz w:val="20"/>
          <w:szCs w:val="20"/>
          <w:color w:val="auto"/>
        </w:rPr>
      </w:pPr>
      <w:r>
        <w:rPr>
          <w:rFonts w:ascii="Arial" w:cs="Arial" w:eastAsia="Arial" w:hAnsi="Arial"/>
          <w:sz w:val="16"/>
          <w:szCs w:val="16"/>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69" w:lineRule="exact"/>
        <w:rPr>
          <w:sz w:val="20"/>
          <w:szCs w:val="20"/>
          <w:color w:val="auto"/>
        </w:rPr>
      </w:pPr>
    </w:p>
    <w:p>
      <w:pPr>
        <w:ind w:left="200" w:firstLine="771"/>
        <w:spacing w:after="0" w:line="285"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w:t>
      </w:r>
    </w:p>
    <w:p>
      <w:pPr>
        <w:spacing w:after="0" w:line="187"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Certain of our product candidates are subject to regulation as combination products, which means that they are composed of both a drug product and device product. If marketed individually, each component would be subject to different regulatory pathways and reviewed by different centers within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inhaled product candidate regulated as a combination product, the primary mode of action is attributable to the drug component of the product, which means that the FDA’s Center for Drug Evaluation and Research has primary jurisdiction over the premarket development, review and approval. Accordingly, we plan to investigate this product through the IND framework and seek approval through the NDA pathway. We do not anticipate that the FDA will require a separate medical device authorization for the device, but this could change during the course of its review of any marketing application that we may submit.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25" w:lineRule="exact"/>
        <w:rPr>
          <w:sz w:val="20"/>
          <w:szCs w:val="20"/>
          <w:color w:val="auto"/>
        </w:rPr>
      </w:pPr>
    </w:p>
    <w:p>
      <w:pPr>
        <w:ind w:left="200" w:right="140" w:firstLine="771"/>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52" w:lineRule="exact"/>
        <w:rPr>
          <w:sz w:val="20"/>
          <w:szCs w:val="20"/>
          <w:color w:val="auto"/>
        </w:rPr>
      </w:pPr>
    </w:p>
    <w:p>
      <w:pPr>
        <w:ind w:left="1400" w:right="20" w:hanging="318"/>
        <w:spacing w:after="0" w:line="277"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Good Laboratory Practice, or GLP, regulations and other applicable regulations;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52" w:lineRule="exact"/>
        <w:rPr>
          <w:rFonts w:ascii="Arial" w:cs="Arial" w:eastAsia="Arial" w:hAnsi="Arial"/>
          <w:sz w:val="18"/>
          <w:szCs w:val="18"/>
          <w:color w:val="auto"/>
        </w:rPr>
      </w:pPr>
    </w:p>
    <w:p>
      <w:pPr>
        <w:ind w:left="1400" w:right="280" w:hanging="318"/>
        <w:spacing w:after="0" w:line="277"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proposed drug for its intended use;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280" w:hanging="318"/>
        <w:spacing w:after="0" w:line="264" w:lineRule="auto"/>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GMP, or cGMP, requirements to assure that the facilities, methods and controls are adequate to preserve the drug’s identity, strength, quality and purity; and</w:t>
      </w:r>
    </w:p>
    <w:p>
      <w:pPr>
        <w:spacing w:after="0" w:line="208" w:lineRule="exact"/>
        <w:rPr>
          <w:rFonts w:ascii="Arial" w:cs="Arial" w:eastAsia="Arial" w:hAnsi="Arial"/>
          <w:sz w:val="18"/>
          <w:szCs w:val="18"/>
          <w:color w:val="auto"/>
        </w:rPr>
      </w:pPr>
    </w:p>
    <w:p>
      <w:pPr>
        <w:ind w:left="1400" w:right="280" w:hanging="318"/>
        <w:spacing w:after="0" w:line="277" w:lineRule="auto"/>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An IND is a request for authorization from the FDA to administer an investigational new drug product to humans.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Submission of an IND therefore may or may not result in FDA authorization to begin a clinical trial.</w:t>
      </w:r>
    </w:p>
    <w:p>
      <w:pPr>
        <w:spacing w:after="0" w:line="183" w:lineRule="exact"/>
        <w:rPr>
          <w:sz w:val="20"/>
          <w:szCs w:val="20"/>
          <w:color w:val="auto"/>
        </w:rPr>
      </w:pPr>
    </w:p>
    <w:p>
      <w:pPr>
        <w:ind w:left="200" w:right="20" w:firstLine="771"/>
        <w:spacing w:after="0" w:line="271"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 regulations, which include the requirement that all research subjects provide their informed consent in writing for their participation in any clinical trial. They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52" w:lineRule="exact"/>
        <w:rPr>
          <w:sz w:val="20"/>
          <w:szCs w:val="20"/>
          <w:color w:val="auto"/>
        </w:rPr>
      </w:pPr>
    </w:p>
    <w:p>
      <w:pPr>
        <w:ind w:left="1400" w:right="40" w:hanging="318"/>
        <w:spacing w:after="0" w:line="255" w:lineRule="auto"/>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volunteers and tested for safety, dosage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distribution and excretion and, if possible, to gain an early indication of its effectiveness. In the case of some products for severe or life-threatening diseases, such as cancer, especially when the product may be too inherently toxic to ethically administer to healthy volunteers, the initial human testing is often conducted in patients. Sponsors sometimes designate their Phase 1 clinical trials as Phase 1a or Phase 1b. Phase 1b clinical trials are typically aimed at confirming dosing, pharmacokinetics and safety in larger number of patients. Some Phase 1b studies evaluate biomarkers or surrogate markers that may be associated with efficacy in patients with specific types of diseases.</w:t>
      </w:r>
    </w:p>
    <w:p>
      <w:pPr>
        <w:spacing w:after="0" w:line="216" w:lineRule="exact"/>
        <w:rPr>
          <w:rFonts w:ascii="Arial" w:cs="Arial" w:eastAsia="Arial" w:hAnsi="Arial"/>
          <w:sz w:val="18"/>
          <w:szCs w:val="18"/>
          <w:color w:val="auto"/>
        </w:rPr>
      </w:pPr>
    </w:p>
    <w:p>
      <w:pPr>
        <w:ind w:left="1400" w:right="500" w:hanging="318"/>
        <w:spacing w:after="0" w:line="264" w:lineRule="auto"/>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This phase involves clinical trials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and appropriate dosage.</w:t>
      </w:r>
    </w:p>
    <w:p>
      <w:pPr>
        <w:spacing w:after="0" w:line="208" w:lineRule="exact"/>
        <w:rPr>
          <w:rFonts w:ascii="Arial" w:cs="Arial" w:eastAsia="Arial" w:hAnsi="Arial"/>
          <w:sz w:val="18"/>
          <w:szCs w:val="18"/>
          <w:color w:val="auto"/>
        </w:rPr>
      </w:pPr>
    </w:p>
    <w:p>
      <w:pPr>
        <w:ind w:left="1400" w:right="600" w:hanging="318"/>
        <w:spacing w:after="0" w:line="277" w:lineRule="auto"/>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at geographically dispersed clinical study sites. These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340"/>
        <w:spacing w:after="0" w:line="277" w:lineRule="auto"/>
        <w:rPr>
          <w:sz w:val="20"/>
          <w:szCs w:val="20"/>
          <w:color w:val="auto"/>
        </w:rPr>
      </w:pPr>
      <w:r>
        <w:rPr>
          <w:rFonts w:ascii="Arial" w:cs="Arial" w:eastAsia="Arial" w:hAnsi="Arial"/>
          <w:sz w:val="18"/>
          <w:szCs w:val="18"/>
          <w:color w:val="auto"/>
        </w:rPr>
        <w:t>clinical trials are intended to establish the overall risk-benefit ratio of the product candidate and provide, if appropriate, an adequate basis for product labeling.</w:t>
      </w:r>
    </w:p>
    <w:p>
      <w:pPr>
        <w:spacing w:after="0" w:line="170" w:lineRule="exact"/>
        <w:rPr>
          <w:sz w:val="20"/>
          <w:szCs w:val="20"/>
          <w:color w:val="auto"/>
        </w:rPr>
      </w:pPr>
    </w:p>
    <w:p>
      <w:pPr>
        <w:jc w:val="both"/>
        <w:ind w:left="200" w:right="40" w:firstLine="771"/>
        <w:spacing w:after="0" w:line="264"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81"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93" w:lineRule="exact"/>
        <w:rPr>
          <w:sz w:val="20"/>
          <w:szCs w:val="20"/>
          <w:color w:val="auto"/>
        </w:rPr>
      </w:pPr>
    </w:p>
    <w:p>
      <w:pPr>
        <w:ind w:left="200" w:right="20" w:firstLine="771"/>
        <w:spacing w:after="0" w:line="276"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3" w:lineRule="exact"/>
        <w:rPr>
          <w:sz w:val="20"/>
          <w:szCs w:val="20"/>
          <w:color w:val="auto"/>
        </w:rPr>
      </w:pPr>
    </w:p>
    <w:p>
      <w:pPr>
        <w:ind w:left="200" w:right="100" w:firstLine="771"/>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3" w:lineRule="exact"/>
        <w:rPr>
          <w:sz w:val="20"/>
          <w:szCs w:val="20"/>
          <w:color w:val="auto"/>
        </w:rPr>
      </w:pPr>
    </w:p>
    <w:p>
      <w:pPr>
        <w:ind w:left="200" w:right="120" w:firstLine="771"/>
        <w:spacing w:after="0" w:line="276" w:lineRule="auto"/>
        <w:rPr>
          <w:sz w:val="20"/>
          <w:szCs w:val="20"/>
          <w:color w:val="auto"/>
        </w:rPr>
      </w:pPr>
      <w:r>
        <w:rPr>
          <w:rFonts w:ascii="Arial" w:cs="Arial" w:eastAsia="Arial" w:hAnsi="Arial"/>
          <w:sz w:val="17"/>
          <w:szCs w:val="17"/>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3"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Certain products may be comprised of components, such as drug components and device components, that would normally be regulated under different types of regulatory authorities, and frequently by different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centers at the FDA. These products are known as combination products. Specifically, under regulations issued by the FDA, a combination product may be:</w:t>
      </w:r>
    </w:p>
    <w:p>
      <w:pPr>
        <w:spacing w:after="0" w:line="197" w:lineRule="exact"/>
        <w:rPr>
          <w:sz w:val="20"/>
          <w:szCs w:val="20"/>
          <w:color w:val="auto"/>
        </w:rPr>
      </w:pPr>
    </w:p>
    <w:p>
      <w:pPr>
        <w:ind w:left="1400" w:right="640" w:hanging="318"/>
        <w:spacing w:after="0" w:line="277" w:lineRule="auto"/>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00" w:right="60" w:hanging="318"/>
        <w:spacing w:after="0" w:line="302" w:lineRule="auto"/>
        <w:tabs>
          <w:tab w:leader="none" w:pos="1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1" w:lineRule="exact"/>
        <w:rPr>
          <w:rFonts w:ascii="Arial" w:cs="Arial" w:eastAsia="Arial" w:hAnsi="Arial"/>
          <w:sz w:val="16"/>
          <w:szCs w:val="16"/>
          <w:color w:val="auto"/>
        </w:rPr>
      </w:pPr>
    </w:p>
    <w:p>
      <w:pPr>
        <w:ind w:left="1400" w:right="200" w:hanging="318"/>
        <w:spacing w:after="0" w:line="264" w:lineRule="auto"/>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1" w:lineRule="exact"/>
        <w:rPr>
          <w:sz w:val="20"/>
          <w:szCs w:val="20"/>
          <w:color w:val="auto"/>
        </w:rPr>
      </w:pPr>
    </w:p>
    <w:p>
      <w:pPr>
        <w:ind w:left="200" w:right="60" w:firstLine="771"/>
        <w:spacing w:after="0" w:line="289" w:lineRule="auto"/>
        <w:rPr>
          <w:sz w:val="20"/>
          <w:szCs w:val="20"/>
          <w:color w:val="auto"/>
        </w:rPr>
      </w:pPr>
      <w:r>
        <w:rPr>
          <w:rFonts w:ascii="Arial" w:cs="Arial" w:eastAsia="Arial" w:hAnsi="Arial"/>
          <w:sz w:val="16"/>
          <w:szCs w:val="16"/>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7" w:lineRule="exact"/>
        <w:rPr>
          <w:sz w:val="20"/>
          <w:szCs w:val="20"/>
          <w:color w:val="auto"/>
        </w:rPr>
      </w:pPr>
    </w:p>
    <w:p>
      <w:pPr>
        <w:ind w:left="200" w:right="220" w:firstLine="771"/>
        <w:spacing w:after="0" w:line="276" w:lineRule="auto"/>
        <w:rPr>
          <w:sz w:val="20"/>
          <w:szCs w:val="20"/>
          <w:color w:val="auto"/>
        </w:rPr>
      </w:pPr>
      <w:r>
        <w:rPr>
          <w:rFonts w:ascii="Arial" w:cs="Arial" w:eastAsia="Arial" w:hAnsi="Arial"/>
          <w:sz w:val="17"/>
          <w:szCs w:val="17"/>
          <w:color w:val="auto"/>
        </w:rPr>
        <w:t>A combination product with a drug primary mode of action generally would be reviewed and approved pursuant to the drug approval processes under the FDCA.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or QS, regulations applicable to medical devices.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225"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58"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78" w:lineRule="exact"/>
        <w:rPr>
          <w:sz w:val="20"/>
          <w:szCs w:val="20"/>
          <w:color w:val="auto"/>
        </w:rPr>
      </w:pPr>
    </w:p>
    <w:p>
      <w:pPr>
        <w:ind w:left="200" w:right="180" w:firstLine="771"/>
        <w:spacing w:after="0" w:line="272"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 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178"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78"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ind w:left="200" w:right="20" w:firstLine="771"/>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93"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 clinical trial costs, tax advantages and user-fee waivers. However, competitors,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82" w:lineRule="exact"/>
        <w:rPr>
          <w:sz w:val="20"/>
          <w:szCs w:val="20"/>
          <w:color w:val="auto"/>
        </w:rPr>
      </w:pPr>
    </w:p>
    <w:p>
      <w:pPr>
        <w:ind w:left="200" w:right="40" w:firstLine="771"/>
        <w:spacing w:after="0" w:line="297" w:lineRule="auto"/>
        <w:rPr>
          <w:sz w:val="20"/>
          <w:szCs w:val="20"/>
          <w:color w:val="auto"/>
        </w:rPr>
      </w:pPr>
      <w:r>
        <w:rPr>
          <w:rFonts w:ascii="Arial" w:cs="Arial" w:eastAsia="Arial" w:hAnsi="Arial"/>
          <w:sz w:val="16"/>
          <w:szCs w:val="16"/>
          <w:color w:val="auto"/>
        </w:rPr>
        <w:t>In addition, if an orphan designated product receives marketing approval for an indication broader than what is designated, it may not be entitled to orphan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GB002 has received orphan drug designation for the treatment of patients with PAH.</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200" w:right="140" w:firstLine="771"/>
        <w:spacing w:after="0" w:line="291"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7"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safety or effectiveness of the treatment, diagnosis or prevention of a serious disease or condition. The FDA will attempt to direct additional resources to the evaluation of an application for a new drug designated for priority review in an effort to facilitate the review. The FDA endeavors to review applications with priority review designations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within six months of the filing date as compared to ten months for review of new molecular entity NDAs under its current PDUFA review goals. Priority review designation does not change the scientific/medical standard for approval or the quality of evidence necessary to support approval.</w:t>
      </w:r>
    </w:p>
    <w:p>
      <w:pPr>
        <w:spacing w:after="0" w:line="147"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97" w:lineRule="exact"/>
        <w:rPr>
          <w:sz w:val="20"/>
          <w:szCs w:val="20"/>
          <w:color w:val="auto"/>
        </w:rPr>
      </w:pPr>
    </w:p>
    <w:p>
      <w:pPr>
        <w:ind w:left="200" w:firstLine="771"/>
        <w:spacing w:after="0" w:line="267" w:lineRule="auto"/>
        <w:rPr>
          <w:sz w:val="20"/>
          <w:szCs w:val="20"/>
          <w:color w:val="auto"/>
        </w:rPr>
      </w:pPr>
      <w:r>
        <w:rPr>
          <w:rFonts w:ascii="Arial" w:cs="Arial" w:eastAsia="Arial" w:hAnsi="Arial"/>
          <w:sz w:val="17"/>
          <w:szCs w:val="17"/>
          <w:color w:val="auto"/>
        </w:rPr>
        <w:t>The FDA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The designation includes all of the fast track program features, which means that the sponsor may file sections of the NDA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3" w:lineRule="exact"/>
        <w:rPr>
          <w:sz w:val="20"/>
          <w:szCs w:val="20"/>
          <w:color w:val="auto"/>
        </w:rPr>
      </w:pPr>
    </w:p>
    <w:p>
      <w:pPr>
        <w:jc w:val="both"/>
        <w:ind w:left="200" w:right="180" w:firstLine="771"/>
        <w:spacing w:after="0" w:line="259" w:lineRule="auto"/>
        <w:rPr>
          <w:sz w:val="20"/>
          <w:szCs w:val="20"/>
          <w:color w:val="auto"/>
        </w:rPr>
      </w:pPr>
      <w:r>
        <w:rPr>
          <w:rFonts w:ascii="Arial" w:cs="Arial" w:eastAsia="Arial" w:hAnsi="Arial"/>
          <w:sz w:val="18"/>
          <w:szCs w:val="18"/>
          <w:color w:val="auto"/>
        </w:rPr>
        <w:t>Fast track designation, priority review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200" w:right="120" w:firstLine="771"/>
        <w:spacing w:after="0" w:line="312" w:lineRule="auto"/>
        <w:rPr>
          <w:sz w:val="20"/>
          <w:szCs w:val="20"/>
          <w:color w:val="auto"/>
        </w:rPr>
      </w:pPr>
      <w:r>
        <w:rPr>
          <w:rFonts w:ascii="Arial" w:cs="Arial" w:eastAsia="Arial" w:hAnsi="Arial"/>
          <w:sz w:val="16"/>
          <w:szCs w:val="16"/>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93"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spacing w:after="0" w:line="167" w:lineRule="exact"/>
        <w:rPr>
          <w:sz w:val="20"/>
          <w:szCs w:val="20"/>
          <w:color w:val="auto"/>
        </w:rPr>
      </w:pPr>
    </w:p>
    <w:p>
      <w:pPr>
        <w:ind w:left="200" w:right="60" w:firstLine="771"/>
        <w:spacing w:after="0" w:line="272" w:lineRule="auto"/>
        <w:rPr>
          <w:sz w:val="20"/>
          <w:szCs w:val="20"/>
          <w:color w:val="auto"/>
        </w:rPr>
      </w:pPr>
      <w:r>
        <w:rPr>
          <w:rFonts w:ascii="Arial" w:cs="Arial" w:eastAsia="Arial" w:hAnsi="Arial"/>
          <w:sz w:val="17"/>
          <w:szCs w:val="17"/>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7"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However, an applicant submitting a full NDA would be required to conduct or obtain a right of reference to all of the preclinical studies and adequate and well-controlled clinical trials necessary to demonstrate safety and effectiveness.</w:t>
      </w:r>
    </w:p>
    <w:p>
      <w:pPr>
        <w:spacing w:after="0" w:line="170" w:lineRule="exact"/>
        <w:rPr>
          <w:sz w:val="20"/>
          <w:szCs w:val="20"/>
          <w:color w:val="auto"/>
        </w:rPr>
      </w:pPr>
    </w:p>
    <w:p>
      <w:pPr>
        <w:ind w:left="200" w:right="100" w:firstLine="771"/>
        <w:spacing w:after="0" w:line="279"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225"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spacing w:after="0" w:line="188"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The process for determining whether a third-party payor will provide coverage for a product is typically separate from the process for setting the reimbursement rate that the payor will pay for the product. A third-party payor’s decision to provide coverage for a product does not imply that an adequate reimbursement rate will be available. Additionally, in the United States there is no uniform policy among payors for coverage or reimbursement.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If coverage and adequate reimbursement are not available, or are available only at limited levels, successful commercialization of, and obtaining a satisfactory financial return on, any product we develop may not be possible.</w:t>
      </w:r>
    </w:p>
    <w:p>
      <w:pPr>
        <w:spacing w:after="0" w:line="178"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cost-effectiveness of any products, which would be in addition to the costs expended to obtain regulatory approvals.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jc w:val="both"/>
        <w:ind w:left="200" w:right="440" w:firstLine="771"/>
        <w:spacing w:after="0" w:line="264"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81" w:lineRule="exact"/>
        <w:rPr>
          <w:sz w:val="20"/>
          <w:szCs w:val="20"/>
          <w:color w:val="auto"/>
        </w:rPr>
      </w:pPr>
    </w:p>
    <w:p>
      <w:pPr>
        <w:jc w:val="both"/>
        <w:ind w:left="200" w:right="20" w:firstLine="771"/>
        <w:spacing w:after="0" w:line="257" w:lineRule="auto"/>
        <w:rPr>
          <w:sz w:val="20"/>
          <w:szCs w:val="20"/>
          <w:color w:val="auto"/>
        </w:rPr>
      </w:pPr>
      <w:r>
        <w:rPr>
          <w:rFonts w:ascii="Arial" w:cs="Arial" w:eastAsia="Arial" w:hAnsi="Arial"/>
          <w:sz w:val="18"/>
          <w:szCs w:val="18"/>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or ACA, was passed, which substantially changed the way healthcare is financed by both the government and private insurers, and significantly impacts the U.S. pharmaceutical industry. The ACA, among other things: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83" w:lineRule="auto"/>
        <w:tabs>
          <w:tab w:leader="none" w:pos="4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increased the minimum Medicaid rebates owed by manufacturers under the Medicaid Drug Rebate Program and extended the rebate program to individuals enrolled in Medicaid managed care organizations; (2) created a new methodology by which rebates owed by manufacturers under the Medicaid Drug Rebate Program are calculated for certain drugs and biologics that are inhaled, infused, instilled, implanted or injected; (3) established an annual, nondeductible fee on any entity that manufactures or imports certain specified branded prescription drugs and biologic agents apportioned among these entities according to their market share in certain government healthcare programs; (4) expanded the availability of lower pricing under the 340B drug pricing program by adding new entities to the program; (5) expanded the eligibility criteria for Medicaid programs; (6) created a new Patient-Centered Outcomes Research Institute to oversee, identify priorities in, and conduct comparative clinical effectiveness research, along with funding for such research; (7) created a new Medicare Part D coverage gap discount program, in which manufacturers must agree to offer 50% (and 70% commencing January 1, 2019) point-of-sale discounts off negotiated prices of applicable brand drugs to eligible beneficiaries during their coverage gap period, as a condition for the manufacturer’s outpatient drugs to be covered under Medicare Part D; (8) established a new Patient-Centered Outcomes Research Institute to oversee, identify priorities in, and conduct comparative clinical effectiveness research, along with funding for such research; and</w:t>
      </w:r>
    </w:p>
    <w:p>
      <w:pPr>
        <w:spacing w:after="0" w:line="4" w:lineRule="exact"/>
        <w:rPr>
          <w:rFonts w:ascii="Arial" w:cs="Arial" w:eastAsia="Arial" w:hAnsi="Arial"/>
          <w:sz w:val="16"/>
          <w:szCs w:val="16"/>
          <w:color w:val="auto"/>
        </w:rPr>
      </w:pPr>
    </w:p>
    <w:p>
      <w:pPr>
        <w:ind w:left="200" w:right="400" w:firstLine="4"/>
        <w:spacing w:after="0" w:line="261" w:lineRule="auto"/>
        <w:tabs>
          <w:tab w:leader="none" w:pos="4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established a Center for Medicare Innovation at the Centers for Medicare &amp; Medicaid Services, or CMS, to test innovative payment and service delivery models to lower Medicare and Medicaid spending, potentially including prescription drugs.</w:t>
      </w:r>
    </w:p>
    <w:p>
      <w:pPr>
        <w:spacing w:after="0" w:line="184" w:lineRule="exact"/>
        <w:rPr>
          <w:sz w:val="20"/>
          <w:szCs w:val="20"/>
          <w:color w:val="auto"/>
        </w:rPr>
      </w:pPr>
    </w:p>
    <w:p>
      <w:pPr>
        <w:ind w:left="200" w:right="20" w:firstLine="771"/>
        <w:spacing w:after="0" w:line="285" w:lineRule="auto"/>
        <w:rPr>
          <w:sz w:val="20"/>
          <w:szCs w:val="20"/>
          <w:color w:val="auto"/>
        </w:rPr>
      </w:pPr>
      <w:r>
        <w:rPr>
          <w:rFonts w:ascii="Arial" w:cs="Arial" w:eastAsia="Arial" w:hAnsi="Arial"/>
          <w:sz w:val="16"/>
          <w:szCs w:val="16"/>
          <w:color w:val="auto"/>
        </w:rPr>
        <w:t>Some of the provisions of the ACA have yet to be implemented, and there have been judicial and political challenges to certain aspects of the ACA. For example,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or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among other things, amends the ACA, effective January 1, 2019,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U.S. District Court Judge in the Northern District of Texas, ruled that the individual mandate is a critical and inserverable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and other efforts to repeal and replace the ACA will impact the ACA.</w:t>
      </w:r>
    </w:p>
    <w:p>
      <w:pPr>
        <w:spacing w:after="0" w:line="175" w:lineRule="exact"/>
        <w:rPr>
          <w:sz w:val="20"/>
          <w:szCs w:val="20"/>
          <w:color w:val="auto"/>
        </w:rPr>
      </w:pPr>
    </w:p>
    <w:p>
      <w:pPr>
        <w:ind w:left="200" w:right="160" w:firstLine="771"/>
        <w:spacing w:after="0" w:line="255" w:lineRule="auto"/>
        <w:rPr>
          <w:sz w:val="20"/>
          <w:szCs w:val="20"/>
          <w:color w:val="auto"/>
        </w:rPr>
      </w:pPr>
      <w:r>
        <w:rPr>
          <w:rFonts w:ascii="Arial" w:cs="Arial" w:eastAsia="Arial" w:hAnsi="Arial"/>
          <w:sz w:val="18"/>
          <w:szCs w:val="18"/>
          <w:color w:val="auto"/>
        </w:rPr>
        <w:t>Other legislative changes have been proposed and adopted since the ACA was enacted. On August 2, 2011, the Budget Control Act of 2011 was signed into law, which, among other things, resulted in aggregate reductions of Medicare payments to providers of 2% per fiscal year, which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begun the process of soliciting feedback on some of these measures and, at the same time, is implementing others under its existing authority. Although some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or Right to Try Act, was signed into law. The law, among other things, provides a federal framework for patients to access certain investigational new drug products that have completed a Phase I clinical trial. Under certain circumstances, eligible patients can seek treatment without enrolling in clinical trials and without obtaining FDA approval under the FDA expanded access program. There is no obligation for a drug manufacturer to make its drug products available to eligible patients as a result of the Right to Try Act.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Healthcare Fraud and Abuse Laws and Compliance Requirements</w:t>
      </w:r>
    </w:p>
    <w:p>
      <w:pPr>
        <w:spacing w:after="0" w:line="225" w:lineRule="exact"/>
        <w:rPr>
          <w:sz w:val="20"/>
          <w:szCs w:val="20"/>
          <w:color w:val="auto"/>
        </w:rPr>
      </w:pPr>
    </w:p>
    <w:p>
      <w:pPr>
        <w:ind w:left="200" w:right="540" w:firstLine="771"/>
        <w:spacing w:after="0" w:line="277" w:lineRule="auto"/>
        <w:rPr>
          <w:sz w:val="20"/>
          <w:szCs w:val="20"/>
          <w:color w:val="auto"/>
        </w:rPr>
      </w:pPr>
      <w:r>
        <w:rPr>
          <w:rFonts w:ascii="Arial" w:cs="Arial" w:eastAsia="Arial" w:hAnsi="Arial"/>
          <w:sz w:val="18"/>
          <w:szCs w:val="18"/>
          <w:color w:val="auto"/>
        </w:rPr>
        <w:t>Federal and state healthcare laws and regulations restrict business practices in the biopharmaceutical industry. These laws include anti-kickback and false claims laws and regulations, data privacy and security, and transparency laws and regulations.</w:t>
      </w:r>
    </w:p>
    <w:p>
      <w:pPr>
        <w:spacing w:after="0" w:line="170" w:lineRule="exact"/>
        <w:rPr>
          <w:sz w:val="20"/>
          <w:szCs w:val="20"/>
          <w:color w:val="auto"/>
        </w:rPr>
      </w:pPr>
    </w:p>
    <w:p>
      <w:pPr>
        <w:ind w:left="200" w:right="40" w:firstLine="771"/>
        <w:spacing w:after="0" w:line="273" w:lineRule="auto"/>
        <w:rPr>
          <w:sz w:val="20"/>
          <w:szCs w:val="20"/>
          <w:color w:val="auto"/>
        </w:rPr>
      </w:pPr>
      <w:r>
        <w:rPr>
          <w:rFonts w:ascii="Arial" w:cs="Arial" w:eastAsia="Arial" w:hAnsi="Arial"/>
          <w:sz w:val="17"/>
          <w:szCs w:val="17"/>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w:t>
      </w:r>
    </w:p>
    <w:p>
      <w:pPr>
        <w:spacing w:after="0" w:line="178" w:lineRule="exact"/>
        <w:rPr>
          <w:sz w:val="20"/>
          <w:szCs w:val="20"/>
          <w:color w:val="auto"/>
        </w:rPr>
      </w:pPr>
    </w:p>
    <w:p>
      <w:pPr>
        <w:jc w:val="both"/>
        <w:ind w:left="200" w:firstLine="771"/>
        <w:spacing w:after="0" w:line="312" w:lineRule="auto"/>
        <w:rPr>
          <w:sz w:val="20"/>
          <w:szCs w:val="20"/>
          <w:color w:val="auto"/>
        </w:rPr>
      </w:pPr>
      <w:r>
        <w:rPr>
          <w:rFonts w:ascii="Arial" w:cs="Arial" w:eastAsia="Arial" w:hAnsi="Arial"/>
          <w:sz w:val="16"/>
          <w:szCs w:val="16"/>
          <w:color w:val="auto"/>
        </w:rPr>
        <w:t>The federal civil and criminal false claims laws and civil monetary penalties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147"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civil and criminal statutes that prohibit, among other things, knowingly and willfully executing a scheme to defraud any healthcare benefit program. In addition, HIPAA, as amended by the Health Information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Technology for Economic and Clinical Health Act, and their implementing regulations, imposes certain requirements relating to the privacy, security and transmission of protected health information on HIPAA covered entities, which include certain healthcare providers, health plans and healthcare clearinghouses, and their business associates who conduct certain activities for or on their behalf involving protected health information on their behalf.</w:t>
      </w:r>
    </w:p>
    <w:p>
      <w:pPr>
        <w:spacing w:after="0" w:line="147" w:lineRule="exact"/>
        <w:rPr>
          <w:sz w:val="20"/>
          <w:szCs w:val="20"/>
          <w:color w:val="auto"/>
        </w:rPr>
      </w:pPr>
    </w:p>
    <w:p>
      <w:pPr>
        <w:ind w:left="200" w:right="100" w:firstLine="771"/>
        <w:spacing w:after="0" w:line="302" w:lineRule="auto"/>
        <w:rPr>
          <w:sz w:val="20"/>
          <w:szCs w:val="20"/>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154" w:lineRule="exact"/>
        <w:rPr>
          <w:sz w:val="20"/>
          <w:szCs w:val="20"/>
          <w:color w:val="auto"/>
        </w:rPr>
      </w:pPr>
    </w:p>
    <w:p>
      <w:pPr>
        <w:ind w:left="200" w:right="40" w:firstLine="771"/>
        <w:spacing w:after="0" w:line="270" w:lineRule="auto"/>
        <w:rPr>
          <w:sz w:val="20"/>
          <w:szCs w:val="20"/>
          <w:color w:val="auto"/>
        </w:rPr>
      </w:pPr>
      <w:r>
        <w:rPr>
          <w:rFonts w:ascii="Arial" w:cs="Arial" w:eastAsia="Arial" w:hAnsi="Arial"/>
          <w:sz w:val="17"/>
          <w:szCs w:val="17"/>
          <w:color w:val="auto"/>
        </w:rPr>
        <w:t>Similar state and local laws and regulations may also restrict business practices in the biopharmaceutical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200" w:right="140" w:firstLine="771"/>
        <w:spacing w:after="0" w:line="257" w:lineRule="auto"/>
        <w:rPr>
          <w:sz w:val="20"/>
          <w:szCs w:val="20"/>
          <w:color w:val="auto"/>
        </w:rPr>
      </w:pPr>
      <w:r>
        <w:rPr>
          <w:rFonts w:ascii="Arial" w:cs="Arial" w:eastAsia="Arial" w:hAnsi="Arial"/>
          <w:sz w:val="18"/>
          <w:szCs w:val="18"/>
          <w:color w:val="auto"/>
        </w:rPr>
        <w:t>Efforts to ensure compliance with applicable healthcare laws and regulations can involve substantial costs. Violations of healthcare laws can result in significant penalties, including the imposition of significant civil, criminal and administrative penalties, damages, monetary fines, disgorgement, individual imprisonment, possible exclusion from participation in Medicare, Medicaid and other U.S. healthcare programs, integrity oversight and reporting obligations, contractual damages, reputational harm, diminished profits and future earnings, and curtailment or restructuring of operations.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or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 market a medicinal product in the European Economic Area, or EEA (which is comprised of the 28 Member States of the EU plus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Norway, Iceland and Liechtenstein), we must obtain a Marketing Authorization, or MA. There are two types of marketing authorizations: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200" w:hanging="318"/>
        <w:spacing w:after="0" w:line="291" w:lineRule="auto"/>
        <w:tabs>
          <w:tab w:leader="none" w:pos="1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72" w:lineRule="exact"/>
        <w:rPr>
          <w:rFonts w:ascii="Arial" w:cs="Arial" w:eastAsia="Arial" w:hAnsi="Arial"/>
          <w:sz w:val="16"/>
          <w:szCs w:val="16"/>
          <w:color w:val="auto"/>
        </w:rPr>
      </w:pPr>
    </w:p>
    <w:p>
      <w:pPr>
        <w:ind w:left="1400" w:right="40" w:hanging="318"/>
        <w:spacing w:after="0" w:line="276" w:lineRule="auto"/>
        <w:tabs>
          <w:tab w:leader="none" w:pos="1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73" w:lineRule="exact"/>
        <w:rPr>
          <w:sz w:val="20"/>
          <w:szCs w:val="20"/>
          <w:color w:val="auto"/>
        </w:rPr>
      </w:pPr>
    </w:p>
    <w:p>
      <w:pPr>
        <w:ind w:left="200" w:firstLine="771"/>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Data and marketing exclusivity</w:t>
      </w:r>
    </w:p>
    <w:p>
      <w:pPr>
        <w:spacing w:after="0" w:line="225" w:lineRule="exact"/>
        <w:rPr>
          <w:sz w:val="20"/>
          <w:szCs w:val="20"/>
          <w:color w:val="auto"/>
        </w:rPr>
      </w:pPr>
    </w:p>
    <w:p>
      <w:pPr>
        <w:ind w:left="200" w:right="20" w:firstLine="771"/>
        <w:spacing w:after="0" w:line="290"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Pediatric investigation plan</w:t>
      </w:r>
    </w:p>
    <w:p>
      <w:pPr>
        <w:spacing w:after="0" w:line="225" w:lineRule="exact"/>
        <w:rPr>
          <w:sz w:val="20"/>
          <w:szCs w:val="20"/>
          <w:color w:val="auto"/>
        </w:rPr>
      </w:pPr>
    </w:p>
    <w:p>
      <w:pPr>
        <w:ind w:left="200" w:right="40" w:firstLine="771"/>
        <w:spacing w:after="0" w:line="289"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In the EEA, a medicinal product can be designated as an orphan drug if its sponsor can establish that the product is intended for the diagnosis, prevention or treatment of a life-threatening or chronically debilitating condition affecting not more than five in ten thousand persons in the EU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89"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188"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pursuant are eligible for incentives made available by the EU and its Member States to support research into, and the development and availability of, orphan drugs.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left="200" w:right="80" w:firstLine="771"/>
        <w:spacing w:after="0" w:line="297" w:lineRule="auto"/>
        <w:rPr>
          <w:sz w:val="20"/>
          <w:szCs w:val="20"/>
          <w:color w:val="auto"/>
        </w:rPr>
      </w:pPr>
      <w:r>
        <w:rPr>
          <w:rFonts w:ascii="Arial" w:cs="Arial" w:eastAsia="Arial" w:hAnsi="Arial"/>
          <w:sz w:val="16"/>
          <w:szCs w:val="16"/>
          <w:color w:val="auto"/>
        </w:rPr>
        <w:t>Clinical trials of medicinal products in the European Union must be conducted in accordance with European Union and national regulations and the International Conference on Harmonization, or ICH, guidelines on GCPs.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 The sponsor must take out a clinical trial insurance policy, and in most EU countries, the sponsor is liable to provide ‘no fault’ compensation to any study subject injured in the clinical trial.</w:t>
      </w:r>
    </w:p>
    <w:p>
      <w:pPr>
        <w:spacing w:after="0" w:line="158" w:lineRule="exact"/>
        <w:rPr>
          <w:sz w:val="20"/>
          <w:szCs w:val="20"/>
          <w:color w:val="auto"/>
        </w:rPr>
      </w:pPr>
    </w:p>
    <w:p>
      <w:pPr>
        <w:jc w:val="both"/>
        <w:ind w:left="200" w:firstLine="771"/>
        <w:spacing w:after="0" w:line="288" w:lineRule="auto"/>
        <w:rPr>
          <w:sz w:val="20"/>
          <w:szCs w:val="20"/>
          <w:color w:val="auto"/>
        </w:rPr>
      </w:pPr>
      <w:r>
        <w:rPr>
          <w:rFonts w:ascii="Arial" w:cs="Arial" w:eastAsia="Arial" w:hAnsi="Arial"/>
          <w:sz w:val="16"/>
          <w:szCs w:val="16"/>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w:t>
      </w:r>
    </w:p>
    <w:p>
      <w:pPr>
        <w:ind w:left="200" w:right="140"/>
        <w:spacing w:after="0" w:line="252" w:lineRule="auto"/>
        <w:rPr>
          <w:sz w:val="20"/>
          <w:szCs w:val="20"/>
          <w:color w:val="auto"/>
        </w:rPr>
      </w:pPr>
      <w:r>
        <w:rPr>
          <w:rFonts w:ascii="Arial" w:cs="Arial" w:eastAsia="Arial" w:hAnsi="Arial"/>
          <w:sz w:val="18"/>
          <w:szCs w:val="18"/>
          <w:color w:val="auto"/>
        </w:rPr>
        <w:t>Currently, clinical trial authorization applications must be submitted to the competent authority in each EU Member State in which the trial will be conducted. Under the new Regulation on Clinical Trials, which is currently expected to take effect in 2019,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Medicines used in clinical trials must be manufactured in accordance with cGMP. Other national and European Union-wide regulatory requirements also apply.</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Privacy and data protection laws</w:t>
      </w:r>
    </w:p>
    <w:p>
      <w:pPr>
        <w:spacing w:after="0" w:line="225"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Laws and regulations in these jurisdictions apply broadly to the collection, use, storage, disclosure, processing and security of personal information that identifies or may be used to identify an individual, such as names, contact information, and sensitive personal data such as health data. These laws and regulations are subject to frequent revisions and differing interpretations, and have generally become more stringent over time.</w:t>
      </w:r>
    </w:p>
    <w:p>
      <w:pPr>
        <w:spacing w:after="0" w:line="158"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pseudonymised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200" w:firstLine="771"/>
        <w:spacing w:after="0" w:line="342" w:lineRule="auto"/>
        <w:rPr>
          <w:sz w:val="20"/>
          <w:szCs w:val="20"/>
          <w:color w:val="auto"/>
        </w:rPr>
      </w:pPr>
      <w:r>
        <w:rPr>
          <w:rFonts w:ascii="Arial" w:cs="Arial" w:eastAsia="Arial" w:hAnsi="Arial"/>
          <w:sz w:val="16"/>
          <w:szCs w:val="16"/>
          <w:color w:val="auto"/>
        </w:rPr>
        <w:t>As of December 1, 2018, we had 98 full-time employees and 1 part-time employee, 31 of whom have a Ph.D. or M.D. None of our employees are represented by labor unions or covered by collective bargaining agreements. We consider our relationship with our employees to be good.</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We have invested $6.4 million, $0.2 and $79.1 million in research and development, including IPR&amp;D, for the year ended December 31, 2017 and the nine months ended September 30, 2017 and 2018,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Our corporate headquarters are located in San Diego, California, where we currently lease approximately 36,091 square feet of office, laboratory and vivarium space. We use our corporate headquarters primarily for corporate, research, development, clinical, regulatory, manufacturing and quality functions. Commencing in January 2019, we have agreed to expand our leased space in our corporate headquarters to a total of approximately 63,667 square feet. Our primary lease for this facility expires in January 2025, and our lease for the expansion space expires in December 2022. We believe that our facilities are adequate to meet our current needs, and that suitable additional alternative spaces will be available in the future on commercially reasonable terms, if required.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200" w:right="140" w:firstLine="771"/>
        <w:spacing w:after="0" w:line="312"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December 15,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left="1231"/>
              <w:spacing w:after="0"/>
              <w:rPr>
                <w:sz w:val="20"/>
                <w:szCs w:val="20"/>
                <w:color w:val="auto"/>
              </w:rPr>
            </w:pPr>
            <w:r>
              <w:rPr>
                <w:rFonts w:ascii="Arial" w:cs="Arial" w:eastAsia="Arial" w:hAnsi="Arial"/>
                <w:sz w:val="14"/>
                <w:szCs w:val="14"/>
                <w:b w:val="1"/>
                <w:bCs w:val="1"/>
                <w:color w:val="auto"/>
                <w:w w:val="90"/>
              </w:rPr>
              <w:t>Age</w:t>
            </w:r>
          </w:p>
        </w:tc>
        <w:tc>
          <w:tcPr>
            <w:tcW w:w="5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7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Sheila Gujrathi, M.D.</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48</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Faheem Hasnain</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60</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Chairman of the Board of Directors</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Bryan Giraudo</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43</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Waage</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51</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Jakob Dupont, M.D.</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53</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Luisa Salter-Cid, Ph.D.</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59</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Scientific Officer</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H. Bilenker, M.D.</w:t>
            </w:r>
            <w:r>
              <w:rPr>
                <w:rFonts w:ascii="Arial" w:cs="Arial" w:eastAsia="Arial" w:hAnsi="Arial"/>
                <w:sz w:val="15"/>
                <w:szCs w:val="15"/>
                <w:color w:val="auto"/>
              </w:rPr>
              <w:t>(1)(2)</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47</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Kristina Burow</w:t>
            </w:r>
            <w:r>
              <w:rPr>
                <w:rFonts w:ascii="Arial" w:cs="Arial" w:eastAsia="Arial" w:hAnsi="Arial"/>
                <w:sz w:val="15"/>
                <w:szCs w:val="15"/>
                <w:color w:val="auto"/>
              </w:rPr>
              <w:t>(3)</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45</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Cox</w:t>
            </w:r>
            <w:r>
              <w:rPr>
                <w:rFonts w:ascii="Arial" w:cs="Arial" w:eastAsia="Arial" w:hAnsi="Arial"/>
                <w:sz w:val="15"/>
                <w:szCs w:val="15"/>
                <w:color w:val="auto"/>
              </w:rPr>
              <w:t>(1)(3)</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55</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Thomas Daniel, M.D.</w:t>
            </w:r>
            <w:r>
              <w:rPr>
                <w:rFonts w:ascii="Arial" w:cs="Arial" w:eastAsia="Arial" w:hAnsi="Arial"/>
                <w:sz w:val="15"/>
                <w:szCs w:val="15"/>
                <w:color w:val="auto"/>
              </w:rPr>
              <w:t>(3)</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64</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Renée Galá</w:t>
            </w:r>
            <w:r>
              <w:rPr>
                <w:rFonts w:ascii="Arial" w:cs="Arial" w:eastAsia="Arial" w:hAnsi="Arial"/>
                <w:sz w:val="15"/>
                <w:szCs w:val="15"/>
                <w:color w:val="auto"/>
              </w:rPr>
              <w:t>(1)</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46</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Otello Stampacchia, Ph.D.</w:t>
            </w:r>
            <w:r>
              <w:rPr>
                <w:rFonts w:ascii="Arial" w:cs="Arial" w:eastAsia="Arial" w:hAnsi="Arial"/>
                <w:sz w:val="15"/>
                <w:szCs w:val="15"/>
                <w:color w:val="auto"/>
              </w:rPr>
              <w:t>(2)</w:t>
            </w:r>
          </w:p>
        </w:tc>
        <w:tc>
          <w:tcPr>
            <w:tcW w:w="1560" w:type="dxa"/>
            <w:vAlign w:val="bottom"/>
            <w:gridSpan w:val="2"/>
          </w:tcPr>
          <w:p>
            <w:pPr>
              <w:jc w:val="center"/>
              <w:ind w:left="1251"/>
              <w:spacing w:after="0"/>
              <w:rPr>
                <w:sz w:val="20"/>
                <w:szCs w:val="20"/>
                <w:color w:val="auto"/>
              </w:rPr>
            </w:pPr>
            <w:r>
              <w:rPr>
                <w:rFonts w:ascii="Arial" w:cs="Arial" w:eastAsia="Arial" w:hAnsi="Arial"/>
                <w:sz w:val="18"/>
                <w:szCs w:val="18"/>
                <w:color w:val="auto"/>
                <w:w w:val="89"/>
              </w:rPr>
              <w:t>49</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Wenkai Xiang, Ph.D.</w:t>
            </w:r>
            <w:r>
              <w:rPr>
                <w:rFonts w:ascii="Arial" w:cs="Arial" w:eastAsia="Arial" w:hAnsi="Arial"/>
                <w:sz w:val="15"/>
                <w:szCs w:val="15"/>
                <w:color w:val="auto"/>
              </w:rPr>
              <w:t>(2)</w:t>
            </w:r>
          </w:p>
        </w:tc>
        <w:tc>
          <w:tcPr>
            <w:tcW w:w="1560" w:type="dxa"/>
            <w:vAlign w:val="bottom"/>
            <w:gridSpan w:val="2"/>
            <w:shd w:val="clear" w:color="auto" w:fill="CCEEFF"/>
          </w:tcPr>
          <w:p>
            <w:pPr>
              <w:jc w:val="center"/>
              <w:ind w:left="1251"/>
              <w:spacing w:after="0"/>
              <w:rPr>
                <w:sz w:val="20"/>
                <w:szCs w:val="20"/>
                <w:color w:val="auto"/>
              </w:rPr>
            </w:pPr>
            <w:r>
              <w:rPr>
                <w:rFonts w:ascii="Arial" w:cs="Arial" w:eastAsia="Arial" w:hAnsi="Arial"/>
                <w:sz w:val="18"/>
                <w:szCs w:val="18"/>
                <w:color w:val="auto"/>
                <w:w w:val="89"/>
              </w:rPr>
              <w:t>50</w:t>
            </w:r>
          </w:p>
        </w:tc>
        <w:tc>
          <w:tcPr>
            <w:tcW w:w="5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520" w:hanging="316"/>
        <w:spacing w:after="0" w:line="22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520" w:hanging="316"/>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200" w:right="40" w:firstLine="771"/>
        <w:spacing w:after="0" w:line="268" w:lineRule="auto"/>
        <w:rPr>
          <w:sz w:val="20"/>
          <w:szCs w:val="20"/>
          <w:color w:val="auto"/>
        </w:rPr>
      </w:pPr>
      <w:r>
        <w:rPr>
          <w:rFonts w:ascii="Arial" w:cs="Arial" w:eastAsia="Arial" w:hAnsi="Arial"/>
          <w:sz w:val="17"/>
          <w:szCs w:val="17"/>
          <w:i w:val="1"/>
          <w:iCs w:val="1"/>
          <w:color w:val="auto"/>
        </w:rPr>
        <w:t xml:space="preserve">Sheila Gujrathi, M.D. </w:t>
      </w:r>
      <w:r>
        <w:rPr>
          <w:rFonts w:ascii="Arial" w:cs="Arial" w:eastAsia="Arial" w:hAnsi="Arial"/>
          <w:sz w:val="17"/>
          <w:szCs w:val="17"/>
          <w:color w:val="auto"/>
        </w:rPr>
        <w:t>is our Co-Founder and has served as our President and Chief Executive Officer since July 2018 and as a member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our inception in October 2015. She previously served as our President and Chief Operating Officer from our inception until July 2018. Prior to joining us, Dr. Gujrathi served as Chief Medical Officer of Receptos, Inc. from June 2011 until the company’s acquisition by Celgene Corporation in August 2015. Prior to joining Receptos, she was Vice President of the Global Clinical Research Group in Immunology at Bristol-Myers Squibb from 2008 to 2011. Dr. Gujrathi also worked at Genentech, Inc. from 2002 to 2008 where she held roles of increasing responsibility in the Immunology, Tissue Growth and Repair clinical development group, and served as the Avastin Franchise Team Leader. From 1999 to 2002, Dr. Gujrathi was a management consultant at McKinsey &amp; Company in the healthcare practice where she provided strategic advice on a variety of projects in the healthcare and pharmaceutical industry. Dr. Gujrathi serves as a member of the board of directors of Five Prime Therapeutics, Inc. and TP Therapeutics, Inc. and previously served as a member of the board of directors of Ambrx Inc. Dr. Gujrathi received her B.S. with highest distinction in Biomedical Engineering and her M.D. from Northwestern University in their accelerated Honors Program in Medical Education. She completed her Internal Medicine Internship and Residency at Brigham and Women’s Hospital, Harvard Medical School. She received additional training at University of California, San Francisco and Stanford University in their Allergy and Immunology Fellowship Program. Dr. Gujrathi’s knowledge of our business, as well as her extensive development, clinical and executive management experience, contributed to our board of directors’ conclusion that she should serve as a director of our company.</w:t>
      </w:r>
    </w:p>
    <w:p>
      <w:pPr>
        <w:spacing w:after="0" w:line="185"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i w:val="1"/>
          <w:iCs w:val="1"/>
          <w:color w:val="auto"/>
        </w:rPr>
        <w:t xml:space="preserve">Faheem Hasnain </w:t>
      </w:r>
      <w:r>
        <w:rPr>
          <w:rFonts w:ascii="Arial" w:cs="Arial" w:eastAsia="Arial" w:hAnsi="Arial"/>
          <w:sz w:val="18"/>
          <w:szCs w:val="18"/>
          <w:color w:val="auto"/>
        </w:rPr>
        <w:t>is our Co-Founder and served as our Chairman and Chief Executive Officer from our inception through July 2018,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time he became our Executive Chairman. Prior to joining us, Mr. Hasnain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served as President, Chief Executive Officer and as a director of Receptos from November 2010 until the company’s acquisition by Celgene in August 2015. Prior to joining Receptos, Mr. Hasnain was the President and Chief Executive Officer and a director of Facet Biotech Corporation. He held that position from December 2008 until the company’s acquisition by Abbott Laboratories in April 2010. Previously, Mr. Hasnain was President, Chief Executive Officer and a director of PDL BioPharma, Inc. from October 2008 until Facet Biotech was spun off from PDL BioPharma in December 2008. From October 2004 to September 2008, Mr. Hasnain served at Biogen Inc., most recently as Executive Vice President in charge of the oncology/rheumatology strategic business unit. Prior to Biogen, Mr. Hasnain held roles with Bristol-Myers Squibb, where he was President of Oncology Therapeutics Network, and for 14 years at GlaxoSmithKline and its predecessor organizations. He serves as Chairman of the board of directors of SENTE, Inc., Tocagen, Inc. and Vital Therapies, Inc., and as a member of the board of directors of Kura Oncology, Inc. He previously served as Chairman of the board of directors of Ambit Biosciences Corporation and served as a member of the board of directors of Aragon Pharmaceuticals, Seragon Pharmaceuticals, Inc., Pernix Sleep, Inc., Somaxon Pharmaceuticals, Inc. and Tercica, Inc. Mr. Hasnain received a B.H.K. and B.Ed. from the University of Windsor Ontario in Canada. Mr. Hasnain’s knowledge of our business, as well as his years of experience in drug discovery and development and as a biopharmaceutical executive and board member, contributed to our board of directors’ conclusion that he should serve as Executive Chairman of our company.</w:t>
      </w:r>
    </w:p>
    <w:p>
      <w:pPr>
        <w:spacing w:after="0" w:line="188"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i w:val="1"/>
          <w:iCs w:val="1"/>
          <w:color w:val="auto"/>
        </w:rPr>
        <w:t xml:space="preserve">Bryan Giraudo </w:t>
      </w:r>
      <w:r>
        <w:rPr>
          <w:rFonts w:ascii="Arial" w:cs="Arial" w:eastAsia="Arial" w:hAnsi="Arial"/>
          <w:sz w:val="18"/>
          <w:szCs w:val="18"/>
          <w:color w:val="auto"/>
        </w:rPr>
        <w:t>has served as our Chief Financial Officer since May 2018. Prior to joining us, Mr. Giraudo was a Senior Managing Director at</w:t>
      </w:r>
      <w:r>
        <w:rPr>
          <w:rFonts w:ascii="Arial" w:cs="Arial" w:eastAsia="Arial" w:hAnsi="Arial"/>
          <w:sz w:val="18"/>
          <w:szCs w:val="18"/>
          <w:i w:val="1"/>
          <w:iCs w:val="1"/>
          <w:color w:val="auto"/>
        </w:rPr>
        <w:t xml:space="preserve"> </w:t>
      </w:r>
      <w:r>
        <w:rPr>
          <w:rFonts w:ascii="Arial" w:cs="Arial" w:eastAsia="Arial" w:hAnsi="Arial"/>
          <w:sz w:val="18"/>
          <w:szCs w:val="18"/>
          <w:color w:val="auto"/>
        </w:rPr>
        <w:t>Leerink Partners from 2009 to April 2018, where he was responsible for their western North America and Asia Pacific biotechnology and medical technology banking practice. Before joining Leerink, Mr. Giraudo was a Managing Director in Merrill Lynch, Pierce, Fenner &amp; Smith Incorporated’s Global Healthcare Investment Banking Group. He has been a member of the board of directors of Protagonist Therapeutics, Inc. since May 2018. Mr. Giraudo received his B.A. from Georgetown University.</w:t>
      </w:r>
    </w:p>
    <w:p>
      <w:pPr>
        <w:spacing w:after="0" w:line="188" w:lineRule="exact"/>
        <w:rPr>
          <w:sz w:val="20"/>
          <w:szCs w:val="20"/>
          <w:color w:val="auto"/>
        </w:rPr>
      </w:pPr>
    </w:p>
    <w:p>
      <w:pPr>
        <w:ind w:left="200" w:right="300" w:firstLine="771"/>
        <w:spacing w:after="0" w:line="291" w:lineRule="auto"/>
        <w:rPr>
          <w:sz w:val="20"/>
          <w:szCs w:val="20"/>
          <w:color w:val="auto"/>
        </w:rPr>
      </w:pPr>
      <w:r>
        <w:rPr>
          <w:rFonts w:ascii="Arial" w:cs="Arial" w:eastAsia="Arial" w:hAnsi="Arial"/>
          <w:sz w:val="16"/>
          <w:szCs w:val="16"/>
          <w:i w:val="1"/>
          <w:iCs w:val="1"/>
          <w:color w:val="auto"/>
        </w:rPr>
        <w:t xml:space="preserve">Christian Waage </w:t>
      </w:r>
      <w:r>
        <w:rPr>
          <w:rFonts w:ascii="Arial" w:cs="Arial" w:eastAsia="Arial" w:hAnsi="Arial"/>
          <w:sz w:val="16"/>
          <w:szCs w:val="16"/>
          <w:color w:val="auto"/>
        </w:rPr>
        <w:t>has served as our Executive Vice President and General Counsel since August 2017. Previously, Mr. Waage held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from November 2013 to August 2016 at Receptos, most recently serving as Managing Director after its acquisition by Celgene, previously serving as Senior Vice President and General Counsel. From 2012 through its acquisition by Vista Equity Partners LLC in 2013, he served as Vice President, General Counsel and Corporate Secretary at Websense, Inc. From 2008 through its acquisition by AstraZeneca PLC in 2012, Mr. Waage served as Vice President, General Counsel and Corporate Secretary of Ardea Biosciences, Inc. Prior to 2008, Mr. Waage served as a partner at DLA Piper LLP. He has been a member of the board of directors of Heron Therapeutics, Inc. since June 2016. Mr. Waage received his J.D. from the University of San Diego, School of Law and a B.A. degree in economics from the University of California, San Diego.</w:t>
      </w:r>
    </w:p>
    <w:p>
      <w:pPr>
        <w:spacing w:after="0" w:line="167" w:lineRule="exact"/>
        <w:rPr>
          <w:sz w:val="20"/>
          <w:szCs w:val="20"/>
          <w:color w:val="auto"/>
        </w:rPr>
      </w:pPr>
    </w:p>
    <w:p>
      <w:pPr>
        <w:ind w:left="200" w:right="100" w:firstLine="771"/>
        <w:spacing w:after="0" w:line="269" w:lineRule="auto"/>
        <w:rPr>
          <w:sz w:val="20"/>
          <w:szCs w:val="20"/>
          <w:color w:val="auto"/>
        </w:rPr>
      </w:pPr>
      <w:r>
        <w:rPr>
          <w:rFonts w:ascii="Arial" w:cs="Arial" w:eastAsia="Arial" w:hAnsi="Arial"/>
          <w:sz w:val="17"/>
          <w:szCs w:val="17"/>
          <w:i w:val="1"/>
          <w:iCs w:val="1"/>
          <w:color w:val="auto"/>
        </w:rPr>
        <w:t xml:space="preserve">Jakob Dupont, M.D. </w:t>
      </w:r>
      <w:r>
        <w:rPr>
          <w:rFonts w:ascii="Arial" w:cs="Arial" w:eastAsia="Arial" w:hAnsi="Arial"/>
          <w:sz w:val="17"/>
          <w:szCs w:val="17"/>
          <w:color w:val="auto"/>
        </w:rPr>
        <w:t>has served as our Chief Medical Officer since December 2018. He previously served as the Vice President and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Head of Breast and Gynecologic Cancer Development for Genentech from January 2017 to December 2018. Before that, Mr. Dupont served as the Senior Vice President and Chief Medical Officer of OncoMed Pharmaceuticals, Inc. from January 2012 to December 2016 and as the Vice President, Clinical Research from October 2011 to January 2012. From September 2006 to October 2011, Dr. Dupont held roles of increasing responsibility in early to late-stage clinical development at Genentech Inc., most recently as its Global Medical Director, Avastin from January 2011, in which capacity he oversaw the global medical strategy and late-stage medical program for Avastin. Since February 2009, Dr. Dupont has also served as an adjunct clinical assistant professor at the Stanford University School of Medicine. Prior to joining Genentech in 2006, Dr. Dupont was a faculty member and laboratory researcher at Memorial Sloan-Kettering Cancer Center from January 2002 to September 2006. Dr. Dupont received an A.B. in Philosophy from Vassar College, received an M.A. in Philosophy from New York University, studied pre-medical sciences at Columbia University and received an M.D. from the Joan &amp; Sanford I. Weill Medical College of Cornell University. Dr. Dupont completed his Medical Oncology Fellowship at Memorial Sloan-Kettering Cancer Center, his Internal</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Medicine Residency at the New York Presbyterian Hospital—Cornell Campus, and his Internal Medicine Internship at The University of Michigan Medical Center in Ann Arbor, Michigan.</w:t>
      </w:r>
    </w:p>
    <w:p>
      <w:pPr>
        <w:spacing w:after="0" w:line="170" w:lineRule="exact"/>
        <w:rPr>
          <w:sz w:val="20"/>
          <w:szCs w:val="20"/>
          <w:color w:val="auto"/>
        </w:rPr>
      </w:pPr>
    </w:p>
    <w:p>
      <w:pPr>
        <w:ind w:left="200" w:right="20" w:firstLine="771"/>
        <w:spacing w:after="0" w:line="271" w:lineRule="auto"/>
        <w:rPr>
          <w:sz w:val="20"/>
          <w:szCs w:val="20"/>
          <w:color w:val="auto"/>
        </w:rPr>
      </w:pPr>
      <w:r>
        <w:rPr>
          <w:rFonts w:ascii="Arial" w:cs="Arial" w:eastAsia="Arial" w:hAnsi="Arial"/>
          <w:sz w:val="17"/>
          <w:szCs w:val="17"/>
          <w:i w:val="1"/>
          <w:iCs w:val="1"/>
          <w:color w:val="auto"/>
        </w:rPr>
        <w:t xml:space="preserve">Luisa Salter-Cid, Ph.D. </w:t>
      </w:r>
      <w:r>
        <w:rPr>
          <w:rFonts w:ascii="Arial" w:cs="Arial" w:eastAsia="Arial" w:hAnsi="Arial"/>
          <w:sz w:val="17"/>
          <w:szCs w:val="17"/>
          <w:color w:val="auto"/>
        </w:rPr>
        <w:t>has served as our Chief Scientific Officer since August 2018. Prior to joining us, Dr. Salter-Cid worked at Bristol-Myers Squibb in increasing positions of responsibility from 2005 to August 2018, most recently as Vice President and Head of Immunology, small molecule Immuno-Oncology and Genomics Discovery where she focused on target validation and development of innovative biologic and small-molecule therapeutics to address significant unmet needs in autoimmune diseases and cancer. During her time at Bristol-Myers Squibb, Dr. Salter-Cid led teams that advanced more than 20 compounds into clinical development, and is an author on over 70 publications and patents. Previously, from 2002 to 2005, Dr. Salter-Cid was a Senior Project Leader at La Jolla Pharmaceuticals, Inc. Dr. Salter-Cid also held positions at Genset Corporation and Johnson &amp; Johnson. She was a member of the Scientific Advisory Board of Enterome SA until July 2018. Dr. Salter-Cid holds a B.S. in Biology from University of Lisbon and a Ph.D. in Immunology from the University of Miami School of Medicine.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i w:val="1"/>
          <w:iCs w:val="1"/>
          <w:color w:val="auto"/>
        </w:rPr>
        <w:t xml:space="preserve">Joshua H. Bilenker, M.D. </w:t>
      </w:r>
      <w:r>
        <w:rPr>
          <w:rFonts w:ascii="Arial" w:cs="Arial" w:eastAsia="Arial" w:hAnsi="Arial"/>
          <w:sz w:val="16"/>
          <w:szCs w:val="16"/>
          <w:color w:val="auto"/>
        </w:rPr>
        <w:t>has served as a member of our board of directors since December 2018. He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Loxo Oncology, Inc. since July 2013. Dr. Bilenker joined Aisling Capital LLC in April 2006 and has served as an Operating Partner since November 2013. Previously, Dr. Bilenker served as a Medical Officer in the Office of Oncology Drug Products at the FDA from August 2004 to April 2006.</w:t>
      </w:r>
    </w:p>
    <w:p>
      <w:pPr>
        <w:ind w:left="200" w:right="20"/>
        <w:spacing w:after="0" w:line="281" w:lineRule="auto"/>
        <w:rPr>
          <w:sz w:val="20"/>
          <w:szCs w:val="20"/>
          <w:color w:val="auto"/>
        </w:rPr>
      </w:pPr>
      <w:r>
        <w:rPr>
          <w:rFonts w:ascii="Arial" w:cs="Arial" w:eastAsia="Arial" w:hAnsi="Arial"/>
          <w:sz w:val="16"/>
          <w:szCs w:val="16"/>
          <w:color w:val="auto"/>
        </w:rPr>
        <w:t>Dr. Bilenker has served on the board of directors of Loxo Oncology, Inc. since July 2013 as well as on the boards of directors of several private companies. Dr. Bilenker previously served on the board of directors of ViewRay, Inc. from January 2008 to June 2017, T2 Biosystems, Inc. from August 2011 to January 2017 and Roka Bioscience, Inc. from January 2012 to March 2015. He formerly served as a board member of the NCCN Foundation and BioEnterprise. Dr. Bilenker holds an A.B. in English from Princeton University and an M.D. from the Johns Hopkins School of Medicine.</w:t>
      </w:r>
    </w:p>
    <w:p>
      <w:pPr>
        <w:spacing w:after="0" w:line="3"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Dr. Bilenker’s experience at the FDA and his extensive service as a director or officer of, and as an investor in, other healthcare companies contributed to our board of directors’ conclusion that he should serve as a director of our company.</w:t>
      </w:r>
    </w:p>
    <w:p>
      <w:pPr>
        <w:spacing w:after="0" w:line="184"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i w:val="1"/>
          <w:iCs w:val="1"/>
          <w:color w:val="auto"/>
        </w:rPr>
        <w:t xml:space="preserve">Kristina Burow </w:t>
      </w:r>
      <w:r>
        <w:rPr>
          <w:rFonts w:ascii="Arial" w:cs="Arial" w:eastAsia="Arial" w:hAnsi="Arial"/>
          <w:sz w:val="17"/>
          <w:szCs w:val="17"/>
          <w:color w:val="auto"/>
        </w:rPr>
        <w:t>has served on our board of directors since January 2018. She has served as a Managing Director with ARCH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or ARCH, since November 2011 and previously held roles of increasing responsibility at ARCH from August 2002 to November 2011. Ms. Burow also currently serves on the boards of directors of Vividion Therapeutics, Inc., Beam Therapeutics Inc., Sienna Biopharmaceuticals, Inc., Lycera Corp., BlackThorn Therapeutics, Inc., Metacrine, Inc., Scholar Rock, Inc., Unity Biotechnology Inc., AgBiome Inc., Boragen, Inc., AgTech Accelerator and Vir Biotechnology Inc. She previously was a co-founder and director of Receptos prior to its acquisition and of Sapphire Energy, Inc. Prior to ARCH, Ms. Burow was an Associate with the Novartis BioVenture Fund in San Diego and an early employee at the Genomics Institute of the Novartis Research Foundation. Ms. Burow holds a B.A. in Chemistry from the University of California, Berkeley, an M.A. in Chemistry from Columbia University and an M.B.A. from the University of Chicago. Ms. Burow’s extensive experience serving on the board of directors of clinical-stage biotechnology companies and her investment experience in the life sciences industry contributed to our board of directors’ conclusion that she should serve as a director of our company.</w:t>
      </w:r>
    </w:p>
    <w:p>
      <w:pPr>
        <w:spacing w:after="0" w:line="178"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i w:val="1"/>
          <w:iCs w:val="1"/>
          <w:color w:val="auto"/>
        </w:rPr>
        <w:t xml:space="preserve">Russell Cox </w:t>
      </w:r>
      <w:r>
        <w:rPr>
          <w:rFonts w:ascii="Arial" w:cs="Arial" w:eastAsia="Arial" w:hAnsi="Arial"/>
          <w:sz w:val="18"/>
          <w:szCs w:val="18"/>
          <w:color w:val="auto"/>
        </w:rPr>
        <w:t>has served on our board of directors since December 2018. He has served as a member of the board of directors and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Vital Therapies, Inc., a biotechnology company, since January 2018. Between May 2014 and January 2018, he served as the Executive Vice President and Chief Operating Officer of Jazz Pharmaceutical plc, or Jazz, with responsibility for global commercial activities, research and development, manufacturing and technical operations, new product planning and global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molecule leadership. Prior to that, Mr. Cox served as Jazz’s Executive Vice President and Chief Commercial Officer from March 2012 until May 2014. Earlier, he served in a variety of senior management roles at Jazz, which he joined in 2010. Previously, Mr. Cox served as Senior Vice President and Chief Commercial Officer of Ipsen Group, a pharmaceutical company, from January 2009 to January 2010. From 2007 until December 2008, he was Vice President of Marketing at Tercica, Inc. prior to its acquisition by Ipsen Group. From 2003 to 2007, he served as Vice President, Marketing with Scios Inc., which was acquired by Johnson &amp; Johnson in 2003. Before 2003, Mr. Cox spent 12 years with Genentech, where he was a Product Team Leader responsible for the growth hormone franchise and led numerous product launches as a Group Product Manager. Mr. Cox has served on the board of directors of Aeglea BioTherapeutics, Inc., a biotechnology company, since 2015. Mr. Cox received a B.S. in biomedical science from Texas A&amp;M University. Mr. Cox’s extensive industry experience with life sciences companies contributed to our board of directors’ conclusion that he should serve as a director of our company.</w:t>
      </w:r>
    </w:p>
    <w:p>
      <w:pPr>
        <w:spacing w:after="0" w:line="182"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i w:val="1"/>
          <w:iCs w:val="1"/>
          <w:color w:val="auto"/>
        </w:rPr>
        <w:t xml:space="preserve">Thomas Daniel, M.D. </w:t>
      </w:r>
      <w:r>
        <w:rPr>
          <w:rFonts w:ascii="Arial" w:cs="Arial" w:eastAsia="Arial" w:hAnsi="Arial"/>
          <w:sz w:val="16"/>
          <w:szCs w:val="16"/>
          <w:color w:val="auto"/>
        </w:rPr>
        <w:t>has served on our board of directors since January 2018. Dr. Daniel has served as a venture partner with ARCH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since October 2016. Dr. Daniel has been the Executive Chairman of Vividion Therapeutics, Inc. since February 2017. Dr. Daniel was previously Celgene’s Chairman of Research from January 2016 until June 2016, President of Research and Early Development from December 2006 to January 2016, and Executive Vice President and President of Research and Early Development from February 2012 until January 2016. Prior to joining Celgene, Dr. Daniel served as the Chief Scientific Officer and director at Ambrx Inc. Prior to Ambrx, Dr. Daniel served as Vice President of Research at Amgen Inc., where he was research site head of Amgen Washington and therapeutic area head of inflammation. Dr. Daniel also served as the Senior Vice President of Discovery Research at Immunex Corporation until its acquisition by Amgen. Dr. Daniel is a director of publicly held companies, Zafgen, Inc., Magenta Therapeutics, Inc., and privately-held biotechnology companies, Vir Biotechnology Inc., ImmusanT, Inc., Locana, Inc. and Sana Biotechnology. He was previously a director at Epizyme, Inc. and Juno Therapeutics. Dr. Daniel serves as a member of the Biomedical Science Advisory Board of Vanderbilt University Medical Center, the Scientific Advisory Board of the Parker Institute for Cancer Immunotherapy and the Board of Overseers for The Scripps Research Institute. A nephrologist and former academic investigator, Dr. Daniel was previously the K.M. Hakim Professor of Medicine and Cell Biology at Vanderbilt University, and Director of the Vanderbilt Center for Vascular Biology. Dr. Daniel received a B.A. from the Southern Methodist University in Texas in 1974 and an M.D. from the University of Texas, Southwestern, in 1978, and completed medical residency at Massachusetts General Hospital. Dr. Daniel’s significant academic and research experience and his experience serving on numerous boards contributed to our board of directors’ conclusion that he should serve as a director of our company.</w:t>
      </w:r>
    </w:p>
    <w:p>
      <w:pPr>
        <w:spacing w:after="0" w:line="169" w:lineRule="exact"/>
        <w:rPr>
          <w:sz w:val="20"/>
          <w:szCs w:val="20"/>
          <w:color w:val="auto"/>
        </w:rPr>
      </w:pPr>
    </w:p>
    <w:p>
      <w:pPr>
        <w:ind w:left="200" w:right="120" w:firstLine="771"/>
        <w:spacing w:after="0" w:line="270" w:lineRule="auto"/>
        <w:rPr>
          <w:sz w:val="20"/>
          <w:szCs w:val="20"/>
          <w:color w:val="auto"/>
        </w:rPr>
      </w:pPr>
      <w:r>
        <w:rPr>
          <w:rFonts w:ascii="Arial" w:cs="Arial" w:eastAsia="Arial" w:hAnsi="Arial"/>
          <w:sz w:val="17"/>
          <w:szCs w:val="17"/>
          <w:i w:val="1"/>
          <w:iCs w:val="1"/>
          <w:color w:val="auto"/>
        </w:rPr>
        <w:t xml:space="preserve">Renée Galá </w:t>
      </w:r>
      <w:r>
        <w:rPr>
          <w:rFonts w:ascii="Arial" w:cs="Arial" w:eastAsia="Arial" w:hAnsi="Arial"/>
          <w:sz w:val="17"/>
          <w:szCs w:val="17"/>
          <w:color w:val="auto"/>
        </w:rPr>
        <w:t>has served on our board of directors since December 2018. Currently, Ms. Galá is Senior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at Theravance Biopharma following the company’s spinout from Theravance, Inc. Ms. Galá joined Theravance (now Innoviva, Inc.) and held various roles in the finance organization before leading the company’s spin-out transaction. Before Theravance, Ms. Galá worked at Eli Lilly and Company, where she held positions of increasing responsibility in global treasury, pharmaceutical sales, and corporate strategy/business development. Prior to joining Eli Lilly, she spent seven years in the energy industry in the United States and internationally in positions focused on corporate finance, project finance, and mergers and acquisitions. She has been a member of the board of directors of Corcept Therapeutics Inc. since June 2016. Ms. Galá holds a bachelor’s degree in mathematics from Vanderbilt University and an MBA from Columbia Business School. Ms. Galá’s experience as a Chief Financial Officer in the life science industry, her leadership and management experience and her financial expertise contributed to our board of directors’ conclusion that she should serve as a director of our company.</w:t>
      </w:r>
    </w:p>
    <w:p>
      <w:pPr>
        <w:spacing w:after="0" w:line="182"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i w:val="1"/>
          <w:iCs w:val="1"/>
          <w:color w:val="auto"/>
        </w:rPr>
        <w:t xml:space="preserve">Otello Stampacchia, Ph.D. </w:t>
      </w:r>
      <w:r>
        <w:rPr>
          <w:rFonts w:ascii="Arial" w:cs="Arial" w:eastAsia="Arial" w:hAnsi="Arial"/>
          <w:sz w:val="18"/>
          <w:szCs w:val="18"/>
          <w:color w:val="auto"/>
        </w:rPr>
        <w:t>has served on our board of directors since January 2018. He has served as founder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Omega Funds since 2004. Previously, Dr. Stampacchia was in charge of life sciences direct investments at AlpInvest Partners B.V. from 2001 to 2003, and from 2000 to 2001, Dr. Stampacchia was the portfolio manager of the Lombard Odier Immunology Fund. Previously, Dr. Stampacchia was a member of the healthcare corporate finance and mergers and acquisitions team at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Goldman Sachs Group, Inc. from 1997 to 2000. Before joining Goldman Sachs, Dr. Stampacchia helped co-found the healthcare investment activities at Index Securities, now Index Ventures, Inc. Dr. Stampacchia is currently a member of the boards of directors of Replimune Group, Inc., Kronos Bio, Inc., Morphic Therapeutic and ESSA Pharma, Inc. Previously, Dr. Stampacchia served on the boards of directors of Paratek Pharmaceuticals, Micromet, CropDesign NV and DeveloGen AG. He has a Ph.D. degree in Molecular Biology from the University of Geneva and a European Ph.D. in Biotechnology (EDBT) from the European Association for Higher Education in Biotechnology. He has an M.S. in Genetics from Universita’ degli Studi di Pavia. Dr. Stampacchia’s extensive experience investing in and serving on the boards of life science companies contributed to our board of directors’ conclusion that he should serve as a director of our company.</w:t>
      </w:r>
    </w:p>
    <w:p>
      <w:pPr>
        <w:spacing w:after="0" w:line="178" w:lineRule="exact"/>
        <w:rPr>
          <w:sz w:val="20"/>
          <w:szCs w:val="20"/>
          <w:color w:val="auto"/>
        </w:rPr>
      </w:pPr>
    </w:p>
    <w:p>
      <w:pPr>
        <w:ind w:left="200" w:right="100" w:firstLine="771"/>
        <w:spacing w:after="0" w:line="271" w:lineRule="auto"/>
        <w:rPr>
          <w:sz w:val="20"/>
          <w:szCs w:val="20"/>
          <w:color w:val="auto"/>
        </w:rPr>
      </w:pPr>
      <w:r>
        <w:rPr>
          <w:rFonts w:ascii="Arial" w:cs="Arial" w:eastAsia="Arial" w:hAnsi="Arial"/>
          <w:sz w:val="17"/>
          <w:szCs w:val="17"/>
          <w:i w:val="1"/>
          <w:iCs w:val="1"/>
          <w:color w:val="auto"/>
        </w:rPr>
        <w:t xml:space="preserve">Wenkai Xiang, Ph.D. </w:t>
      </w:r>
      <w:r>
        <w:rPr>
          <w:rFonts w:ascii="Arial" w:cs="Arial" w:eastAsia="Arial" w:hAnsi="Arial"/>
          <w:sz w:val="17"/>
          <w:szCs w:val="17"/>
          <w:color w:val="auto"/>
        </w:rPr>
        <w:t>has served on our board of directors since December 2018. He is currently a Managing Director at Hillhouse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Group, or, together with its affiliates, Hillhouse, and has worked with Hillhouse since September 2018. From July 2016 to August 2018, Dr. Xiang served as a Partner at 6 Dimensions Capital, and from March 2013 to July 2016, he was Managing Director and Head of International Investments and Business Development at Humanwell Healthcare (Group) Co., Ltd. Prior to that, Dr. Xiang worked as Managing Director of Burrill &amp; Company from December 2011 to December 2012. Dr. Xiang is currently a member of the board of directors of Viela Bio, Inc., a private biotechnology company. He received a B.S. in Microbiology and Immunology from Fudan University, a Ph.D. in Molecular and Cellular Biology from Stony Brook University and an M.B.A. from The Wharton School. Dr. Xiang’s extensive experience investing in the healthcare sector contributed to our board of directors’ conclusion that he should serve as a director of our company.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200" w:right="40" w:firstLine="771"/>
        <w:spacing w:after="0" w:line="270" w:lineRule="auto"/>
        <w:rPr>
          <w:sz w:val="20"/>
          <w:szCs w:val="20"/>
          <w:color w:val="auto"/>
        </w:rPr>
      </w:pPr>
      <w:r>
        <w:rPr>
          <w:rFonts w:ascii="Arial" w:cs="Arial" w:eastAsia="Arial" w:hAnsi="Arial"/>
          <w:sz w:val="17"/>
          <w:szCs w:val="17"/>
          <w:color w:val="auto"/>
        </w:rPr>
        <w:t>Our board of directors currently consists of nine members. Our board of directors has determined that all of our directors, other than Sheila Gujrathi, M.D. and Faheem Hasnain, are independent directors in accordance with the listing requirements of the Nasdaq Global Select Market.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whose terms then expire will be eligible for reelection until the third annual meeting following reelection. Effective upon the closing of this offering, our directors will be divided among the three classes as follows:</w:t>
      </w:r>
    </w:p>
    <w:p>
      <w:pPr>
        <w:spacing w:after="0" w:line="214" w:lineRule="exact"/>
        <w:rPr>
          <w:sz w:val="20"/>
          <w:szCs w:val="20"/>
          <w:color w:val="auto"/>
        </w:rPr>
      </w:pPr>
    </w:p>
    <w:p>
      <w:pPr>
        <w:ind w:left="1400" w:right="780" w:hanging="318"/>
        <w:spacing w:after="0" w:line="277" w:lineRule="auto"/>
        <w:tabs>
          <w:tab w:leader="none" w:pos="1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 directors will be Ms. Burow, Dr. Daniel and Dr. Gujrathi, and their terms will expire at our first annual meeting of stockholders following this offering;</w:t>
      </w:r>
    </w:p>
    <w:p>
      <w:pPr>
        <w:spacing w:after="0" w:line="197" w:lineRule="exact"/>
        <w:rPr>
          <w:rFonts w:ascii="Arial" w:cs="Arial" w:eastAsia="Arial" w:hAnsi="Arial"/>
          <w:sz w:val="18"/>
          <w:szCs w:val="18"/>
          <w:color w:val="auto"/>
        </w:rPr>
      </w:pPr>
    </w:p>
    <w:p>
      <w:pPr>
        <w:ind w:left="1400" w:right="160" w:hanging="318"/>
        <w:spacing w:after="0" w:line="277" w:lineRule="auto"/>
        <w:tabs>
          <w:tab w:leader="none" w:pos="1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II directors will be Dr. Bilenker, Mr. Hasnain and Dr. Stampacchia, and their terms will expire at our second annual meeting of stockholders following this offering; and</w:t>
      </w:r>
    </w:p>
    <w:p>
      <w:pPr>
        <w:spacing w:after="0" w:line="197" w:lineRule="exact"/>
        <w:rPr>
          <w:rFonts w:ascii="Arial" w:cs="Arial" w:eastAsia="Arial" w:hAnsi="Arial"/>
          <w:sz w:val="18"/>
          <w:szCs w:val="18"/>
          <w:color w:val="auto"/>
        </w:rPr>
      </w:pPr>
    </w:p>
    <w:p>
      <w:pPr>
        <w:ind w:left="1400" w:right="120" w:hanging="318"/>
        <w:spacing w:after="0" w:line="277" w:lineRule="auto"/>
        <w:tabs>
          <w:tab w:leader="none" w:pos="1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III directors will be Mr. Cox, Ms. Galá and Dr. Xiang, and their terms will expire at our third annual meeting of stockholders following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771"/>
        <w:spacing w:after="0" w:line="288" w:lineRule="auto"/>
        <w:rPr>
          <w:sz w:val="20"/>
          <w:szCs w:val="20"/>
          <w:color w:val="auto"/>
        </w:rPr>
      </w:pPr>
      <w:r>
        <w:rPr>
          <w:rFonts w:ascii="Arial" w:cs="Arial" w:eastAsia="Arial" w:hAnsi="Arial"/>
          <w:sz w:val="16"/>
          <w:szCs w:val="16"/>
          <w:color w:val="auto"/>
        </w:rPr>
        <w:t>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w:t>
      </w:r>
    </w:p>
    <w:p>
      <w:pPr>
        <w:ind w:left="200" w:right="320"/>
        <w:spacing w:after="0" w:line="255"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190"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color w:val="auto"/>
        </w:rPr>
        <w:t>In addition, our board designation agreement with HH Goss Holdings LLC, one of our stockholders, provides that it or its affiliates will, effective as of the closing of this offering, have the right to designate one member to our board of directors and have such member appointed to any board committee that it requests, in each case, subject to our obligation to comply with applicable law and Nasdaq listing standards. See “Certain Relationships and Related Person Transactions—Board Designation Agreement with Hillhouse” for additional information on the agreement, including termination provisions.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Our board of directors is currently led by our Executive Chairman, Faheem Hasnain. Our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w:t>
      </w:r>
    </w:p>
    <w:p>
      <w:pPr>
        <w:spacing w:after="0" w:line="165" w:lineRule="exact"/>
        <w:rPr>
          <w:sz w:val="20"/>
          <w:szCs w:val="20"/>
          <w:color w:val="auto"/>
        </w:rPr>
      </w:pPr>
    </w:p>
    <w:p>
      <w:pPr>
        <w:ind w:left="200" w:right="340" w:firstLine="771"/>
        <w:spacing w:after="0" w:line="308"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88"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and Independence</w:t>
      </w:r>
    </w:p>
    <w:p>
      <w:pPr>
        <w:spacing w:after="0" w:line="229"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Our board of directors has established three standing committees—audit, compensation and nominating and corporate governance—each of which operates under a charter that has been approved by our board. In addition, our board designation agreement with Hillhouse provides that Hillhouse’s director designee shall be appointed to any board committee Hillhouse requests, subject to our obligation to comply with applicable law and Nasdaq listing standards. See “Certain Relationships and Related Person Transactions—Board Designation Agreement with Hillhouse Capital” for additional information on the agreement, including termination provisions.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200" w:right="600" w:firstLine="771"/>
        <w:spacing w:after="0" w:line="277"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consolidated financial statements. This committee’s responsibilities include, among other things:</w:t>
      </w:r>
    </w:p>
    <w:p>
      <w:pPr>
        <w:spacing w:after="0" w:line="197" w:lineRule="exact"/>
        <w:rPr>
          <w:sz w:val="20"/>
          <w:szCs w:val="20"/>
          <w:color w:val="auto"/>
        </w:rPr>
      </w:pPr>
    </w:p>
    <w:p>
      <w:pPr>
        <w:ind w:left="1400" w:hanging="318"/>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252" w:lineRule="exact"/>
        <w:rPr>
          <w:rFonts w:ascii="Arial" w:cs="Arial" w:eastAsia="Arial" w:hAnsi="Arial"/>
          <w:sz w:val="18"/>
          <w:szCs w:val="18"/>
          <w:color w:val="auto"/>
        </w:rPr>
      </w:pPr>
    </w:p>
    <w:p>
      <w:pPr>
        <w:ind w:left="1400" w:right="52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197"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197" w:lineRule="exact"/>
        <w:rPr>
          <w:rFonts w:ascii="Arial" w:cs="Arial" w:eastAsia="Arial" w:hAnsi="Arial"/>
          <w:sz w:val="18"/>
          <w:szCs w:val="18"/>
          <w:color w:val="auto"/>
        </w:rPr>
      </w:pPr>
    </w:p>
    <w:p>
      <w:pPr>
        <w:ind w:left="1400" w:right="70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consolidated financial statements and our compliance with legal and regulatory requirements as they relate to financial statements or accounting matters;</w:t>
      </w:r>
    </w:p>
    <w:p>
      <w:pPr>
        <w:spacing w:after="0" w:line="197" w:lineRule="exact"/>
        <w:rPr>
          <w:rFonts w:ascii="Arial" w:cs="Arial" w:eastAsia="Arial" w:hAnsi="Arial"/>
          <w:sz w:val="18"/>
          <w:szCs w:val="18"/>
          <w:color w:val="auto"/>
        </w:rPr>
      </w:pPr>
    </w:p>
    <w:p>
      <w:pPr>
        <w:ind w:left="1400" w:right="2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our board any changes to such investment policy;</w:t>
      </w:r>
    </w:p>
    <w:p>
      <w:pPr>
        <w:spacing w:after="0" w:line="197" w:lineRule="exact"/>
        <w:rPr>
          <w:rFonts w:ascii="Arial" w:cs="Arial" w:eastAsia="Arial" w:hAnsi="Arial"/>
          <w:sz w:val="18"/>
          <w:szCs w:val="18"/>
          <w:color w:val="auto"/>
        </w:rPr>
      </w:pPr>
    </w:p>
    <w:p>
      <w:pPr>
        <w:ind w:left="1400" w:right="30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252" w:lineRule="exact"/>
        <w:rPr>
          <w:rFonts w:ascii="Arial" w:cs="Arial" w:eastAsia="Arial" w:hAnsi="Arial"/>
          <w:sz w:val="18"/>
          <w:szCs w:val="18"/>
          <w:color w:val="auto"/>
        </w:rPr>
      </w:pPr>
    </w:p>
    <w:p>
      <w:pPr>
        <w:ind w:left="1400" w:right="8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 and</w:t>
      </w:r>
    </w:p>
    <w:p>
      <w:pPr>
        <w:spacing w:after="0" w:line="197" w:lineRule="exact"/>
        <w:rPr>
          <w:rFonts w:ascii="Arial" w:cs="Arial" w:eastAsia="Arial" w:hAnsi="Arial"/>
          <w:sz w:val="18"/>
          <w:szCs w:val="18"/>
          <w:color w:val="auto"/>
        </w:rPr>
      </w:pPr>
    </w:p>
    <w:p>
      <w:pPr>
        <w:ind w:left="1400" w:right="100" w:hanging="318"/>
        <w:spacing w:after="0" w:line="277" w:lineRule="auto"/>
        <w:tabs>
          <w:tab w:leader="none" w:pos="1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170" w:lineRule="exact"/>
        <w:rPr>
          <w:sz w:val="20"/>
          <w:szCs w:val="20"/>
          <w:color w:val="auto"/>
        </w:rPr>
      </w:pPr>
    </w:p>
    <w:p>
      <w:pPr>
        <w:ind w:left="200" w:right="120" w:firstLine="771"/>
        <w:spacing w:after="0" w:line="279" w:lineRule="auto"/>
        <w:rPr>
          <w:sz w:val="20"/>
          <w:szCs w:val="20"/>
          <w:color w:val="auto"/>
        </w:rPr>
      </w:pPr>
      <w:r>
        <w:rPr>
          <w:rFonts w:ascii="Arial" w:cs="Arial" w:eastAsia="Arial" w:hAnsi="Arial"/>
          <w:sz w:val="17"/>
          <w:szCs w:val="17"/>
          <w:color w:val="auto"/>
        </w:rPr>
        <w:t>The members of our audit committee are Ms. Galá, Dr. Bilenker and Mr. Cox. Ms. Galá serves as the chairperson of the committee. All members of our audit committee meet the requirements for financial literacy under the applicable rules and regulations of the SEC and the Nasdaq Global Select Market. Our board of directors has determined that Ms. Galá is an “audit committee financial expert” as defined by applicable SEC rules and has the requisite financial sophistication as defined under the applicable Nasdaq listing standards. Our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0"/>
        <w:spacing w:after="0" w:line="286" w:lineRule="auto"/>
        <w:rPr>
          <w:sz w:val="20"/>
          <w:szCs w:val="20"/>
          <w:color w:val="auto"/>
        </w:rPr>
      </w:pPr>
      <w:r>
        <w:rPr>
          <w:rFonts w:ascii="Arial" w:cs="Arial" w:eastAsia="Arial" w:hAnsi="Arial"/>
          <w:sz w:val="17"/>
          <w:szCs w:val="17"/>
          <w:color w:val="auto"/>
        </w:rPr>
        <w:t>board of directors has determined each of Ms. Galá, Dr. Bilenker and Mr. Cox is independent under the applicable rules of the SEC and the Nasdaq Global Select Market. Upon the listing of our common stock on the Nasdaq Global Select Market, the audit committee will operate under a written charter that satisfies the applicable standards of the SEC and the Nasdaq Global Select Market.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93" w:lineRule="exact"/>
        <w:rPr>
          <w:sz w:val="20"/>
          <w:szCs w:val="20"/>
          <w:color w:val="auto"/>
        </w:rPr>
      </w:pPr>
    </w:p>
    <w:p>
      <w:pPr>
        <w:ind w:left="200" w:right="220" w:firstLine="771"/>
        <w:spacing w:after="0" w:line="257" w:lineRule="auto"/>
        <w:rPr>
          <w:sz w:val="20"/>
          <w:szCs w:val="20"/>
          <w:color w:val="auto"/>
        </w:rPr>
      </w:pPr>
      <w:r>
        <w:rPr>
          <w:rFonts w:ascii="Arial" w:cs="Arial" w:eastAsia="Arial" w:hAnsi="Arial"/>
          <w:sz w:val="18"/>
          <w:szCs w:val="18"/>
          <w:color w:val="auto"/>
        </w:rPr>
        <w:t>The members of our compensation committee are Ms. Burow, Mr. Cox and Dr. Daniel. Ms. Burow serves as the chairperson of the committee. Our board of directors has determined that each of Ms. Burow, Mr. Cox and Dr. Daniel is independent under the applicable Nasdaq listing standards, is a “non-employee director” as defined in Rule 16b-3 promulgated under the Exchange Act. Upon the listing of our common stock on the Nasdaq Global Select Market, the compensation committee will operate under a written charter, which the compensation committee will review and evaluate at least annually.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 of our nominating and corporate governance committee are Dr. Stampacchia, Dr. Bilenker and Dr. Xiang. Dr. Stampacchia serves as the chairperson of the committee. Our board has determined that each of Dr. Stampacchia, Dr. Bilenker and Dr. Xiang is independent under the applicable Nasdaq listing standards. Upon the listing of our common stock on the Nasdaq Global Select Market, the nominating and corporate governance committee will operate under a written charter, which the nominating and corporate governance committee will review and evaluate at least annually.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 other than Mr. Cox who serves as the Chief Executive Officer of Vital Therapies, Inc., for which Mr. Hasnain serves on the compensation committee.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200" w:right="260" w:firstLine="771"/>
        <w:spacing w:after="0" w:line="264" w:lineRule="auto"/>
        <w:rPr>
          <w:sz w:val="20"/>
          <w:szCs w:val="20"/>
          <w:color w:val="auto"/>
        </w:rPr>
      </w:pPr>
      <w:r>
        <w:rPr>
          <w:rFonts w:ascii="Arial" w:cs="Arial" w:eastAsia="Arial" w:hAnsi="Arial"/>
          <w:sz w:val="18"/>
          <w:szCs w:val="18"/>
          <w:color w:val="auto"/>
        </w:rPr>
        <w:t>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suitability of individual candidates (both new candidates and current members) for election or appointment, the nominating and corporate governance committee and the board of directors will take into account many factors, including the following:</w:t>
      </w:r>
    </w:p>
    <w:p>
      <w:pPr>
        <w:spacing w:after="0" w:line="197" w:lineRule="exact"/>
        <w:rPr>
          <w:sz w:val="20"/>
          <w:szCs w:val="20"/>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52" w:lineRule="exact"/>
        <w:rPr>
          <w:rFonts w:ascii="Arial" w:cs="Arial" w:eastAsia="Arial" w:hAnsi="Arial"/>
          <w:sz w:val="18"/>
          <w:szCs w:val="18"/>
          <w:color w:val="auto"/>
        </w:rPr>
      </w:pPr>
    </w:p>
    <w:p>
      <w:pPr>
        <w:ind w:left="1400" w:right="700" w:hanging="318"/>
        <w:spacing w:after="0" w:line="277" w:lineRule="auto"/>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25"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Upon the closing of this offering, our code of business conduct and ethics will be available under the Corporate Governance section of our website at www.gossamerbio.com. In addition, we intend to post on our website all disclosures that are required by law or the listing standards of the Nasdaq Global Select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200" w:right="500" w:firstLine="771"/>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w:t>
      </w:r>
    </w:p>
    <w:p>
      <w:pPr>
        <w:spacing w:after="0" w:line="170" w:lineRule="exact"/>
        <w:rPr>
          <w:sz w:val="20"/>
          <w:szCs w:val="20"/>
          <w:color w:val="auto"/>
        </w:rPr>
      </w:pPr>
    </w:p>
    <w:p>
      <w:pPr>
        <w:ind w:left="200" w:right="180" w:firstLine="771"/>
        <w:spacing w:after="0" w:line="255" w:lineRule="auto"/>
        <w:rPr>
          <w:sz w:val="20"/>
          <w:szCs w:val="20"/>
          <w:color w:val="auto"/>
        </w:rPr>
      </w:pPr>
      <w:r>
        <w:rPr>
          <w:rFonts w:ascii="Arial" w:cs="Arial" w:eastAsia="Arial" w:hAnsi="Arial"/>
          <w:sz w:val="18"/>
          <w:szCs w:val="18"/>
          <w:color w:val="auto"/>
        </w:rPr>
        <w:t>Sheila Gujrathi, M.D., our President and Chief Executive Officer and former Chief Operating Officer, Faheem Hasnain, our Executive Chairman and former Chief Executive Officer, and Christian Waage, our Executive Vice President and General Counsel, were our only executive officers during 2017 and, accordingly, are our named executive officers for 2017. We did not pay any cash compensation to any executive officer or board member in 2017. Cash compensation to our executive officers commenced in January 2018 in connection with the closing of our Series A preferred stock financing. Mr. Waage, however, received a restricted stock award in November 2017 in consideration of his services to us, which is the only compensation paid to our named executive officers for 2017.</w:t>
      </w:r>
    </w:p>
    <w:p>
      <w:pPr>
        <w:spacing w:after="0" w:line="193" w:lineRule="exact"/>
        <w:rPr>
          <w:sz w:val="20"/>
          <w:szCs w:val="20"/>
          <w:color w:val="auto"/>
        </w:rPr>
      </w:pPr>
    </w:p>
    <w:p>
      <w:pPr>
        <w:ind w:left="200" w:right="160" w:firstLine="771"/>
        <w:spacing w:after="0" w:line="276" w:lineRule="auto"/>
        <w:rPr>
          <w:sz w:val="20"/>
          <w:szCs w:val="20"/>
          <w:color w:val="auto"/>
        </w:rPr>
      </w:pPr>
      <w:r>
        <w:rPr>
          <w:rFonts w:ascii="Arial" w:cs="Arial" w:eastAsia="Arial" w:hAnsi="Arial"/>
          <w:sz w:val="17"/>
          <w:szCs w:val="17"/>
          <w:color w:val="auto"/>
        </w:rPr>
        <w:t>Our other current executive officers commenced employment with us during 2018. Bryan Giraudo, our Chief Financial Officer, commenced employment in May 2018. Luisa Salter-Cid, Ph.D., our Chief Scientific Officer, commenced employment in August 2018. Jakob Dupont, M.D., our Chief Medical Officer, commenced employment in December 2018. In addition to Dr. Gujrathi and Mr. Hasnain, each of whom served as our principal executive officer for a portion of 2018, Mr. Giraudo and Dr. Dupont are also named executive officers for 2018. We have voluntarily included Mr. Waage as an additional named executive officer for 2018 due to his status as a named executive officer in 2017.</w:t>
      </w:r>
    </w:p>
    <w:p>
      <w:pPr>
        <w:spacing w:after="0" w:line="173" w:lineRule="exact"/>
        <w:rPr>
          <w:sz w:val="20"/>
          <w:szCs w:val="20"/>
          <w:color w:val="auto"/>
        </w:rPr>
      </w:pPr>
    </w:p>
    <w:p>
      <w:pPr>
        <w:jc w:val="both"/>
        <w:ind w:left="200" w:right="80" w:firstLine="771"/>
        <w:spacing w:after="0" w:line="264"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200" w:right="380" w:firstLine="771"/>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2017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Non-equity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8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3"/>
                <w:szCs w:val="13"/>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3"/>
                <w:szCs w:val="13"/>
                <w:color w:val="auto"/>
              </w:rPr>
            </w:pPr>
          </w:p>
        </w:tc>
        <w:tc>
          <w:tcPr>
            <w:tcW w:w="7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2"/>
              </w:rPr>
              <w:t>Bonus</w:t>
            </w:r>
          </w:p>
        </w:tc>
        <w:tc>
          <w:tcPr>
            <w:tcW w:w="260" w:type="dxa"/>
            <w:vAlign w:val="bottom"/>
          </w:tcPr>
          <w:p>
            <w:pPr>
              <w:spacing w:after="0"/>
              <w:rPr>
                <w:sz w:val="13"/>
                <w:szCs w:val="13"/>
                <w:color w:val="auto"/>
              </w:rPr>
            </w:pPr>
          </w:p>
        </w:tc>
        <w:tc>
          <w:tcPr>
            <w:tcW w:w="7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awards</w:t>
            </w:r>
          </w:p>
        </w:tc>
        <w:tc>
          <w:tcPr>
            <w:tcW w:w="200" w:type="dxa"/>
            <w:vAlign w:val="bottom"/>
          </w:tcPr>
          <w:p>
            <w:pPr>
              <w:spacing w:after="0"/>
              <w:rPr>
                <w:sz w:val="13"/>
                <w:szCs w:val="13"/>
                <w:color w:val="auto"/>
              </w:rPr>
            </w:pPr>
          </w:p>
        </w:tc>
        <w:tc>
          <w:tcPr>
            <w:tcW w:w="6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awards</w:t>
            </w:r>
          </w:p>
        </w:tc>
        <w:tc>
          <w:tcPr>
            <w:tcW w:w="100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4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1040" w:type="dxa"/>
            <w:vAlign w:val="bottom"/>
            <w:gridSpan w:val="2"/>
          </w:tcPr>
          <w:p>
            <w:pPr>
              <w:jc w:val="right"/>
              <w:ind w:right="437"/>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0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2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66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0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87"/>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80" w:type="dxa"/>
            <w:vAlign w:val="bottom"/>
          </w:tcPr>
          <w:p>
            <w:pPr>
              <w:jc w:val="right"/>
              <w:ind w:right="24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Sheila Gujrathi, M.D.</w:t>
            </w:r>
          </w:p>
        </w:tc>
        <w:tc>
          <w:tcPr>
            <w:tcW w:w="17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469,601</w:t>
            </w:r>
          </w:p>
        </w:tc>
        <w:tc>
          <w:tcPr>
            <w:tcW w:w="860" w:type="dxa"/>
            <w:vAlign w:val="bottom"/>
            <w:gridSpan w:val="3"/>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17,942,611</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18,412,211</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75"/>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w w:val="94"/>
              </w:rPr>
              <w:t>President and Chief Executive Officer and Former</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9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Operating Officer</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Faheem Hasnain</w:t>
            </w:r>
          </w:p>
        </w:tc>
        <w:tc>
          <w:tcPr>
            <w:tcW w:w="620" w:type="dxa"/>
            <w:vAlign w:val="bottom"/>
            <w:gridSpan w:val="3"/>
          </w:tcPr>
          <w:p>
            <w:pPr>
              <w:ind w:left="180"/>
              <w:spacing w:after="0"/>
              <w:rPr>
                <w:sz w:val="20"/>
                <w:szCs w:val="20"/>
                <w:color w:val="auto"/>
              </w:rPr>
            </w:pPr>
            <w:r>
              <w:rPr>
                <w:rFonts w:ascii="Arial" w:cs="Arial" w:eastAsia="Arial" w:hAnsi="Arial"/>
                <w:sz w:val="16"/>
                <w:szCs w:val="16"/>
                <w:color w:val="auto"/>
              </w:rPr>
              <w:t>2018</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469,601</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(2)</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17,942,611</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7"/>
              <w:spacing w:after="0" w:line="207" w:lineRule="exact"/>
              <w:rPr>
                <w:sz w:val="20"/>
                <w:szCs w:val="20"/>
                <w:color w:val="auto"/>
              </w:rPr>
            </w:pPr>
            <w:r>
              <w:rPr>
                <w:rFonts w:ascii="Arial" w:cs="Arial" w:eastAsia="Arial" w:hAnsi="Arial"/>
                <w:sz w:val="14"/>
                <w:szCs w:val="14"/>
                <w:color w:val="auto"/>
              </w:rPr>
              <w:t>18,412,211</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tcPr>
          <w:p>
            <w:pPr>
              <w:ind w:left="140"/>
              <w:spacing w:after="0"/>
              <w:rPr>
                <w:sz w:val="20"/>
                <w:szCs w:val="20"/>
                <w:color w:val="auto"/>
              </w:rPr>
            </w:pPr>
            <w:r>
              <w:rPr>
                <w:rFonts w:ascii="Arial" w:cs="Arial" w:eastAsia="Arial" w:hAnsi="Arial"/>
                <w:sz w:val="16"/>
                <w:szCs w:val="16"/>
                <w:i w:val="1"/>
                <w:iCs w:val="1"/>
                <w:color w:val="auto"/>
                <w:w w:val="95"/>
              </w:rPr>
              <w:t>Executive Chairman and Former Chief Executive</w:t>
            </w:r>
          </w:p>
        </w:tc>
        <w:tc>
          <w:tcPr>
            <w:tcW w:w="620" w:type="dxa"/>
            <w:vAlign w:val="bottom"/>
            <w:gridSpan w:val="3"/>
          </w:tcPr>
          <w:p>
            <w:pPr>
              <w:ind w:left="180"/>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9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80" w:type="dxa"/>
            <w:vAlign w:val="bottom"/>
            <w:gridSpan w:val="2"/>
          </w:tcPr>
          <w:p>
            <w:pPr>
              <w:ind w:left="140"/>
              <w:spacing w:after="0"/>
              <w:rPr>
                <w:sz w:val="20"/>
                <w:szCs w:val="20"/>
                <w:color w:val="auto"/>
              </w:rPr>
            </w:pPr>
            <w:r>
              <w:rPr>
                <w:rFonts w:ascii="Arial" w:cs="Arial" w:eastAsia="Arial" w:hAnsi="Arial"/>
                <w:sz w:val="16"/>
                <w:szCs w:val="16"/>
                <w:i w:val="1"/>
                <w:iCs w:val="1"/>
                <w:color w:val="auto"/>
              </w:rPr>
              <w:t>Officer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Christian Waage</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365,794</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316,000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7"/>
              <w:spacing w:after="0" w:line="222" w:lineRule="exact"/>
              <w:rPr>
                <w:sz w:val="20"/>
                <w:szCs w:val="20"/>
                <w:color w:val="auto"/>
              </w:rPr>
            </w:pPr>
            <w:r>
              <w:rPr>
                <w:rFonts w:ascii="Arial" w:cs="Arial" w:eastAsia="Arial" w:hAnsi="Arial"/>
                <w:sz w:val="15"/>
                <w:szCs w:val="15"/>
                <w:color w:val="auto"/>
              </w:rPr>
              <w:t>681,794</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EVP and General Counsel</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46,995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gridSpan w:val="2"/>
          </w:tcPr>
          <w:p>
            <w:pPr>
              <w:spacing w:after="0" w:line="192" w:lineRule="exact"/>
              <w:rPr>
                <w:sz w:val="20"/>
                <w:szCs w:val="20"/>
                <w:color w:val="auto"/>
              </w:rPr>
            </w:pPr>
            <w:r>
              <w:rPr>
                <w:rFonts w:ascii="Arial" w:cs="Arial" w:eastAsia="Arial" w:hAnsi="Arial"/>
                <w:sz w:val="14"/>
                <w:szCs w:val="14"/>
                <w:color w:val="auto"/>
              </w:rPr>
              <w:t>Bryan Giraudo</w:t>
            </w:r>
            <w:r>
              <w:rPr>
                <w:rFonts w:ascii="Arial" w:cs="Arial" w:eastAsia="Arial" w:hAnsi="Arial"/>
                <w:sz w:val="22"/>
                <w:szCs w:val="22"/>
                <w:color w:val="auto"/>
                <w:vertAlign w:val="superscript"/>
              </w:rPr>
              <w:t>(4)</w:t>
            </w:r>
          </w:p>
        </w:tc>
        <w:tc>
          <w:tcPr>
            <w:tcW w:w="620" w:type="dxa"/>
            <w:vAlign w:val="bottom"/>
            <w:gridSpan w:val="3"/>
          </w:tcPr>
          <w:p>
            <w:pPr>
              <w:ind w:left="180"/>
              <w:spacing w:after="0"/>
              <w:rPr>
                <w:sz w:val="20"/>
                <w:szCs w:val="20"/>
                <w:color w:val="auto"/>
              </w:rPr>
            </w:pPr>
            <w:r>
              <w:rPr>
                <w:rFonts w:ascii="Arial" w:cs="Arial" w:eastAsia="Arial" w:hAnsi="Arial"/>
                <w:sz w:val="16"/>
                <w:szCs w:val="16"/>
                <w:color w:val="auto"/>
              </w:rPr>
              <w:t>2018</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260,605</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1,799,690</w:t>
            </w:r>
          </w:p>
        </w:tc>
        <w:tc>
          <w:tcPr>
            <w:tcW w:w="100" w:type="dxa"/>
            <w:vAlign w:val="bottom"/>
          </w:tcPr>
          <w:p>
            <w:pPr>
              <w:spacing w:after="0"/>
              <w:rPr>
                <w:sz w:val="16"/>
                <w:szCs w:val="16"/>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7"/>
              <w:spacing w:after="0" w:line="192" w:lineRule="exact"/>
              <w:rPr>
                <w:sz w:val="20"/>
                <w:szCs w:val="20"/>
                <w:color w:val="auto"/>
              </w:rPr>
            </w:pPr>
            <w:r>
              <w:rPr>
                <w:rFonts w:ascii="Arial" w:cs="Arial" w:eastAsia="Arial" w:hAnsi="Arial"/>
                <w:sz w:val="14"/>
                <w:szCs w:val="14"/>
                <w:color w:val="auto"/>
              </w:rPr>
              <w:t>2,060,295</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8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Financial Officer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Jakob Dupont, M.D.</w:t>
            </w:r>
            <w:r>
              <w:rPr>
                <w:rFonts w:ascii="Arial" w:cs="Arial" w:eastAsia="Arial" w:hAnsi="Arial"/>
                <w:sz w:val="24"/>
                <w:szCs w:val="24"/>
                <w:color w:val="auto"/>
                <w:vertAlign w:val="superscript"/>
              </w:rPr>
              <w:t>(5)</w:t>
            </w: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20,167</w:t>
            </w:r>
          </w:p>
        </w:tc>
        <w:tc>
          <w:tcPr>
            <w:tcW w:w="860" w:type="dxa"/>
            <w:vAlign w:val="bottom"/>
            <w:gridSpan w:val="3"/>
            <w:shd w:val="clear" w:color="auto" w:fill="CCEEFF"/>
          </w:tcPr>
          <w:p>
            <w:pPr>
              <w:jc w:val="right"/>
              <w:ind w:right="140"/>
              <w:spacing w:after="0" w:line="209" w:lineRule="exact"/>
              <w:rPr>
                <w:sz w:val="20"/>
                <w:szCs w:val="20"/>
                <w:color w:val="auto"/>
              </w:rPr>
            </w:pPr>
            <w:r>
              <w:rPr>
                <w:rFonts w:ascii="Arial" w:cs="Arial" w:eastAsia="Arial" w:hAnsi="Arial"/>
                <w:sz w:val="15"/>
                <w:szCs w:val="15"/>
                <w:color w:val="auto"/>
              </w:rPr>
              <w:t>85,000</w:t>
            </w:r>
            <w:r>
              <w:rPr>
                <w:rFonts w:ascii="Arial" w:cs="Arial" w:eastAsia="Arial" w:hAnsi="Arial"/>
                <w:sz w:val="24"/>
                <w:szCs w:val="24"/>
                <w:color w:val="auto"/>
                <w:vertAlign w:val="superscript"/>
              </w:rPr>
              <w:t>(6)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3,422,122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240"/>
              <w:spacing w:after="0" w:line="209" w:lineRule="exact"/>
              <w:rPr>
                <w:sz w:val="20"/>
                <w:szCs w:val="20"/>
                <w:color w:val="auto"/>
              </w:rPr>
            </w:pPr>
            <w:r>
              <w:rPr>
                <w:rFonts w:ascii="Arial" w:cs="Arial" w:eastAsia="Arial" w:hAnsi="Arial"/>
                <w:sz w:val="15"/>
                <w:szCs w:val="15"/>
                <w:color w:val="auto"/>
              </w:rPr>
              <w:t>3,165</w:t>
            </w:r>
            <w:r>
              <w:rPr>
                <w:rFonts w:ascii="Arial" w:cs="Arial" w:eastAsia="Arial" w:hAnsi="Arial"/>
                <w:sz w:val="24"/>
                <w:szCs w:val="24"/>
                <w:color w:val="auto"/>
                <w:vertAlign w:val="superscript"/>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3,530,454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-128270</wp:posOffset>
            </wp:positionV>
            <wp:extent cx="6997700"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4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520" w:right="20" w:hanging="316"/>
        <w:spacing w:after="0" w:line="264" w:lineRule="auto"/>
        <w:tabs>
          <w:tab w:leader="none" w:pos="5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This column reflects the grant date fair value of the restricted stock and option awards granted to the named executive officers in the applicable fiscal year. In accordance with SEC rules, this column reflects the aggregate fair value of the stock award granted to Mr. Waage during 2017 computed as of its grant date in accordance with Financial Accounting Standards, Standard Board Accounting Codification Topic 718 for stock-based compensation transactions (ASC 718). Assumptions used in the calculation of this amount is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200"/>
        <w:spacing w:after="0" w:line="230" w:lineRule="auto"/>
        <w:rPr>
          <w:sz w:val="20"/>
          <w:szCs w:val="20"/>
          <w:color w:val="auto"/>
        </w:rPr>
      </w:pPr>
      <w:r>
        <w:rPr>
          <w:rFonts w:ascii="Arial" w:cs="Arial" w:eastAsia="Arial" w:hAnsi="Arial"/>
          <w:sz w:val="14"/>
          <w:szCs w:val="14"/>
          <w:color w:val="auto"/>
        </w:rPr>
        <w:t>included in Note 9 to our consolidated financial statements appearing elsewhere in this prospectus. This amount does not reflect the actual economic value that will be realized by the named executive officers upon the vesting or exercise of the awards or the sale of the common stock underlying such awards.</w:t>
      </w:r>
    </w:p>
    <w:p>
      <w:pPr>
        <w:ind w:left="520" w:hanging="316"/>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Bonuses for 2018 have not yet been determined and we expect that they will be determined by our board of directors or the compensation committee in the first quarter of 2019.</w:t>
      </w:r>
    </w:p>
    <w:p>
      <w:pPr>
        <w:ind w:left="520" w:hanging="316"/>
        <w:spacing w:after="0" w:line="22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Does not include the bonus payable to the named executive officer for 2018, which has not yet been determined.</w:t>
      </w:r>
    </w:p>
    <w:p>
      <w:pPr>
        <w:ind w:left="520" w:hanging="316"/>
        <w:spacing w:after="0" w:line="22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Giraudo commenced employment as our Chief Financial Officer on May 7, 2018.</w:t>
      </w:r>
    </w:p>
    <w:p>
      <w:pPr>
        <w:ind w:left="520" w:hanging="316"/>
        <w:spacing w:after="0" w:line="22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Dr. Dupont commenced employment as our Chief Medical Officer on December 14, 2018.</w:t>
      </w:r>
    </w:p>
    <w:p>
      <w:pPr>
        <w:ind w:left="520" w:hanging="316"/>
        <w:spacing w:after="0" w:line="22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Bonus for 2018 represents a sign-on bonus.</w:t>
      </w:r>
    </w:p>
    <w:p>
      <w:pPr>
        <w:ind w:left="520" w:hanging="316"/>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other compensation for 2018 includes a commuting allowance of $2,400 and a tax gross up payment of $765.</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Compensation Tables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ind w:left="200" w:right="140" w:firstLine="771"/>
        <w:spacing w:after="0" w:line="342" w:lineRule="auto"/>
        <w:rPr>
          <w:sz w:val="20"/>
          <w:szCs w:val="20"/>
          <w:color w:val="auto"/>
        </w:rPr>
      </w:pPr>
      <w:r>
        <w:rPr>
          <w:rFonts w:ascii="Arial" w:cs="Arial" w:eastAsia="Arial" w:hAnsi="Arial"/>
          <w:sz w:val="16"/>
          <w:szCs w:val="16"/>
          <w:color w:val="auto"/>
        </w:rPr>
        <w:t>The compensation of our executive officers is generally determined and approved at the time of their commencement of employment by our board of directors or the compensation committee. As noted above, none of our named executive officers received any cash compensation for 2017.</w:t>
      </w:r>
    </w:p>
    <w:p>
      <w:pPr>
        <w:spacing w:after="0" w:line="124" w:lineRule="exact"/>
        <w:rPr>
          <w:sz w:val="20"/>
          <w:szCs w:val="20"/>
          <w:color w:val="auto"/>
        </w:rPr>
      </w:pPr>
    </w:p>
    <w:p>
      <w:pPr>
        <w:ind w:left="200" w:right="220" w:firstLine="771"/>
        <w:spacing w:after="0" w:line="279" w:lineRule="auto"/>
        <w:rPr>
          <w:sz w:val="20"/>
          <w:szCs w:val="20"/>
          <w:color w:val="auto"/>
        </w:rPr>
      </w:pPr>
      <w:r>
        <w:rPr>
          <w:rFonts w:ascii="Arial" w:cs="Arial" w:eastAsia="Arial" w:hAnsi="Arial"/>
          <w:sz w:val="17"/>
          <w:szCs w:val="17"/>
          <w:color w:val="auto"/>
        </w:rPr>
        <w:t>In connection with the closing of our Series A preferred stock financing in January 2018, our board of directors established the initial base salaries for each of our named executive officers as follows: Dr. Gujrathi, $475,000, Mr. Hasnain, $475,000, and Mr. Waage, $370,000. In connection with their commencement of employment in May, August and December 2018, respectively, the base salaries for Mr. Giraudo, Dr. Salter-Cid and Dr. Dupont were set at $400,000, $350,000 and $440,000, respectively, by our board of directors.</w:t>
      </w:r>
    </w:p>
    <w:p>
      <w:pPr>
        <w:spacing w:after="0" w:line="171" w:lineRule="exact"/>
        <w:rPr>
          <w:sz w:val="20"/>
          <w:szCs w:val="20"/>
          <w:color w:val="auto"/>
        </w:rPr>
      </w:pPr>
    </w:p>
    <w:p>
      <w:pPr>
        <w:jc w:val="both"/>
        <w:ind w:left="200" w:right="280" w:firstLine="771"/>
        <w:spacing w:after="0" w:line="264" w:lineRule="auto"/>
        <w:rPr>
          <w:sz w:val="20"/>
          <w:szCs w:val="20"/>
          <w:color w:val="auto"/>
        </w:rPr>
      </w:pPr>
      <w:r>
        <w:rPr>
          <w:rFonts w:ascii="Arial" w:cs="Arial" w:eastAsia="Arial" w:hAnsi="Arial"/>
          <w:sz w:val="18"/>
          <w:szCs w:val="18"/>
          <w:color w:val="auto"/>
        </w:rPr>
        <w:t>In December 2018, our board of directors, acting on the recommendation of our compensation committee, approved increases to the base salaries for each of Dr. Gujrathi, Mr. Waage and Dr. Salter-Cid to $520,000, $390,000 and $380,000, respectively, with such increases to be effective upon completion of this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225"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From time to time our board of directors or compensation committee may approve bonuses for our named executive officers based on individual performance, company performance or as otherwise determined appropriate. No formal bonus plan was in effect during 2017 and none of our named executive officers received a bonus in 2017.</w:t>
      </w:r>
    </w:p>
    <w:p>
      <w:pPr>
        <w:spacing w:after="0" w:line="181"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For 2018, each named executive officer (other than Dr. Dupont) may be eligible for a performance bonus based upon the achievement of certain corporate performance goals and objectives approved by our board of directors. The employment letters with each of our executive officers set forth their target annual bonus levels, which are currently as follows: 50% of base salary for Dr. Gujrathi and Mr. Hasnain and 40% of base salary for Messrs. Waage and Giraudo and Dr. Salter-Cid.</w:t>
      </w:r>
    </w:p>
    <w:p>
      <w:pPr>
        <w:spacing w:after="0" w:line="187" w:lineRule="exact"/>
        <w:rPr>
          <w:sz w:val="20"/>
          <w:szCs w:val="20"/>
          <w:color w:val="auto"/>
        </w:rPr>
      </w:pPr>
    </w:p>
    <w:p>
      <w:pPr>
        <w:ind w:left="200" w:firstLine="771"/>
        <w:spacing w:after="0" w:line="312" w:lineRule="auto"/>
        <w:rPr>
          <w:sz w:val="20"/>
          <w:szCs w:val="20"/>
          <w:color w:val="auto"/>
        </w:rPr>
      </w:pPr>
      <w:r>
        <w:rPr>
          <w:rFonts w:ascii="Arial" w:cs="Arial" w:eastAsia="Arial" w:hAnsi="Arial"/>
          <w:sz w:val="16"/>
          <w:szCs w:val="16"/>
          <w:color w:val="auto"/>
        </w:rPr>
        <w:t>For 2018, no formal bonus plan has been adopted by our board of directors and any bonuses payable to our executive officers will be determined in the board’s discretion based on the company’s performance and individual executive performance during the year. Bonuses for 2018 have not yet been determined and we expect that they will be determined by our board of directors or the compensation committee in the first quarter of 2019.</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225" w:lineRule="exact"/>
        <w:rPr>
          <w:sz w:val="20"/>
          <w:szCs w:val="20"/>
          <w:color w:val="auto"/>
        </w:rPr>
      </w:pPr>
    </w:p>
    <w:p>
      <w:pPr>
        <w:ind w:left="200" w:right="220" w:firstLine="771"/>
        <w:spacing w:after="0" w:line="342" w:lineRule="auto"/>
        <w:rPr>
          <w:sz w:val="20"/>
          <w:szCs w:val="20"/>
          <w:color w:val="auto"/>
        </w:rPr>
      </w:pPr>
      <w:r>
        <w:rPr>
          <w:rFonts w:ascii="Arial" w:cs="Arial" w:eastAsia="Arial" w:hAnsi="Arial"/>
          <w:sz w:val="16"/>
          <w:szCs w:val="16"/>
          <w:color w:val="auto"/>
        </w:rPr>
        <w:t>Our equity-based incentive awards are designed to align our interests and the interests of our stockholders with those of our employees and consultants, including our named executive officers. Our board of directors or the compensation committee approves equity grants.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771"/>
        <w:spacing w:after="0" w:line="257" w:lineRule="auto"/>
        <w:rPr>
          <w:sz w:val="20"/>
          <w:szCs w:val="20"/>
          <w:color w:val="auto"/>
        </w:rPr>
      </w:pPr>
      <w:r>
        <w:rPr>
          <w:rFonts w:ascii="Arial" w:cs="Arial" w:eastAsia="Arial" w:hAnsi="Arial"/>
          <w:sz w:val="18"/>
          <w:szCs w:val="18"/>
          <w:color w:val="auto"/>
        </w:rPr>
        <w:t>Prior to the completion of our Series A preferred stock financing in January 2018, we issued restricted stock to certain of our executive officers and consultants. Following the adoption of our 2017 equity incentive plan, or the 2017 Plan, we have generally granted equity awards pursuant to the 2017 Plan (other than awards to Dr. Gujrathi and Mr. Hasnain, which have not been granted under the 2017 Plan, as described below). Following this offering, we will grant equity incentive awards under the terms of our 2019 equity incentive plan, or the 2019 Plan. The terms of our equity plans are described below under “—Incentive Award Plans.”</w:t>
      </w:r>
    </w:p>
    <w:p>
      <w:pPr>
        <w:spacing w:after="0" w:line="188" w:lineRule="exact"/>
        <w:rPr>
          <w:sz w:val="20"/>
          <w:szCs w:val="20"/>
          <w:color w:val="auto"/>
        </w:rPr>
      </w:pPr>
    </w:p>
    <w:p>
      <w:pPr>
        <w:ind w:left="200" w:right="240" w:firstLine="771"/>
        <w:spacing w:after="0" w:line="271" w:lineRule="auto"/>
        <w:rPr>
          <w:sz w:val="20"/>
          <w:szCs w:val="20"/>
          <w:color w:val="auto"/>
        </w:rPr>
      </w:pPr>
      <w:r>
        <w:rPr>
          <w:rFonts w:ascii="Arial" w:cs="Arial" w:eastAsia="Arial" w:hAnsi="Arial"/>
          <w:sz w:val="17"/>
          <w:szCs w:val="17"/>
          <w:color w:val="auto"/>
        </w:rPr>
        <w:t>Since January 2018, we have used stock options as the primary incentive for long-term compensation to our employees, directors and consultants because they are able to profit from stock options only if our stock price increases relative to the stock option’s exercise price, which exercise price is set at the fair market value of our common stock at the date of grant. We may grant equity awards at such times as our board of directors determines appropriate. With the exception of our named executive officers, each of whom received awards of restricted stock prior to our Series A preferred stock financing in connection with the formation of our company or in consideration of services to our company prior to such financing, our executives generally are awarded an initial grant in the form of a stock option in connection with their commencement of employment. Additional grants may occur periodically in order to specifically incentivize executives with respect to achieving certain corporate goals or to reward executives for exceptional performance.</w:t>
      </w:r>
    </w:p>
    <w:p>
      <w:pPr>
        <w:spacing w:after="0" w:line="179" w:lineRule="exact"/>
        <w:rPr>
          <w:sz w:val="20"/>
          <w:szCs w:val="20"/>
          <w:color w:val="auto"/>
        </w:rPr>
      </w:pPr>
    </w:p>
    <w:p>
      <w:pPr>
        <w:ind w:left="200" w:right="140" w:firstLine="771"/>
        <w:spacing w:after="0" w:line="259" w:lineRule="auto"/>
        <w:rPr>
          <w:sz w:val="20"/>
          <w:szCs w:val="20"/>
          <w:color w:val="auto"/>
        </w:rPr>
      </w:pPr>
      <w:r>
        <w:rPr>
          <w:rFonts w:ascii="Arial" w:cs="Arial" w:eastAsia="Arial" w:hAnsi="Arial"/>
          <w:sz w:val="18"/>
          <w:szCs w:val="18"/>
          <w:color w:val="auto"/>
        </w:rPr>
        <w:t>We granted restricted stock awards to Dr. Gujrathi and Mr. Hasnain in connection with the formation of our company and pursuant to their employment letters, all of which awards were granted on a stand-alone basis and not under our 2017 Plan. For a description of such restricted stock awards, please see “—Employment Letters with our Named Executive Officers.” No equity awards were granted to Dr. Gujrathi or Mr. Hasnain during 2017.</w:t>
      </w:r>
    </w:p>
    <w:p>
      <w:pPr>
        <w:spacing w:after="0" w:line="187" w:lineRule="exact"/>
        <w:rPr>
          <w:sz w:val="20"/>
          <w:szCs w:val="20"/>
          <w:color w:val="auto"/>
        </w:rPr>
      </w:pPr>
    </w:p>
    <w:p>
      <w:pPr>
        <w:jc w:val="both"/>
        <w:ind w:left="200" w:right="320" w:firstLine="771"/>
        <w:spacing w:after="0" w:line="286" w:lineRule="auto"/>
        <w:rPr>
          <w:sz w:val="20"/>
          <w:szCs w:val="20"/>
          <w:color w:val="auto"/>
        </w:rPr>
      </w:pPr>
      <w:r>
        <w:rPr>
          <w:rFonts w:ascii="Arial" w:cs="Arial" w:eastAsia="Arial" w:hAnsi="Arial"/>
          <w:sz w:val="17"/>
          <w:szCs w:val="17"/>
          <w:color w:val="auto"/>
        </w:rPr>
        <w:t>Mr. Waage was granted 2,349,768 shares of restricted common stock on November 18, 2017 under the 2017 Plan, with such stock vesting over a period of four years from the grant date, with 25% of the restricted shares vesting on the first anniversary of the grant date, and the remainder vesting in equal monthly installments over the three years thereafter, subject to continuous service through each vesting date.</w:t>
      </w:r>
    </w:p>
    <w:p>
      <w:pPr>
        <w:spacing w:after="0" w:line="166" w:lineRule="exact"/>
        <w:rPr>
          <w:sz w:val="20"/>
          <w:szCs w:val="20"/>
          <w:color w:val="auto"/>
        </w:rPr>
      </w:pPr>
    </w:p>
    <w:p>
      <w:pPr>
        <w:ind w:left="200" w:right="100" w:firstLine="771"/>
        <w:spacing w:after="0" w:line="302" w:lineRule="auto"/>
        <w:rPr>
          <w:sz w:val="20"/>
          <w:szCs w:val="20"/>
          <w:color w:val="auto"/>
        </w:rPr>
      </w:pPr>
      <w:r>
        <w:rPr>
          <w:rFonts w:ascii="Arial" w:cs="Arial" w:eastAsia="Arial" w:hAnsi="Arial"/>
          <w:sz w:val="16"/>
          <w:szCs w:val="16"/>
          <w:color w:val="auto"/>
        </w:rPr>
        <w:t>On May 21, 2018, in connection with his commencement of employment, we granted Mr. Giraudo an option to purchase 1,825,500 shares of our common stock under the 2017 Plan. The option vests over a period of four years from May 7, 2018 (his employment commencement date), with 25% of the option vesting on the first anniversary of such date, and the remainder vesting in equal monthly installments over the three years thereafter. The option has an exercise price per share of $0.58, which was the fair market value at the time of grant.</w:t>
      </w:r>
    </w:p>
    <w:p>
      <w:pPr>
        <w:spacing w:after="0" w:line="154"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On December 10, 2018, we granted Mr. Giraudo, Mr. Waage and Dr. Salter-Cid options to purchase 700,000, 200,000 and 1,000,000 shares of our common stock, respectively, under the 2017 Plan. The options vest over a period of four years from December 7, 2018, with 25% of the option vesting on the first anniversary of such date, and the remainder vesting in equal monthly installments over the three years thereafter. The options have an exercise price per share of $2.38, which was the fair market value at the time of grant.</w:t>
      </w:r>
    </w:p>
    <w:p>
      <w:pPr>
        <w:spacing w:after="0" w:line="187" w:lineRule="exact"/>
        <w:rPr>
          <w:sz w:val="20"/>
          <w:szCs w:val="20"/>
          <w:color w:val="auto"/>
        </w:rPr>
      </w:pPr>
    </w:p>
    <w:p>
      <w:pPr>
        <w:ind w:left="200" w:right="40" w:firstLine="771"/>
        <w:spacing w:after="0" w:line="302" w:lineRule="auto"/>
        <w:rPr>
          <w:sz w:val="20"/>
          <w:szCs w:val="20"/>
          <w:color w:val="auto"/>
        </w:rPr>
      </w:pPr>
      <w:r>
        <w:rPr>
          <w:rFonts w:ascii="Arial" w:cs="Arial" w:eastAsia="Arial" w:hAnsi="Arial"/>
          <w:sz w:val="16"/>
          <w:szCs w:val="16"/>
          <w:color w:val="auto"/>
        </w:rPr>
        <w:t>On December 14, 2018, in connection with his commencement of employment, we granted Dr. Dupont an option to purchase 2,165,900 shares of our common stock under the 2017 Plan. The option vests over a period of four years from December 14, 2018 (his employment commencement date), with 25% of the option vesting on the first anniversary of such date, and the remainder vesting in equal monthly installments over the three years thereafter. The option has an exercise price per share of $2.38, which was the fair market value at the time of grant.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Letters with our Named Executive Officers</w:t>
      </w:r>
    </w:p>
    <w:p>
      <w:pPr>
        <w:spacing w:after="0" w:line="229" w:lineRule="exact"/>
        <w:rPr>
          <w:sz w:val="20"/>
          <w:szCs w:val="20"/>
          <w:color w:val="auto"/>
        </w:rPr>
      </w:pPr>
    </w:p>
    <w:p>
      <w:pPr>
        <w:ind w:left="200" w:right="120" w:firstLine="771"/>
        <w:spacing w:after="0" w:line="308" w:lineRule="auto"/>
        <w:rPr>
          <w:sz w:val="20"/>
          <w:szCs w:val="20"/>
          <w:color w:val="auto"/>
        </w:rPr>
      </w:pPr>
      <w:r>
        <w:rPr>
          <w:rFonts w:ascii="Arial" w:cs="Arial" w:eastAsia="Arial" w:hAnsi="Arial"/>
          <w:sz w:val="17"/>
          <w:szCs w:val="17"/>
          <w:color w:val="auto"/>
        </w:rPr>
        <w:t>In 2017, none of our executive officers were parties to employment agreements or other similar arrangements with us. Each of our executive officers’ employment is “at will” and may be terminated at any time, subject to our contractual obligations to them as described below.</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Letters with Dr. Gujrathi and Mr. Hasnain</w:t>
      </w:r>
    </w:p>
    <w:p>
      <w:pPr>
        <w:spacing w:after="0" w:line="225" w:lineRule="exact"/>
        <w:rPr>
          <w:sz w:val="20"/>
          <w:szCs w:val="20"/>
          <w:color w:val="auto"/>
        </w:rPr>
      </w:pPr>
    </w:p>
    <w:p>
      <w:pPr>
        <w:ind w:left="200" w:right="900" w:firstLine="771"/>
        <w:spacing w:after="0" w:line="277" w:lineRule="auto"/>
        <w:rPr>
          <w:sz w:val="20"/>
          <w:szCs w:val="20"/>
          <w:color w:val="auto"/>
        </w:rPr>
      </w:pPr>
      <w:r>
        <w:rPr>
          <w:rFonts w:ascii="Arial" w:cs="Arial" w:eastAsia="Arial" w:hAnsi="Arial"/>
          <w:sz w:val="18"/>
          <w:szCs w:val="18"/>
          <w:color w:val="auto"/>
        </w:rPr>
        <w:t>We entered into employment letters with each of Dr. Gujrathi and Mr. Hasnain on January 4, 2018, setting forth the terms of their employment.</w:t>
      </w:r>
    </w:p>
    <w:p>
      <w:pPr>
        <w:spacing w:after="0" w:line="170"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Pursuant to her employment letter, Dr. Gujrathi served as our President and Chief Operating Officer through July 23, 2018, at which time she was appointed as our President and Chief Executive Officer. She receives an annual base salary of $475,000 and is eligible to receive an annual bonus with a target amount equal to 50% of her then-current annual base salary. Effective upon the consummation of this offering, Dr. Gujrathi’s base salary will be increased to $520,000.</w:t>
      </w:r>
    </w:p>
    <w:p>
      <w:pPr>
        <w:spacing w:after="0" w:line="187"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Pursuant to his employment letter, Mr. Hasnain served as our Chief Executive Officer through July 23, 2018, at which time he became our Executive Chairman. He receives an annual base salary of $475,000 and is eligible to receive an annual bonus with a target amount equal to 50% of his then-current annual base salary.</w:t>
      </w:r>
    </w:p>
    <w:p>
      <w:pPr>
        <w:spacing w:after="0" w:line="181" w:lineRule="exact"/>
        <w:rPr>
          <w:sz w:val="20"/>
          <w:szCs w:val="20"/>
          <w:color w:val="auto"/>
        </w:rPr>
      </w:pPr>
    </w:p>
    <w:p>
      <w:pPr>
        <w:ind w:left="200" w:firstLine="771"/>
        <w:spacing w:after="0" w:line="276" w:lineRule="auto"/>
        <w:rPr>
          <w:sz w:val="20"/>
          <w:szCs w:val="20"/>
          <w:color w:val="auto"/>
        </w:rPr>
      </w:pPr>
      <w:r>
        <w:rPr>
          <w:rFonts w:ascii="Arial" w:cs="Arial" w:eastAsia="Arial" w:hAnsi="Arial"/>
          <w:sz w:val="17"/>
          <w:szCs w:val="17"/>
          <w:color w:val="auto"/>
        </w:rPr>
        <w:t>In December 2015, each of Dr. Gujrathi and Mr. Hasnain were each issued 20,612,000 shares in connection with the formation of our company, which we refer to as the Founders’ Equity. Pursuant to their employment letters, each of Dr. Gujrathi and Mr. Hasnain agreed that 50% of the Founders’ Equity would be subject to new vesting terms, or the Restricted Founders’ Equity, and would vest over a period of five years from the date of the closing of our Series A preferred stock financing, with 20% of the Restricted Founders’ Equity vesting on January 4, 2019 and the remainder vesting in 48 equal monthly installments thereafter, subject to continued full-time employment on each vesting date.</w:t>
      </w:r>
    </w:p>
    <w:p>
      <w:pPr>
        <w:spacing w:after="0" w:line="173" w:lineRule="exact"/>
        <w:rPr>
          <w:sz w:val="20"/>
          <w:szCs w:val="20"/>
          <w:color w:val="auto"/>
        </w:rPr>
      </w:pPr>
    </w:p>
    <w:p>
      <w:pPr>
        <w:ind w:left="200" w:right="40" w:firstLine="771"/>
        <w:spacing w:after="0" w:line="253" w:lineRule="auto"/>
        <w:rPr>
          <w:sz w:val="20"/>
          <w:szCs w:val="20"/>
          <w:color w:val="auto"/>
        </w:rPr>
      </w:pPr>
      <w:r>
        <w:rPr>
          <w:rFonts w:ascii="Arial" w:cs="Arial" w:eastAsia="Arial" w:hAnsi="Arial"/>
          <w:sz w:val="18"/>
          <w:szCs w:val="18"/>
          <w:color w:val="auto"/>
        </w:rPr>
        <w:t>The employment letters also provided for certain potential additional issuances of our common stock to each of Dr. Gujrathi and Mr. Hasnain to ensure the total number of shares of common stock held by them and their affiliates (inclusive of any shares subject to equity awards granted by us and the Founders’ Equity) would represent 15% of our fully-diluted capitalization until such time as we raised $300 million in equity capital, including the capital raised in the Series A financing. In furtherance of this obligation: (1) on May 21, 2018, we issued 1,131,962 shares of common stock to each of Dr. Gujrathi and Mr. Hasnain; and (2) on September 6, 2018, we issued 8,077,604 shares of common stock to each of Dr. Gujrathi and Mr. Hasnain, or the Anti-Dilution Shares. Fifty percent of the Anti-Dilution Shares are fully vested and the remaining 50% of the Anti-Dilution Shares, or the Restricted Anti-Dilution Shares, vest over a period of five years measured from January 4, 2018, with 20% of the Restricted Anti-Dilution Shares vesting on January 4, 2019 and the remainder vesting in 48 equal monthly installments thereafter, subject to continued full-time employment on each vesting date. Neither Dr. Gujrathi nor Mr. Hasnain are entitled to any further grants of additional anti-dilution shares pursuant to their employment letters.</w:t>
      </w:r>
    </w:p>
    <w:p>
      <w:pPr>
        <w:spacing w:after="0" w:line="195" w:lineRule="exact"/>
        <w:rPr>
          <w:sz w:val="20"/>
          <w:szCs w:val="20"/>
          <w:color w:val="auto"/>
        </w:rPr>
      </w:pPr>
    </w:p>
    <w:p>
      <w:pPr>
        <w:ind w:left="200" w:right="20" w:firstLine="771"/>
        <w:spacing w:after="0" w:line="287" w:lineRule="auto"/>
        <w:rPr>
          <w:sz w:val="20"/>
          <w:szCs w:val="20"/>
          <w:color w:val="auto"/>
        </w:rPr>
      </w:pPr>
      <w:r>
        <w:rPr>
          <w:rFonts w:ascii="Arial" w:cs="Arial" w:eastAsia="Arial" w:hAnsi="Arial"/>
          <w:sz w:val="16"/>
          <w:szCs w:val="16"/>
          <w:color w:val="auto"/>
        </w:rPr>
        <w:t>Pursuant to their employment letters, if we terminate Dr. Gujrathi’s or Mr. Hasnain’s employment other than for cause (as defined below) or Dr. Gujrathi or Mr. Hasnain terminates his or her employment for good reason (as defined below), and other than as a result of death or disability, in either case prior to a change in control (as defined below) or more than 12 months following a change in control, he or she is entitled to the following payments and benefits, subject to the timely execution and non-revocation of a general release of claims in our favor: (1) continued payment of his or her base salary at the then-current rate for 12 months, paid in accordance to our payroll practices; (2) a payment equal to his or her then current target annual bonus opportunity, pro-rated for the portion of the current calendar year in which the executive was employed, payable in a lump sum payment 60 days following the date of termination; (3) payment of the full premium for continued health plan coverage for up to 12 months following the date of termination or, if earlier, up to the date the executive becomes eligible to receive equivalent or increased health plan coverage by means of subsequent employment or self-employment; and (4) automatic acceleration of the vesting and exercisability of the executive’s unvested stock awards, including any Founders’ Equity and Anti-Dilution Shares, as to the number of stock awards that would vest over the 12-month period following the date of termination. The cash severance benefits described in clause (1) above shall be paid or commence on the first payroll period following the date</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executive’s release becomes effective and the first payment shall include all accrued amounts from the date of termination, provided that if the period during which executive may deliver the release spans two calendar years, the initial payment date shall be no earlier than January 1 of the second calendar year.</w:t>
      </w:r>
    </w:p>
    <w:p>
      <w:pPr>
        <w:spacing w:after="0" w:line="181" w:lineRule="exact"/>
        <w:rPr>
          <w:sz w:val="20"/>
          <w:szCs w:val="20"/>
          <w:color w:val="auto"/>
        </w:rPr>
      </w:pPr>
    </w:p>
    <w:p>
      <w:pPr>
        <w:ind w:left="200" w:right="60" w:firstLine="771"/>
        <w:spacing w:after="0" w:line="269" w:lineRule="auto"/>
        <w:rPr>
          <w:sz w:val="20"/>
          <w:szCs w:val="20"/>
          <w:color w:val="auto"/>
        </w:rPr>
      </w:pPr>
      <w:r>
        <w:rPr>
          <w:rFonts w:ascii="Arial" w:cs="Arial" w:eastAsia="Arial" w:hAnsi="Arial"/>
          <w:sz w:val="17"/>
          <w:szCs w:val="17"/>
          <w:color w:val="auto"/>
        </w:rPr>
        <w:t>If Dr. Gujrathi’s or Mr. Hasnain’s employment is terminated by us other than for cause or by Dr. Gujrathi or Mr. Hasnain for good reason, in each case within 12 months after a change in control, in lieu of the severance benefits described above, he or she is entitled to the following payments and benefits, subject to the timely execution and non-revocation of a general release of claims in our favor: (1) continued payment of his or her base salary at the then-current rate for 18 months, paid in accordance to our payroll practices; (2) a payment equal to his or her then current target annual bonus opportunity, pro-rated for the portion of the current calendar year in which the executive was employed, payable in a lump sum payment 60 days following the date of termination; (3) payment of the full premium for continued health plan coverage for up to 18 months following the date of termination or, if earlier, up to the date the executive becomes eligible to receive equivalent or increased health plan coverage by means of subsequent employment or self-employment; and (4) automatic full vesting and exercisability of the executive’s unvested stock awards, including the Founders’ Equity and the Anti-Dilution Shares. The cash severance benefits described in clause (1) above shall be paid or commence on the first payroll period following the date the executive’s release becomes effective and the first payment shall include all accrued amounts from the date of termination, provided that if the period during which executive may deliver the release spans two calendar years, the initial payment date shall be no earlier than January 1 of the second calendar year.</w:t>
      </w:r>
    </w:p>
    <w:p>
      <w:pPr>
        <w:spacing w:after="0" w:line="180"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In addition, in the event of Dr. Gujrathi’s or Mr. Hasnain’s termination of employment by reason of his or her death or disability, and subject to the timely execution and non-revocation of a general release of claims in our favor by the executive, then the greater of (1) 50% of the unvested portion of any equity awards then held by him or her immediately prior to such termination, including the Founders’ Equity and the Anti-Dilution Shares, and (2) the portion of such equity awards, including the Founders’ Equity and the Anti-Dilution Shares, that would have otherwise vested in the 12 month period following the date of such termination of employment, will vest and will no longer be subject to restrictions or forfeiture on the date of such termination.</w:t>
      </w:r>
    </w:p>
    <w:p>
      <w:pPr>
        <w:spacing w:after="0" w:line="193"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In the event we terminate Dr. Gujrathi’s or Mr. Hasnain’s employment for any reason, including for cause, Dr. Gujrathi or Mr. Hasnain terminates their employment without good reason, or upon their death or permanent disability, the executive is entitled to receive his or her fully earned but unpaid base salary and accrued and unused PTO through the date of termination at the rate then in effect, plus all other amounts under any compensation plan or practice to which the executive is entitled.</w:t>
      </w:r>
    </w:p>
    <w:p>
      <w:pPr>
        <w:spacing w:after="0" w:line="187" w:lineRule="exact"/>
        <w:rPr>
          <w:sz w:val="20"/>
          <w:szCs w:val="20"/>
          <w:color w:val="auto"/>
        </w:rPr>
      </w:pPr>
    </w:p>
    <w:p>
      <w:pPr>
        <w:ind w:left="200" w:right="20" w:firstLine="771"/>
        <w:spacing w:after="0" w:line="277" w:lineRule="auto"/>
        <w:rPr>
          <w:sz w:val="20"/>
          <w:szCs w:val="20"/>
          <w:color w:val="auto"/>
        </w:rPr>
      </w:pPr>
      <w:r>
        <w:rPr>
          <w:rFonts w:ascii="Arial" w:cs="Arial" w:eastAsia="Arial" w:hAnsi="Arial"/>
          <w:sz w:val="18"/>
          <w:szCs w:val="18"/>
          <w:color w:val="auto"/>
        </w:rPr>
        <w:t>Each of Dr. Gujrathi and Mr. Hasnain was reimbursed $15,000 for their attorneys’ fees in connection with the review and negotiation of their employment letters in January 2018.</w:t>
      </w:r>
    </w:p>
    <w:p>
      <w:pPr>
        <w:spacing w:after="0" w:line="170" w:lineRule="exact"/>
        <w:rPr>
          <w:sz w:val="20"/>
          <w:szCs w:val="20"/>
          <w:color w:val="auto"/>
        </w:rPr>
      </w:pPr>
    </w:p>
    <w:p>
      <w:pPr>
        <w:ind w:left="200" w:right="160" w:firstLine="771"/>
        <w:spacing w:after="0" w:line="302" w:lineRule="auto"/>
        <w:rPr>
          <w:sz w:val="20"/>
          <w:szCs w:val="20"/>
          <w:color w:val="auto"/>
        </w:rPr>
      </w:pPr>
      <w:r>
        <w:rPr>
          <w:rFonts w:ascii="Arial" w:cs="Arial" w:eastAsia="Arial" w:hAnsi="Arial"/>
          <w:sz w:val="16"/>
          <w:szCs w:val="16"/>
          <w:color w:val="auto"/>
        </w:rPr>
        <w:t>The employment letters also contain a Section 280G better-off cutback provision, which provides that, in the event that the payments or benefits provided to the executive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the executive receiving the largest amount of payments or benefits on an after-tax basis.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Letters with Other Executives</w:t>
      </w:r>
    </w:p>
    <w:p>
      <w:pPr>
        <w:spacing w:after="0" w:line="225" w:lineRule="exact"/>
        <w:rPr>
          <w:sz w:val="20"/>
          <w:szCs w:val="20"/>
          <w:color w:val="auto"/>
        </w:rPr>
      </w:pPr>
    </w:p>
    <w:p>
      <w:pPr>
        <w:ind w:left="200" w:right="220" w:firstLine="771"/>
        <w:spacing w:after="0" w:line="264" w:lineRule="auto"/>
        <w:rPr>
          <w:sz w:val="20"/>
          <w:szCs w:val="20"/>
          <w:color w:val="auto"/>
        </w:rPr>
      </w:pPr>
      <w:r>
        <w:rPr>
          <w:rFonts w:ascii="Arial" w:cs="Arial" w:eastAsia="Arial" w:hAnsi="Arial"/>
          <w:sz w:val="18"/>
          <w:szCs w:val="18"/>
          <w:color w:val="auto"/>
        </w:rPr>
        <w:t>We entered into new employment letters with each of Mr. Giraudo, Mr. Waage and Dr. Salter-Cid on December 4, 2018, setting forth the terms of their employment. In connection with his commencement of employment on December 14, 2018, we also entered into an employment letter with Dr. Dupont.</w:t>
      </w:r>
    </w:p>
    <w:p>
      <w:pPr>
        <w:spacing w:after="0" w:line="181"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Pursuant to his employment letter, Mr. Giraudo serves as our Chief Financial Officer. He receives an annual base salary of $400,000 and is eligible to receive an annual bonus with a target amount equal to 40% of his then-current annual base salary.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Pursuant to his employment letter, Mr. Waage serves as our Executive Vice President and General Counsel. He receives an annual base salary of $370,000 and is eligible to receive an annual bonus with a target amount equal to 40% of his then-current annual base salary. Effective upon consummation of this offering, Mr. Waage’s base salary will be increased to $390,000.</w:t>
      </w:r>
    </w:p>
    <w:p>
      <w:pPr>
        <w:spacing w:after="0" w:line="181"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Pursuant to her employment letter, Dr. Salter-Cid serves as our Chief Scientific Officer. She receives an annual base salary of $350,000 and is eligible to receive an annual bonus with a target amount equal to 40% of her then-current annual base salary. Effective upon consummation of this offering, Dr. Salter-Cid’s base salary will be increased to $380,000.</w:t>
      </w:r>
    </w:p>
    <w:p>
      <w:pPr>
        <w:spacing w:after="0" w:line="181" w:lineRule="exact"/>
        <w:rPr>
          <w:sz w:val="20"/>
          <w:szCs w:val="20"/>
          <w:color w:val="auto"/>
        </w:rPr>
      </w:pPr>
    </w:p>
    <w:p>
      <w:pPr>
        <w:ind w:left="200" w:right="120" w:firstLine="771"/>
        <w:spacing w:after="0" w:line="288" w:lineRule="auto"/>
        <w:rPr>
          <w:sz w:val="20"/>
          <w:szCs w:val="20"/>
          <w:color w:val="auto"/>
        </w:rPr>
      </w:pPr>
      <w:r>
        <w:rPr>
          <w:rFonts w:ascii="Arial" w:cs="Arial" w:eastAsia="Arial" w:hAnsi="Arial"/>
          <w:sz w:val="16"/>
          <w:szCs w:val="16"/>
          <w:color w:val="auto"/>
        </w:rPr>
        <w:t>Pursuant to his employment letter, Dr. Dupont serves as our Chief Medical Officer. He receives an annual base salary of $440,000 and, commencing in 2019, is eligible to receive an annual bonus with a target amount equal to 40% of his then-current annual base salary. Pursuant to his employment letter, Dr. Dupont will also be eligible to receive a sign-on bonus of $170,000, payable in two installments, with the first half paid within ten days of his commencement of employment and the remainder paid six months following his commencement of employment. Dr. Dupont will be required to repay his sign-on bonus in the event he resigns without good reason (as defined below) or he is terminated for cause (as defined below), in either event within the first year of his employment. Dr. Dupont is also eligible for a monthly commuting allowance of up to $4,800 (grossed-up for taxes) for up to the first two years of his employment. Dr. Dupont will also be eligible to receive up to $150,000 (grossed-up for taxes) in relocation assistance in connection with his relocation to the San Diego, California area by the second anniversary of his commencement of employment. Dr. Dupont will be required to repay his relocation benefits in the event he resigns without good reason (as defined below) or he is terminated for cause (as defined below), in either event within two years of the conclusion of his relocation.</w:t>
      </w:r>
    </w:p>
    <w:p>
      <w:pPr>
        <w:spacing w:after="0" w:line="169"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Pursuant to their employment letters, if we terminate the executive’s employment other than for cause (as defined below) or if the executive terminates his or her employment for good reason (as defined below), and other than as a result of death or disability, in either case prior to a change in control (as defined below) or more than 12 months following a change in control, he or she is entitled to the following payments and benefits, subject to the timely execution and non-revocation of a general release of claims in our favor: (1) continued payment of his or her base salary at the then-current rate for 9 months, paid in accordance to our payroll practices; and (2) payment of the full premium for continued health plan coverage for up to 9 months following the date of termination or, if earlier, up to the date the executive becomes eligible to receive equivalent or increased health plan coverage by means of subsequent employment or self-employment. The cash severance benefits described above shall be paid or commence on the first payroll period following the date the executive’s release becomes effective and the first payment shall include all accrued amounts from the date of termination, provided that if the period during which executive may deliver the release spans two calendar years, the initial payment date shall be no earlier than January 1 of the second calendar year.</w:t>
      </w:r>
    </w:p>
    <w:p>
      <w:pPr>
        <w:spacing w:after="0" w:line="178"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color w:val="auto"/>
        </w:rPr>
        <w:t>If the executive’s employment is terminated by us other than for cause or by the executive for good reason, in each case within 12 months after a change in control, in lieu of the severance benefits described above, he or she is entitled to the following payments and benefits, subject to the timely execution and non-revocation of a general release of claims in our favor: (1) continued payment of his or her base salary at the then-current rate for 12 months, paid in accordance to our payroll practices; (2) a payment equal to his or her then current target annual bonus opportunity; (3) payment of the full premium for continued health plan coverage for up to 12 months following the date of termination or, if earlier, up to the date the executive becomes eligible to receive equivalent or increased health plan coverage by means of subsequent employment or self-employment; and (4) automatic full vesting and exercisability of the executive’s unvested stock awards. The cash severance benefits described above shall be paid or commence on the first payroll date following the date the executive’s release becomes effective and the first payment shall include all accrued amounts from the date of termination (and the full amount payable under clause (2)), provided that if the period during which executive may deliver the release spans two calendar years, the initial payment date shall be no earlier than January 1 of the second calendar year.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771"/>
        <w:spacing w:after="0" w:line="276" w:lineRule="auto"/>
        <w:rPr>
          <w:sz w:val="20"/>
          <w:szCs w:val="20"/>
          <w:color w:val="auto"/>
        </w:rPr>
      </w:pPr>
      <w:r>
        <w:rPr>
          <w:rFonts w:ascii="Arial" w:cs="Arial" w:eastAsia="Arial" w:hAnsi="Arial"/>
          <w:sz w:val="17"/>
          <w:szCs w:val="17"/>
          <w:color w:val="auto"/>
        </w:rPr>
        <w:t>In addition, in the event of the executive’s termination of employment by reason of his or her death or disability, and subject to the timely execution and non-revocation of a general release of claims in our favor by the executive, then the greater of (1) 50% of the unvested portion of any equity awards then held by him or her immediately prior to such termination, including the Founders’ Equity and the Anti-Dilution Shares, and (2) the portion of such equity awards that would have otherwise vested in the 9 month period following the date of such termination of employment, will vest and will no longer be subject to restrictions or forfeiture on the date of such termination.</w:t>
      </w:r>
    </w:p>
    <w:p>
      <w:pPr>
        <w:spacing w:after="0" w:line="173"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In the event we terminate the executive’s employment for any reason, including for cause, the executive terminates his or her employment without good reason, or upon his or her death or permanent disability, the executive is entitled to receive his or her fully earned but unpaid base salary and accrued and unused PTO through the date of termination at the rate then in effect, plus all other amounts under any compensation plan or practice to which the executive is entitled.</w:t>
      </w:r>
    </w:p>
    <w:p>
      <w:pPr>
        <w:spacing w:after="0" w:line="187" w:lineRule="exact"/>
        <w:rPr>
          <w:sz w:val="20"/>
          <w:szCs w:val="20"/>
          <w:color w:val="auto"/>
        </w:rPr>
      </w:pPr>
    </w:p>
    <w:p>
      <w:pPr>
        <w:ind w:left="200" w:firstLine="771"/>
        <w:spacing w:after="0" w:line="302" w:lineRule="auto"/>
        <w:rPr>
          <w:sz w:val="20"/>
          <w:szCs w:val="20"/>
          <w:color w:val="auto"/>
        </w:rPr>
      </w:pPr>
      <w:r>
        <w:rPr>
          <w:rFonts w:ascii="Arial" w:cs="Arial" w:eastAsia="Arial" w:hAnsi="Arial"/>
          <w:sz w:val="16"/>
          <w:szCs w:val="16"/>
          <w:color w:val="auto"/>
        </w:rPr>
        <w:t>The employment letters also contain a Section 280G better-off cutback provision, which provides that, in the event that the payments or benefits provided to the executive pursuant to the employment letter or otherwise constitute parachute payments with the meaning of Section 280G of the Code, the payments or benefits to the executive will either be delivered in full or reduced to the extent necessary to avoid an excise tax under Section 4999 of the Code, whichever would result in the executive receiving the largest amount of payments or benefits on an after-tax basis.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Defined Terms Applicable to Executive Employment Letters</w:t>
      </w:r>
    </w:p>
    <w:p>
      <w:pPr>
        <w:spacing w:after="0" w:line="225" w:lineRule="exact"/>
        <w:rPr>
          <w:sz w:val="20"/>
          <w:szCs w:val="20"/>
          <w:color w:val="auto"/>
        </w:rPr>
      </w:pPr>
    </w:p>
    <w:p>
      <w:pPr>
        <w:ind w:left="200" w:right="60" w:firstLine="771"/>
        <w:spacing w:after="0" w:line="289" w:lineRule="auto"/>
        <w:rPr>
          <w:sz w:val="20"/>
          <w:szCs w:val="20"/>
          <w:color w:val="auto"/>
        </w:rPr>
      </w:pPr>
      <w:r>
        <w:rPr>
          <w:rFonts w:ascii="Arial" w:cs="Arial" w:eastAsia="Arial" w:hAnsi="Arial"/>
          <w:sz w:val="16"/>
          <w:szCs w:val="16"/>
          <w:color w:val="auto"/>
        </w:rPr>
        <w:t>For purposes of the executive employment letters, “cause” means (1) a willful and material act of dishonesty by the executive in connection with the performance of the executive’s duties as our employee; (2) the executive’s conviction of, or plea of guilty or nolo contendere to, a felony (other than a traffic offense that does not result in a fatality), or any crime involving fraud or embezzlement that the board reasonably determines has had or is reasonably likely to have a materially detrimental effect on our reputation or business; (3) the executive’s gross misconduct in the performance of the executive’s duties as our employee; (4) the executive’s willful and material unauthorized use or disclosure of any of our proprietary information or trade secrets or any other party to whom the executive owes an obligation of nondisclosure as a result of the executive’s relationship with us; (5) the executive’s willful and material breach of any obligations under any written agreement or written covenant with us; or (6) the executive’s continued willful and substantial failure to perform the executive’s material employment duties that are lawfully assigned to the executive in good faith by the executive’s reporting superior (other than as a result of the executive’s death or disability) after written notice.</w:t>
      </w:r>
    </w:p>
    <w:p>
      <w:pPr>
        <w:spacing w:after="0" w:line="167"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For purposes of the employment letters with Dr. Gujrathi and Mr. Hasnain, “change in control” has the same meaning given to such term in our 2017 Plan, as described below. For purposes of the employment letters with the other executives, prior to the consummation of this offering, “change in control” has the same meaning given to such term in our 2017 Plan, as described below, and following the consummation of this offering, “change in control” will have the meaning given to such term in our 2019 Plan, as described below.</w:t>
      </w:r>
    </w:p>
    <w:p>
      <w:pPr>
        <w:spacing w:after="0" w:line="171"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For purposes of the employment letters with Dr. Gujrathi and Mr. Hasnain, “disability” has the same meaning given to such term in our 2017 Plan, as described below. For purposes of the employment letters with the other executives, “disability” means a permanent and total disability within the meaning of Section 22(e)(3) of the Code, as it may be amended from time to time.</w:t>
      </w:r>
    </w:p>
    <w:p>
      <w:pPr>
        <w:spacing w:after="0" w:line="181"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For purposes of the executive employment letters, “good reason” means the occurrence of any of the following events or conditions without the executive’s written consent: (1) a material reduction in the executive’s base salary or target annual bonus; (2) a material diminution of the executive’s title, duties, responsibilities or reporting lines; (3) a material change in the principal geographic location at which the executive must perform services, more than fifty (50) miles from the our head office; or (4) a material breach by us of the terms of the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employment letter. The executive must provide written notice to us of the occurrence of any of the foregoing events or conditions within 60 days of the initial occurrence of such event and we will have a period of 30 days to cure such event or condition after receipt of such notice. An executive’s separation from service by reason of resignation for good reason must occur within 60 days following the expiration of the foregoing 30 day cure period.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granted to our named executive officers that remained outstanding as of December 31, 2017.</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9"/>
              </w:rPr>
              <w:t>Stock Awards</w:t>
            </w:r>
          </w:p>
        </w:tc>
        <w:tc>
          <w:tcPr>
            <w:tcW w:w="66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7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Units of</w:t>
            </w:r>
          </w:p>
        </w:tc>
        <w:tc>
          <w:tcPr>
            <w:tcW w:w="17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7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Have Not</w:t>
            </w:r>
          </w:p>
        </w:tc>
        <w:tc>
          <w:tcPr>
            <w:tcW w:w="17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Vested</w:t>
            </w:r>
          </w:p>
        </w:tc>
        <w:tc>
          <w:tcPr>
            <w:tcW w:w="17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Sheila Gujrathi, M.D.</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Faheem Hasnain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Christian Waage</w:t>
            </w:r>
          </w:p>
        </w:tc>
        <w:tc>
          <w:tcPr>
            <w:tcW w:w="25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2,349,768</w:t>
            </w:r>
            <w:r>
              <w:rPr>
                <w:rFonts w:ascii="Arial" w:cs="Arial" w:eastAsia="Arial" w:hAnsi="Arial"/>
                <w:sz w:val="15"/>
                <w:szCs w:val="15"/>
                <w:color w:val="auto"/>
              </w:rPr>
              <w:t>(2)</w:t>
            </w:r>
          </w:p>
        </w:tc>
        <w:tc>
          <w:tcPr>
            <w:tcW w:w="66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180" w:type="dxa"/>
            <w:vAlign w:val="bottom"/>
            <w:gridSpan w:val="2"/>
          </w:tcPr>
          <w:p>
            <w:pPr>
              <w:spacing w:after="0"/>
              <w:rPr>
                <w:sz w:val="11"/>
                <w:szCs w:val="11"/>
                <w:color w:val="auto"/>
              </w:rPr>
            </w:pPr>
          </w:p>
        </w:tc>
        <w:tc>
          <w:tcPr>
            <w:tcW w:w="42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280" w:type="dxa"/>
            <w:vAlign w:val="bottom"/>
            <w:gridSpan w:val="4"/>
          </w:tcPr>
          <w:p>
            <w:pPr>
              <w:spacing w:after="0"/>
              <w:rPr>
                <w:sz w:val="20"/>
                <w:szCs w:val="20"/>
                <w:color w:val="auto"/>
              </w:rPr>
            </w:pPr>
            <w:r>
              <w:rPr>
                <w:rFonts w:ascii="Arial" w:cs="Arial" w:eastAsia="Arial" w:hAnsi="Arial"/>
                <w:sz w:val="14"/>
                <w:szCs w:val="14"/>
                <w:color w:val="auto"/>
                <w:w w:val="98"/>
              </w:rPr>
              <w:t>(1)  Since we have not yet completed our initial public offering, the market value was computed using $</w:t>
            </w:r>
          </w:p>
        </w:tc>
        <w:tc>
          <w:tcPr>
            <w:tcW w:w="4240" w:type="dxa"/>
            <w:vAlign w:val="bottom"/>
            <w:gridSpan w:val="6"/>
          </w:tcPr>
          <w:p>
            <w:pPr>
              <w:ind w:left="220"/>
              <w:spacing w:after="0"/>
              <w:rPr>
                <w:sz w:val="20"/>
                <w:szCs w:val="20"/>
                <w:color w:val="auto"/>
              </w:rPr>
            </w:pPr>
            <w:r>
              <w:rPr>
                <w:rFonts w:ascii="Arial" w:cs="Arial" w:eastAsia="Arial" w:hAnsi="Arial"/>
                <w:sz w:val="14"/>
                <w:szCs w:val="14"/>
                <w:color w:val="auto"/>
                <w:w w:val="93"/>
              </w:rPr>
              <w:t>, which is the midpoint of the price range set forth on the cover of this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60" w:type="dxa"/>
            <w:vAlign w:val="bottom"/>
            <w:gridSpan w:val="3"/>
          </w:tcPr>
          <w:p>
            <w:pPr>
              <w:ind w:left="300"/>
              <w:spacing w:after="0"/>
              <w:rPr>
                <w:sz w:val="20"/>
                <w:szCs w:val="20"/>
                <w:color w:val="auto"/>
              </w:rPr>
            </w:pPr>
            <w:r>
              <w:rPr>
                <w:rFonts w:ascii="Arial" w:cs="Arial" w:eastAsia="Arial" w:hAnsi="Arial"/>
                <w:sz w:val="14"/>
                <w:szCs w:val="14"/>
                <w:color w:val="auto"/>
              </w:rPr>
              <w:t>prospectus.</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20" w:right="60" w:hanging="316"/>
        <w:spacing w:after="0" w:line="237"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were granted on November 18, 2017 and vest over a period of four years from the grant date, with 25% of the shares vesting on the first anniversary of the grant date, and the remainder vesting in equal monthly installments over the three years thereafter, subject to continuous service through each vesting date.</w:t>
      </w:r>
    </w:p>
    <w:p>
      <w:pPr>
        <w:spacing w:after="0" w:line="188"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granted to our named executive officers that remained outstanding as of December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3"/>
                <w:szCs w:val="13"/>
                <w:color w:val="auto"/>
              </w:rPr>
            </w:pPr>
          </w:p>
        </w:tc>
        <w:tc>
          <w:tcPr>
            <w:tcW w:w="118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2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7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Have Not</w:t>
            </w: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w:t>
            </w:r>
          </w:p>
        </w:tc>
        <w:tc>
          <w:tcPr>
            <w:tcW w:w="380" w:type="dxa"/>
            <w:vAlign w:val="bottom"/>
          </w:tcPr>
          <w:p>
            <w:pPr>
              <w:spacing w:after="0"/>
              <w:rPr>
                <w:sz w:val="15"/>
                <w:szCs w:val="15"/>
                <w:color w:val="auto"/>
              </w:rPr>
            </w:pPr>
          </w:p>
        </w:tc>
        <w:tc>
          <w:tcPr>
            <w:tcW w:w="8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Sheila Gujrathi, M.D.</w:t>
            </w:r>
          </w:p>
        </w:tc>
        <w:tc>
          <w:tcPr>
            <w:tcW w:w="1220" w:type="dxa"/>
            <w:vAlign w:val="bottom"/>
            <w:tcBorders>
              <w:top w:val="single" w:sz="8" w:color="CCEEFF"/>
            </w:tcBorders>
            <w:gridSpan w:val="3"/>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5/21/2018</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gridSpan w:val="2"/>
            <w:shd w:val="clear" w:color="auto" w:fill="CCEEFF"/>
          </w:tcPr>
          <w:p>
            <w:pPr>
              <w:jc w:val="right"/>
              <w:ind w:right="420"/>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565,981</w:t>
            </w:r>
            <w:r>
              <w:rPr>
                <w:rFonts w:ascii="Arial" w:cs="Arial" w:eastAsia="Arial" w:hAnsi="Arial"/>
                <w:sz w:val="15"/>
                <w:szCs w:val="15"/>
                <w:color w:val="auto"/>
              </w:rPr>
              <w:t>(2)</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9/6/2018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4,038,802</w:t>
            </w:r>
            <w:r>
              <w:rPr>
                <w:rFonts w:ascii="Arial" w:cs="Arial" w:eastAsia="Arial" w:hAnsi="Arial"/>
                <w:sz w:val="15"/>
                <w:szCs w:val="15"/>
                <w:color w:val="auto"/>
                <w:w w:val="95"/>
              </w:rPr>
              <w:t>(2)</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Faheem Hasnain</w:t>
            </w:r>
          </w:p>
        </w:tc>
        <w:tc>
          <w:tcPr>
            <w:tcW w:w="122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5/21/2018</w:t>
            </w:r>
          </w:p>
        </w:tc>
        <w:tc>
          <w:tcPr>
            <w:tcW w:w="14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565,981</w:t>
            </w:r>
            <w:r>
              <w:rPr>
                <w:rFonts w:ascii="Arial" w:cs="Arial" w:eastAsia="Arial" w:hAnsi="Arial"/>
                <w:sz w:val="15"/>
                <w:szCs w:val="15"/>
                <w:color w:val="auto"/>
              </w:rPr>
              <w:t>(2)</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9/6/2018</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4,038,802</w:t>
            </w:r>
            <w:r>
              <w:rPr>
                <w:rFonts w:ascii="Arial" w:cs="Arial" w:eastAsia="Arial" w:hAnsi="Arial"/>
                <w:sz w:val="15"/>
                <w:szCs w:val="15"/>
                <w:color w:val="auto"/>
                <w:w w:val="95"/>
              </w:rPr>
              <w:t>(2)</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Christian Waage</w:t>
            </w:r>
          </w:p>
        </w:tc>
        <w:tc>
          <w:tcPr>
            <w:tcW w:w="122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12/10/2018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1"/>
              </w:rPr>
              <w:t>200,000</w:t>
            </w:r>
            <w:r>
              <w:rPr>
                <w:rFonts w:ascii="Arial" w:cs="Arial" w:eastAsia="Arial" w:hAnsi="Arial"/>
                <w:sz w:val="15"/>
                <w:szCs w:val="15"/>
                <w:color w:val="auto"/>
                <w:w w:val="91"/>
              </w:rPr>
              <w:t>(3)</w:t>
            </w:r>
          </w:p>
        </w:tc>
        <w:tc>
          <w:tcPr>
            <w:tcW w:w="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85"/>
              </w:rPr>
              <w:t>2.38</w:t>
            </w:r>
          </w:p>
        </w:tc>
        <w:tc>
          <w:tcPr>
            <w:tcW w:w="11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12/10/2028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11/18/2017</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1,713,373</w:t>
            </w:r>
            <w:r>
              <w:rPr>
                <w:rFonts w:ascii="Arial" w:cs="Arial" w:eastAsia="Arial" w:hAnsi="Arial"/>
                <w:sz w:val="15"/>
                <w:szCs w:val="15"/>
                <w:color w:val="auto"/>
                <w:w w:val="95"/>
              </w:rPr>
              <w:t>(4)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Bryan Giraudo</w:t>
            </w:r>
          </w:p>
        </w:tc>
        <w:tc>
          <w:tcPr>
            <w:tcW w:w="122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12/10/2018</w:t>
            </w:r>
          </w:p>
        </w:tc>
        <w:tc>
          <w:tcPr>
            <w:tcW w:w="14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w w:val="91"/>
              </w:rPr>
              <w:t>700,000</w:t>
            </w:r>
            <w:r>
              <w:rPr>
                <w:rFonts w:ascii="Arial" w:cs="Arial" w:eastAsia="Arial" w:hAnsi="Arial"/>
                <w:sz w:val="15"/>
                <w:szCs w:val="15"/>
                <w:color w:val="auto"/>
                <w:w w:val="91"/>
              </w:rPr>
              <w:t>(3)</w:t>
            </w:r>
          </w:p>
        </w:tc>
        <w:tc>
          <w:tcPr>
            <w:tcW w:w="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tcPr>
          <w:p>
            <w:pPr>
              <w:ind w:left="120"/>
              <w:spacing w:after="0" w:line="201" w:lineRule="exact"/>
              <w:rPr>
                <w:sz w:val="20"/>
                <w:szCs w:val="20"/>
                <w:color w:val="auto"/>
              </w:rPr>
            </w:pPr>
            <w:r>
              <w:rPr>
                <w:rFonts w:ascii="Arial" w:cs="Arial" w:eastAsia="Arial" w:hAnsi="Arial"/>
                <w:sz w:val="18"/>
                <w:szCs w:val="18"/>
                <w:color w:val="auto"/>
                <w:w w:val="85"/>
              </w:rPr>
              <w:t>2.38</w:t>
            </w:r>
          </w:p>
        </w:tc>
        <w:tc>
          <w:tcPr>
            <w:tcW w:w="11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12/10/2028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5/21/2018</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1,825,500</w:t>
            </w:r>
            <w:r>
              <w:rPr>
                <w:rFonts w:ascii="Arial" w:cs="Arial" w:eastAsia="Arial" w:hAnsi="Arial"/>
                <w:sz w:val="15"/>
                <w:szCs w:val="15"/>
                <w:color w:val="auto"/>
              </w:rPr>
              <w:t>(5)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0.58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5/6/2028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Jakob Dupont, M.D.</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12/14/2018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2,165,900</w:t>
            </w:r>
            <w:r>
              <w:rPr>
                <w:rFonts w:ascii="Arial" w:cs="Arial" w:eastAsia="Arial" w:hAnsi="Arial"/>
                <w:sz w:val="15"/>
                <w:szCs w:val="15"/>
                <w:color w:val="auto"/>
              </w:rPr>
              <w:t>(6)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2.38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12/14/2028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80" w:type="dxa"/>
            <w:vAlign w:val="bottom"/>
            <w:gridSpan w:val="8"/>
          </w:tcPr>
          <w:p>
            <w:pPr>
              <w:spacing w:after="0"/>
              <w:rPr>
                <w:sz w:val="11"/>
                <w:szCs w:val="11"/>
                <w:color w:val="auto"/>
              </w:rPr>
            </w:pPr>
          </w:p>
        </w:tc>
        <w:tc>
          <w:tcPr>
            <w:tcW w:w="4960" w:type="dxa"/>
            <w:vAlign w:val="bottom"/>
            <w:gridSpan w:val="15"/>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80" w:type="dxa"/>
            <w:vAlign w:val="bottom"/>
            <w:gridSpan w:val="10"/>
          </w:tcPr>
          <w:p>
            <w:pPr>
              <w:spacing w:after="0"/>
              <w:rPr>
                <w:sz w:val="20"/>
                <w:szCs w:val="20"/>
                <w:color w:val="auto"/>
              </w:rPr>
            </w:pPr>
            <w:r>
              <w:rPr>
                <w:rFonts w:ascii="Arial" w:cs="Arial" w:eastAsia="Arial" w:hAnsi="Arial"/>
                <w:sz w:val="14"/>
                <w:szCs w:val="14"/>
                <w:color w:val="auto"/>
                <w:w w:val="95"/>
              </w:rPr>
              <w:t>(1)  Since we have not yet completed our initial public offering, the market value was computed using $</w:t>
            </w:r>
          </w:p>
        </w:tc>
        <w:tc>
          <w:tcPr>
            <w:tcW w:w="4960" w:type="dxa"/>
            <w:vAlign w:val="bottom"/>
            <w:gridSpan w:val="15"/>
          </w:tcPr>
          <w:p>
            <w:pPr>
              <w:ind w:left="420"/>
              <w:spacing w:after="0"/>
              <w:rPr>
                <w:sz w:val="20"/>
                <w:szCs w:val="20"/>
                <w:color w:val="auto"/>
              </w:rPr>
            </w:pPr>
            <w:r>
              <w:rPr>
                <w:rFonts w:ascii="Arial" w:cs="Arial" w:eastAsia="Arial" w:hAnsi="Arial"/>
                <w:sz w:val="14"/>
                <w:szCs w:val="14"/>
                <w:color w:val="auto"/>
              </w:rPr>
              <w:t>, which is the midpoint of the price range set forth on the cover of this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20" w:type="dxa"/>
            <w:vAlign w:val="bottom"/>
            <w:gridSpan w:val="2"/>
          </w:tcPr>
          <w:p>
            <w:pPr>
              <w:ind w:left="300"/>
              <w:spacing w:after="0"/>
              <w:rPr>
                <w:sz w:val="20"/>
                <w:szCs w:val="20"/>
                <w:color w:val="auto"/>
              </w:rPr>
            </w:pPr>
            <w:r>
              <w:rPr>
                <w:rFonts w:ascii="Arial" w:cs="Arial" w:eastAsia="Arial" w:hAnsi="Arial"/>
                <w:sz w:val="14"/>
                <w:szCs w:val="14"/>
                <w:color w:val="auto"/>
              </w:rPr>
              <w:t>prospectus.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20" w:right="60" w:hanging="316"/>
        <w:spacing w:after="0" w:line="221"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shares of restricted stock granted outside of our 2017 Plan. These shares vest over a period of five years measured from January 4, 2018, with 20% of the shares vesting on January 4, 2019 and the remainder vesting in 48 equal monthly installments thereafter. All vesting is subject to the individual’s continuous employment with us through the vesting dates and the potential vesting acceleration described above under “—Employment Letters with Dr. Gujrathi and Mr. Hasnain.”</w:t>
      </w:r>
    </w:p>
    <w:p>
      <w:pPr>
        <w:ind w:left="520" w:right="40" w:hanging="316"/>
        <w:spacing w:after="0" w:line="255" w:lineRule="auto"/>
        <w:tabs>
          <w:tab w:leader="none" w:pos="5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options issued under our 2017 Plan, described below under “—Incentive Award Plans.” The options vest over a period of four years from December 7, 2018, with 25% of the option vesting on the first anniversary of such date, and the remainder vesting in equal monthly installments over the three years thereafter. All vesting is subject to the individual’s continuous service with us through the vesting dates and the potential vesting acceleration described above under “—Employment Letters with Other Executives.”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20" w:hanging="316"/>
        <w:spacing w:after="0" w:line="227" w:lineRule="auto"/>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shares of restricted stock granted under our 2017 Plan, described below under “—Incentive Award Plans.” The shares vest over a period of four years from the grant date, with 25% of the shares vesting on the first anniversary of the grant date, and the remainder vesting in equal monthly installments over the three years thereafter, subject to continuous service through each vesting date.</w:t>
      </w:r>
    </w:p>
    <w:p>
      <w:pPr>
        <w:jc w:val="both"/>
        <w:ind w:left="520" w:right="340" w:hanging="316"/>
        <w:spacing w:after="0" w:line="238" w:lineRule="auto"/>
        <w:tabs>
          <w:tab w:leader="none" w:pos="5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options issued under our 2017 Plan, described below under “—Incentive Award Plans.” The options vest over a period of four years from May 7, 2018, with 25% of the option vesting on the first anniversary of such date, and the remainder vesting in equal monthly installments over the three years thereafter. All vesting is subject to the individual’s continuous service with us through the vesting dates and the potential vesting acceleration described above under “—Employment Letters with Other Executives.”</w:t>
      </w:r>
    </w:p>
    <w:p>
      <w:pPr>
        <w:ind w:left="520" w:right="120" w:hanging="316"/>
        <w:spacing w:after="0" w:line="255" w:lineRule="auto"/>
        <w:tabs>
          <w:tab w:leader="none" w:pos="5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options issued under our 2017 Plan, described below under “—Incentive Award Plans.” The options vest over a period of four years from the date of grant, with 25% of the option vesting on the first anniversary of such date, and the remainder vesting in equal monthly installments over the three years thereafter. All vesting is subject to the individual’s continuous service with us through the vesting dates and the potential vesting acceleration described above under “—Employment Letters with Other Executives.”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Outstanding Equity Awards at Fiscal Year-End Table</w:t>
      </w:r>
    </w:p>
    <w:p>
      <w:pPr>
        <w:spacing w:after="0" w:line="229"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We did not engage in any repricings or other modifications or cancellations to any of our named executive officers’ outstanding equity awards during the years ended December 31, 2017 and 2018.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Elements of Compensation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Perquisites, Health, Welfare and Retirement Benefits</w:t>
      </w:r>
    </w:p>
    <w:p>
      <w:pPr>
        <w:spacing w:after="0" w:line="225" w:lineRule="exact"/>
        <w:rPr>
          <w:sz w:val="20"/>
          <w:szCs w:val="20"/>
          <w:color w:val="auto"/>
        </w:rPr>
      </w:pPr>
    </w:p>
    <w:p>
      <w:pPr>
        <w:ind w:left="200" w:right="380" w:firstLine="771"/>
        <w:spacing w:after="0" w:line="312" w:lineRule="auto"/>
        <w:rPr>
          <w:sz w:val="20"/>
          <w:szCs w:val="20"/>
          <w:color w:val="auto"/>
        </w:rPr>
      </w:pPr>
      <w:r>
        <w:rPr>
          <w:rFonts w:ascii="Arial" w:cs="Arial" w:eastAsia="Arial" w:hAnsi="Arial"/>
          <w:sz w:val="16"/>
          <w:szCs w:val="16"/>
          <w:color w:val="auto"/>
        </w:rPr>
        <w:t>Our named executive officers are eligible to participate in our employee benefit plans, including our medical, dental, vision, group life, disability and accidental death and dismemberment insurance plans, in each case on the generally on same basis as all of our other employees. We provide a 401(k) plan to our employees, including our current named executive officers, as discussed in the section below entitled “—401(k) Plan.”</w:t>
      </w:r>
    </w:p>
    <w:p>
      <w:pPr>
        <w:spacing w:after="0" w:line="147" w:lineRule="exact"/>
        <w:rPr>
          <w:sz w:val="20"/>
          <w:szCs w:val="20"/>
          <w:color w:val="auto"/>
        </w:rPr>
      </w:pPr>
    </w:p>
    <w:p>
      <w:pPr>
        <w:ind w:left="200" w:right="240" w:firstLine="771"/>
        <w:spacing w:after="0" w:line="302" w:lineRule="auto"/>
        <w:rPr>
          <w:sz w:val="20"/>
          <w:szCs w:val="20"/>
          <w:color w:val="auto"/>
        </w:rPr>
      </w:pPr>
      <w:r>
        <w:rPr>
          <w:rFonts w:ascii="Arial" w:cs="Arial" w:eastAsia="Arial" w:hAnsi="Arial"/>
          <w:sz w:val="16"/>
          <w:szCs w:val="16"/>
          <w:color w:val="auto"/>
        </w:rPr>
        <w:t>We generally do not provide perquisites or personal benefits to our named executive officers, except in limited circumstances. We do, however, pay the premiums for term life insurance and disability insurance for all of our employees, including our executive officers. In addition, Dr. Dupont is eligible for certain relocation and commuting assistance and related tax gross-up payments pursuant to his employment letter. Our board of directors may elect to adopt qualified or non-qualified benefit plans in the future if it determines that doing so is in our best interests.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200" w:right="20" w:firstLine="771"/>
        <w:spacing w:after="0" w:line="291" w:lineRule="auto"/>
        <w:rPr>
          <w:sz w:val="20"/>
          <w:szCs w:val="20"/>
          <w:color w:val="auto"/>
        </w:rPr>
      </w:pPr>
      <w:r>
        <w:rPr>
          <w:rFonts w:ascii="Arial" w:cs="Arial" w:eastAsia="Arial" w:hAnsi="Arial"/>
          <w:sz w:val="16"/>
          <w:szCs w:val="16"/>
          <w:color w:val="auto"/>
        </w:rPr>
        <w:t>We maintain a defined contribution employee retirement plan, or 401(k) plan, for our employees. Our named executive officers are eligible to participate in the 401(k) plan on the same basis as our other employees. The 401(k) plan is intended to qualify as a tax-qualified plan under</w:t>
      </w:r>
    </w:p>
    <w:p>
      <w:pPr>
        <w:ind w:left="200" w:right="60"/>
        <w:spacing w:after="0" w:line="253" w:lineRule="auto"/>
        <w:rPr>
          <w:sz w:val="20"/>
          <w:szCs w:val="20"/>
          <w:color w:val="auto"/>
        </w:rPr>
      </w:pPr>
      <w:r>
        <w:rPr>
          <w:rFonts w:ascii="Arial" w:cs="Arial" w:eastAsia="Arial" w:hAnsi="Arial"/>
          <w:sz w:val="18"/>
          <w:szCs w:val="18"/>
          <w:color w:val="auto"/>
        </w:rPr>
        <w:t>Section 401(k) of the Code. The 401(k) plan provides that each participant may make pre-tax deferrals from his or her compensation up to the statutory limit, which is $18,500 for calendar year 2018, and other testing limits. Participants that are 50 years or older can also make “catch-up” contributions, which in calendar year 2018 may be up to an additional $6,000 above the statutory limit. Although the 401(k) plan provides for discretionary matching and profit sharing contributions, we currently do not make either type of contribution to the 401(k) plan. Participant contributions are held and invested, pursuant to the participant’s instructions, by the plan’s trustee.</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25" w:lineRule="exact"/>
        <w:rPr>
          <w:sz w:val="20"/>
          <w:szCs w:val="20"/>
          <w:color w:val="auto"/>
        </w:rPr>
      </w:pPr>
    </w:p>
    <w:p>
      <w:pPr>
        <w:jc w:val="both"/>
        <w:ind w:left="200" w:right="200" w:firstLine="771"/>
        <w:spacing w:after="0" w:line="264" w:lineRule="auto"/>
        <w:rPr>
          <w:sz w:val="20"/>
          <w:szCs w:val="20"/>
          <w:color w:val="auto"/>
        </w:rPr>
      </w:pPr>
      <w:r>
        <w:rPr>
          <w:rFonts w:ascii="Arial" w:cs="Arial" w:eastAsia="Arial" w:hAnsi="Arial"/>
          <w:sz w:val="18"/>
          <w:szCs w:val="18"/>
          <w:color w:val="auto"/>
        </w:rPr>
        <w:t>We do not maintain nonqualified defined contribution plans or other nonqualified deferred compensation plans. Our board of directors may elect to provide our officers and other employees with non-qualified defined contribution or other nonqualified deferred compensation benefits in the future if it determines that doing so is in our best interests.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225" w:lineRule="exact"/>
        <w:rPr>
          <w:sz w:val="20"/>
          <w:szCs w:val="20"/>
          <w:color w:val="auto"/>
        </w:rPr>
      </w:pPr>
    </w:p>
    <w:p>
      <w:pPr>
        <w:jc w:val="both"/>
        <w:ind w:left="200" w:right="180" w:firstLine="771"/>
        <w:spacing w:after="0" w:line="277" w:lineRule="auto"/>
        <w:rPr>
          <w:sz w:val="20"/>
          <w:szCs w:val="20"/>
          <w:color w:val="auto"/>
        </w:rPr>
      </w:pPr>
      <w:r>
        <w:rPr>
          <w:rFonts w:ascii="Arial" w:cs="Arial" w:eastAsia="Arial" w:hAnsi="Arial"/>
          <w:sz w:val="18"/>
          <w:szCs w:val="18"/>
          <w:color w:val="auto"/>
        </w:rPr>
        <w:t>Our executive officers may become entitled to certain benefits or enhanced benefits in connection with a change in control of our company. The employment letters with each of our executive officers provide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accelerated vesting of all outstanding equity awards, as well as certain other benefits, upon a qualifying termination in connection with a change in control of our company. For additional discussion, please see “—Offer Letters with our Named Executive Officers” above.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Award Plans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25" w:lineRule="exact"/>
        <w:rPr>
          <w:sz w:val="20"/>
          <w:szCs w:val="20"/>
          <w:color w:val="auto"/>
        </w:rPr>
      </w:pPr>
    </w:p>
    <w:p>
      <w:pPr>
        <w:ind w:left="200" w:right="40" w:firstLine="771"/>
        <w:spacing w:after="0" w:line="312" w:lineRule="auto"/>
        <w:rPr>
          <w:sz w:val="20"/>
          <w:szCs w:val="20"/>
          <w:color w:val="auto"/>
        </w:rPr>
      </w:pPr>
      <w:r>
        <w:rPr>
          <w:rFonts w:ascii="Arial" w:cs="Arial" w:eastAsia="Arial" w:hAnsi="Arial"/>
          <w:sz w:val="16"/>
          <w:szCs w:val="16"/>
          <w:color w:val="auto"/>
        </w:rPr>
        <w:t>Prior to this offering, we intend to adopt and ask our stockholders to approve the 2019 Plan, which would become effective in connection with this offering. Under the 2019 Plan, we may grant cash and equity incentive awards to eligible employees, directors and consultants in order to attract, motivate and retain the talent for which we compete. The material terms of the 2019 Plan, as it is currently contemplated, are summarized below.</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Eligibility and Administration</w:t>
      </w:r>
    </w:p>
    <w:p>
      <w:pPr>
        <w:spacing w:after="0" w:line="225" w:lineRule="exact"/>
        <w:rPr>
          <w:sz w:val="20"/>
          <w:szCs w:val="20"/>
          <w:color w:val="auto"/>
        </w:rPr>
      </w:pPr>
    </w:p>
    <w:p>
      <w:pPr>
        <w:ind w:left="200" w:right="20" w:firstLine="771"/>
        <w:spacing w:after="0" w:line="254" w:lineRule="auto"/>
        <w:rPr>
          <w:sz w:val="20"/>
          <w:szCs w:val="20"/>
          <w:color w:val="auto"/>
        </w:rPr>
      </w:pPr>
      <w:r>
        <w:rPr>
          <w:rFonts w:ascii="Arial" w:cs="Arial" w:eastAsia="Arial" w:hAnsi="Arial"/>
          <w:sz w:val="18"/>
          <w:szCs w:val="18"/>
          <w:color w:val="auto"/>
        </w:rPr>
        <w:t>Our employees, consultants and directors, and employees and consultants of our subsidiaries, will be eligible to receive awards under the 2019 Plan. Following our initial public offering, the 2019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2019 Plan, Section 16 of the Exchange Act and/or stock exchange rules, as applicable. The plan administrator will have the authority to make all determinations and interpretations under, prescribe all forms for use with, and adopt rules for the administration of, the 2019 Plan, subject to its express terms and conditions. The plan administrator will also set the terms and conditions of all awards under the 2019 Plan, including any vesting and vesting acceleration conditions.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 on Awards and Shares Available</w:t>
      </w:r>
    </w:p>
    <w:p>
      <w:pPr>
        <w:spacing w:after="0" w:line="225" w:lineRule="exact"/>
        <w:rPr>
          <w:sz w:val="20"/>
          <w:szCs w:val="20"/>
          <w:color w:val="auto"/>
        </w:rPr>
      </w:pPr>
    </w:p>
    <w:p>
      <w:pPr>
        <w:ind w:left="200" w:firstLine="771"/>
        <w:spacing w:after="0" w:line="285" w:lineRule="auto"/>
        <w:rPr>
          <w:sz w:val="20"/>
          <w:szCs w:val="20"/>
          <w:color w:val="auto"/>
        </w:rPr>
      </w:pPr>
      <w:r>
        <w:rPr>
          <w:rFonts w:ascii="Arial" w:cs="Arial" w:eastAsia="Arial" w:hAnsi="Arial"/>
          <w:sz w:val="16"/>
          <w:szCs w:val="16"/>
          <w:color w:val="auto"/>
        </w:rPr>
        <w:t>An aggregate of shares of our common stock will initially be available for issuance under awards granted pursuant to the 2019 Plan. The number of shares initially available for issuance will be increased by (1) the number of shares of common stock available for issuance and not subject to options granted under our 2017 Plan as of the effective date of the 2019 Plan, (2) the number of shares subject to stock options or similar awards granted under our 2017 Plan that expire or otherwise terminate without having been exercised in full after the effective date of the 2019 Plan and unvested shares issued pursuant to awards granted under the 2017 Plan that are forfeited to or repurchased by us after the effective date of the 2019 Plan,</w:t>
      </w:r>
    </w:p>
    <w:p>
      <w:pPr>
        <w:spacing w:after="0" w:line="2"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with the maximum number of shares to be added to the 2019 Plan pursuant to clauses (1) and (2) above equal to shares, and (3) an annual increase on January 1 of each calendar year beginning in 2020 and ending in 2029, equal to the lesser of (a) 5% of the shares of common stock outstanding on the final day of the immediately preceding calendar year and (b) such smaller number of shares as determined by our board of directors.</w:t>
      </w:r>
    </w:p>
    <w:p>
      <w:pPr>
        <w:spacing w:after="0" w:line="2"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No more than shares of common stock may be issued upon the exercise of incentive stock options under the 2019 Plan. Shares issued under the 2019 Plan may be authorized but unissued shares, shares purchased in the open market or treasury shares.</w:t>
      </w:r>
    </w:p>
    <w:p>
      <w:pPr>
        <w:spacing w:after="0" w:line="184"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6"/>
          <w:szCs w:val="16"/>
          <w:color w:val="auto"/>
        </w:rPr>
        <w:t>If an award under the 2019 Plan or the 2017 Plan expires, lapses or is terminated, exchanged for cash, surrendered, repurchased, canceled without having been fully exercised or forfeited, any shares subject to such award will, as applicable, become or again be available for new grants under the 2019 Plan. Further, shares delivered to us to satisfy the applicable exercise or purchase price of an award under the 2019 Plan or the 2017 Plan and/or to satisfy any applicable tax withholding obligations (including shares retained by us from the award under the 2019 Plan or the 2017 Plan being exercised or purchased and/or creating the tax obligation) will become or again be available for award grants under the 2019 Plan. Awards granted under the 2019 Plan upon the assumption of, or in substitution for, awards authorized or outstanding under a qualifying equity plan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maintained by an entity with which we enter into a merger or similar corporate transaction will not reduce the shares available for grant under the 2019 Plan.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left="200" w:right="80" w:firstLine="771"/>
        <w:spacing w:after="0" w:line="255" w:lineRule="auto"/>
        <w:rPr>
          <w:sz w:val="20"/>
          <w:szCs w:val="20"/>
          <w:color w:val="auto"/>
        </w:rPr>
      </w:pPr>
      <w:r>
        <w:rPr>
          <w:rFonts w:ascii="Arial" w:cs="Arial" w:eastAsia="Arial" w:hAnsi="Arial"/>
          <w:sz w:val="18"/>
          <w:szCs w:val="18"/>
          <w:color w:val="auto"/>
        </w:rPr>
        <w:t>The 2019 Plan provides for the grant of stock options, including incentive stock options, or ISOs, and nonqualified stock options, or NSOs, restricted stock, dividend equivalents, restricted stock units, or RSUs, stock appreciation rights, or SARs, and other stock or cash-based awards. Certain awards under the 2019 Plan may constitute or provide for a deferral of compensation, subject to Section 409A of the Code, which may impose additional requirements on the terms and conditions of such awards. All awards under the 2019 Plan will be set forth in award agreements, which will detail the terms and conditions of the awards, including any applicable vesting and payment terms and post-termination exercise limitations. A brief description of each award type follows.</w:t>
      </w:r>
    </w:p>
    <w:p>
      <w:pPr>
        <w:spacing w:after="0" w:line="193" w:lineRule="exact"/>
        <w:rPr>
          <w:sz w:val="20"/>
          <w:szCs w:val="20"/>
          <w:color w:val="auto"/>
        </w:rPr>
      </w:pPr>
    </w:p>
    <w:p>
      <w:pPr>
        <w:ind w:left="200" w:right="20" w:firstLine="771"/>
        <w:spacing w:after="0" w:line="25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our common stock in the future at an exercise price set on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spacing w:after="0" w:line="192"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88"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common stock that remain forfeitable unless and</w:t>
      </w:r>
      <w:r>
        <w:rPr>
          <w:rFonts w:ascii="Arial" w:cs="Arial" w:eastAsia="Arial" w:hAnsi="Arial"/>
          <w:sz w:val="18"/>
          <w:szCs w:val="18"/>
          <w:i w:val="1"/>
          <w:iCs w:val="1"/>
          <w:color w:val="auto"/>
        </w:rPr>
        <w:t xml:space="preserve"> </w:t>
      </w:r>
      <w:r>
        <w:rPr>
          <w:rFonts w:ascii="Arial" w:cs="Arial" w:eastAsia="Arial" w:hAnsi="Arial"/>
          <w:sz w:val="18"/>
          <w:szCs w:val="18"/>
          <w:color w:val="auto"/>
        </w:rPr>
        <w:t>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89"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i w:val="1"/>
          <w:iCs w:val="1"/>
          <w:color w:val="auto"/>
        </w:rPr>
        <w:t xml:space="preserve">Other Stock or Cash-Based Awards. </w:t>
      </w:r>
      <w:r>
        <w:rPr>
          <w:rFonts w:ascii="Arial" w:cs="Arial" w:eastAsia="Arial" w:hAnsi="Arial"/>
          <w:sz w:val="18"/>
          <w:szCs w:val="18"/>
          <w:color w:val="auto"/>
        </w:rPr>
        <w:t>Other stock or cash-based awards are awards of cash, fully vested shares of our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25" w:lineRule="exact"/>
        <w:rPr>
          <w:sz w:val="20"/>
          <w:szCs w:val="20"/>
          <w:color w:val="auto"/>
        </w:rPr>
      </w:pPr>
    </w:p>
    <w:p>
      <w:pPr>
        <w:ind w:left="200" w:right="520" w:firstLine="771"/>
        <w:spacing w:after="0" w:line="277" w:lineRule="auto"/>
        <w:rPr>
          <w:sz w:val="20"/>
          <w:szCs w:val="20"/>
          <w:color w:val="auto"/>
        </w:rPr>
      </w:pPr>
      <w:r>
        <w:rPr>
          <w:rFonts w:ascii="Arial" w:cs="Arial" w:eastAsia="Arial" w:hAnsi="Arial"/>
          <w:sz w:val="18"/>
          <w:szCs w:val="18"/>
          <w:color w:val="auto"/>
        </w:rPr>
        <w:t>Performance awards include any of the foregoing awards that are granted subject to vesting and/or payment based on the attainment of specified performance goals or other criteria the plan administrator may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Provisions of the 2019 Plan Relating to Director Compensation</w:t>
      </w:r>
    </w:p>
    <w:p>
      <w:pPr>
        <w:spacing w:after="0" w:line="225"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The 2019 Plan provides that the plan administrator may establish compensation for non-employee directors from time to time subject to the 2019 Plan’s limitations. Prior to commencing this offering, our stockholders will approve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(as determined in accordance with ASC 718, or any successor thereto) of any equity awards granted as compensation for services as a non-employee director during any fiscal year may not exceed $750,000, increased to $1,000,000, in the fiscal year of a non-employee director’s initial service as a non-employee director.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225"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In connection with certain transactions and events affecting our common stock, including a change in control, or change in any applicable laws or accounting principles, the plan administrator has broad discretion to take action under the 2019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2019 Plan. In the event of a</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change in control where the acquirer does not assume awards granted under the 2019 Plan, awards issued under the 2019 Plan shall be subject to accelerated vesting such that 100% of the awards will become vested and exercisable or payable, as applicable, and which may be subject to such terms and conditions as apply generally to holders of common stock under the change in control documents. In addition, in the event of certain non-reciprocal transactions with our stockholders, or an “equity restructuring,” the plan administrator will make equitable adjustments to the 2019 Plan and outstanding awards as it deems appropriate to reflect the equity restructuring.</w:t>
      </w:r>
    </w:p>
    <w:p>
      <w:pPr>
        <w:spacing w:after="0" w:line="188" w:lineRule="exact"/>
        <w:rPr>
          <w:sz w:val="20"/>
          <w:szCs w:val="20"/>
          <w:color w:val="auto"/>
        </w:rPr>
      </w:pPr>
    </w:p>
    <w:p>
      <w:pPr>
        <w:ind w:left="200" w:right="20" w:firstLine="771"/>
        <w:spacing w:after="0" w:line="282" w:lineRule="auto"/>
        <w:rPr>
          <w:sz w:val="20"/>
          <w:szCs w:val="20"/>
          <w:color w:val="auto"/>
        </w:rPr>
      </w:pPr>
      <w:r>
        <w:rPr>
          <w:rFonts w:ascii="Arial" w:cs="Arial" w:eastAsia="Arial" w:hAnsi="Arial"/>
          <w:sz w:val="16"/>
          <w:szCs w:val="16"/>
          <w:color w:val="auto"/>
        </w:rPr>
        <w:t>For purposes of the 2019 Plan, a “change in control” means and includes each of the following: (1) a transaction or series of transactions (other than an offering of our common stock to the general public through a registration statement filed with the SEC or a transaction or series of transactions that meets the requirements of clauses (x) and (y) of clause (3) below) whereby any “person” or related “group” of “persons” (as such terms are used in Sections 13(d) and 14(d)(2) of the Exchange Act) (other than us, any of our subsidiaries, an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(2) during any period of two consecutive years, individuals who, at the beginning of such period, constitute the board of directors together with any new director(s) (other than a director designated by a person who shall have entered into an agreement with us to effect a transaction described in clauses (1) or (3)) whose election by the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(3) the consummation by us (whether directly involving us or indirectly involving us through one or more intermediaries) of (a) a merger, consolidation, reorganization, or business combination or (b) a sale or other disposition of all or substantially all of our assets in any single transaction or series of related transactions or (c) the acquisition of assets or stock of another entity, in each case other than a transaction: (x) which results in our voting securities outstanding immediately before the transaction continuing to represent (either by remaining outstanding or by being converted into our voting securities or the voting securities of a successor entity, directly or indirectly, at least a majority of the combined voting power of our outstanding voting securities or the successor entity’s outstanding voting securities immediately after the transaction, and</w:t>
      </w:r>
    </w:p>
    <w:p>
      <w:pPr>
        <w:spacing w:after="0" w:line="13" w:lineRule="exact"/>
        <w:rPr>
          <w:sz w:val="20"/>
          <w:szCs w:val="20"/>
          <w:color w:val="auto"/>
        </w:rPr>
      </w:pPr>
    </w:p>
    <w:p>
      <w:pPr>
        <w:ind w:left="200" w:right="240" w:firstLine="4"/>
        <w:spacing w:after="0" w:line="277" w:lineRule="auto"/>
        <w:tabs>
          <w:tab w:leader="none" w:pos="4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after which no person or group beneficially owns voting securities representing 50% or more of the combined voting power of us or the successor entity (provided that no person will be treated as beneficially owning 50% or more of the combined voting power of us or the successor entity for purposes of this clause (y) solely as a result of the voting power held in us prior to the consummation of the transaction).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Participants, Claw-Back Provisions, Transferability and Participant Payments</w:t>
      </w:r>
    </w:p>
    <w:p>
      <w:pPr>
        <w:spacing w:after="0" w:line="225"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our company to the extent set forth in such claw-back policy or in the applicable award agreement. With limited exceptions for estate planning, domestic relations orders, certain beneficiary designations and the laws of descent and distribution, awards under the 2019 Plan are generally non-transferable prior to vesting and are exercisable only by the participant. With regard to tax withholding obligations arising in connection with awards under the 2019 Plan and exercise price obligations arising in connection with the exercise of stock options under the 2019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225"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Our board of directors may amend or terminate the 2019 Plan at any time; however, except in connection with certain changes in our capital structure, stockholder approval will be required for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amendment that increases the number of shares available under the 2019 Plan. The plan administrator will have the authority, without the approval of our stockholders, to amend any outstanding stock option or SAR to reduce its exercise price per share. No award may be granted pursuant to the 2019 Plan after the tenth anniversary of the date on which our board of directors adopts the 2019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Laws</w:t>
      </w:r>
    </w:p>
    <w:p>
      <w:pPr>
        <w:spacing w:after="0" w:line="225"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The 2019 Plan is intended to conform to all provisions of the Securities Act, and the Exchange Act and any and all regulations and rules promulgated by the SEC thereunder, including, without limitation, Rule 16b-3. The 2019 Plan will be administered, and awards will be granted and may be exercised, only in such a manner as to conform to such laws, rules and regulations.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25"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The material federal income tax consequences of the 2019 Plan under current federal income tax law are summarized in the following discussion, which deals with the general tax principles applicable to the 2019 Plan.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71" w:lineRule="exact"/>
        <w:rPr>
          <w:sz w:val="20"/>
          <w:szCs w:val="20"/>
          <w:color w:val="auto"/>
        </w:rPr>
      </w:pPr>
    </w:p>
    <w:p>
      <w:pPr>
        <w:ind w:left="200" w:right="100" w:firstLine="771"/>
        <w:spacing w:after="0" w:line="270" w:lineRule="auto"/>
        <w:rPr>
          <w:sz w:val="20"/>
          <w:szCs w:val="20"/>
          <w:color w:val="auto"/>
        </w:rPr>
      </w:pPr>
      <w:r>
        <w:rPr>
          <w:rFonts w:ascii="Arial" w:cs="Arial" w:eastAsia="Arial" w:hAnsi="Arial"/>
          <w:sz w:val="17"/>
          <w:szCs w:val="17"/>
          <w:i w:val="1"/>
          <w:iCs w:val="1"/>
          <w:color w:val="auto"/>
        </w:rPr>
        <w:t>Stock Options and SARs</w:t>
      </w:r>
      <w:r>
        <w:rPr>
          <w:rFonts w:ascii="Arial" w:cs="Arial" w:eastAsia="Arial" w:hAnsi="Arial"/>
          <w:sz w:val="17"/>
          <w:szCs w:val="17"/>
          <w:color w:val="auto"/>
        </w:rPr>
        <w:t>. A 2019 Plan participant generally will not recognize taxable income and we generally will not be entitled to a tax</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upon the grant of a stock option or SAR. The tax consequences of exercising a stock option and the subsequent disposition of the shares received upon exercise will depend upon whether the option qualifies as an ISO or an NSO. Upon exercising an NSO when the fair market value of our stock is higher than the exercise price of the option, a 2019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182"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Upon exercising an ISO, a 2019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 exercise. If the sale or disposition occurs before these two periods are satisfied, then a disqualifying disposition generally will result.</w:t>
      </w:r>
    </w:p>
    <w:p>
      <w:pPr>
        <w:spacing w:after="0" w:line="189" w:lineRule="exact"/>
        <w:rPr>
          <w:sz w:val="20"/>
          <w:szCs w:val="20"/>
          <w:color w:val="auto"/>
        </w:rPr>
      </w:pPr>
    </w:p>
    <w:p>
      <w:pPr>
        <w:ind w:left="200" w:right="140" w:firstLine="771"/>
        <w:spacing w:after="0" w:line="255" w:lineRule="auto"/>
        <w:rPr>
          <w:sz w:val="20"/>
          <w:szCs w:val="20"/>
          <w:color w:val="auto"/>
        </w:rPr>
      </w:pPr>
      <w:r>
        <w:rPr>
          <w:rFonts w:ascii="Arial" w:cs="Arial" w:eastAsia="Arial" w:hAnsi="Arial"/>
          <w:sz w:val="18"/>
          <w:szCs w:val="18"/>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93" w:lineRule="exact"/>
        <w:rPr>
          <w:sz w:val="20"/>
          <w:szCs w:val="20"/>
          <w:color w:val="auto"/>
        </w:rPr>
      </w:pPr>
    </w:p>
    <w:p>
      <w:pPr>
        <w:jc w:val="both"/>
        <w:ind w:left="200" w:right="680" w:firstLine="771"/>
        <w:spacing w:after="0" w:line="264" w:lineRule="auto"/>
        <w:rPr>
          <w:sz w:val="20"/>
          <w:szCs w:val="20"/>
          <w:color w:val="auto"/>
        </w:rPr>
      </w:pPr>
      <w:r>
        <w:rPr>
          <w:rFonts w:ascii="Arial" w:cs="Arial" w:eastAsia="Arial" w:hAnsi="Arial"/>
          <w:sz w:val="18"/>
          <w:szCs w:val="18"/>
          <w:color w:val="auto"/>
        </w:rPr>
        <w:t>We will not be entitled to any tax deduction if the participant makes a qualifying disposition of ISO shares. If the participant makes a disqualifying disposition of the shares, we should be entitled to a tax deduction for compensation expense in the amount of the ordinary income recognized by the participant.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Upon exercising or settling a SAR, a 2019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188"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i w:val="1"/>
          <w:iCs w:val="1"/>
          <w:color w:val="auto"/>
        </w:rPr>
        <w:t>Restricted Stock and RSUs</w:t>
      </w:r>
      <w:r>
        <w:rPr>
          <w:rFonts w:ascii="Arial" w:cs="Arial" w:eastAsia="Arial" w:hAnsi="Arial"/>
          <w:sz w:val="17"/>
          <w:szCs w:val="17"/>
          <w:color w:val="auto"/>
        </w:rPr>
        <w:t>. A 2019 Plan participant generally will not recognize taxable income at ordinary income tax rates and we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will not be entitled to a tax deduction upon the grant of restricted stock or RSUs. Upon the termination of restrictions on restricted stock or the payment of RSUs,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short-term or long-term capital gain or loss in the amount of the difference between the sales price of the shares and the participant’s tax basis in the shares. However, a 2019 Plan participant granted restricted stock that is subject to forfeiture or repurchase through a vesting schedule such that it is subject to a “risk of forfeiture” (as defined in Section 83 of the Code) may make an election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180" w:lineRule="exact"/>
        <w:rPr>
          <w:sz w:val="20"/>
          <w:szCs w:val="20"/>
          <w:color w:val="auto"/>
        </w:rPr>
      </w:pPr>
    </w:p>
    <w:p>
      <w:pPr>
        <w:ind w:left="200" w:right="140" w:firstLine="771"/>
        <w:spacing w:after="0" w:line="273" w:lineRule="auto"/>
        <w:rPr>
          <w:sz w:val="20"/>
          <w:szCs w:val="20"/>
          <w:color w:val="auto"/>
        </w:rPr>
      </w:pPr>
      <w:r>
        <w:rPr>
          <w:rFonts w:ascii="Arial" w:cs="Arial" w:eastAsia="Arial" w:hAnsi="Arial"/>
          <w:sz w:val="17"/>
          <w:szCs w:val="17"/>
          <w:i w:val="1"/>
          <w:iCs w:val="1"/>
          <w:color w:val="auto"/>
        </w:rPr>
        <w:t>Other Stock or Cash-Based Awards</w:t>
      </w:r>
      <w:r>
        <w:rPr>
          <w:rFonts w:ascii="Arial" w:cs="Arial" w:eastAsia="Arial" w:hAnsi="Arial"/>
          <w:sz w:val="17"/>
          <w:szCs w:val="17"/>
          <w:color w:val="auto"/>
        </w:rPr>
        <w:t>. A 2019 Plan participant will not recognize taxable income and we will not be entitled to a tax</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upon the grant of other stock or cash-based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25"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In November 2017, our board of directors and our stockholders approved the adoption of the 2017 Plan. Our board of directors and stockholders subsequently approved four amendments to the 2017 Plan to increase the share reserve thereunder in each of December 2017, May 2018, June 2018, July 2018 and December 2018.</w:t>
      </w:r>
    </w:p>
    <w:p>
      <w:pPr>
        <w:spacing w:after="0" w:line="181" w:lineRule="exact"/>
        <w:rPr>
          <w:sz w:val="20"/>
          <w:szCs w:val="20"/>
          <w:color w:val="auto"/>
        </w:rPr>
      </w:pPr>
    </w:p>
    <w:p>
      <w:pPr>
        <w:ind w:left="200" w:right="340" w:firstLine="771"/>
        <w:spacing w:after="0" w:line="264" w:lineRule="auto"/>
        <w:rPr>
          <w:sz w:val="20"/>
          <w:szCs w:val="20"/>
          <w:color w:val="auto"/>
        </w:rPr>
      </w:pPr>
      <w:r>
        <w:rPr>
          <w:rFonts w:ascii="Arial" w:cs="Arial" w:eastAsia="Arial" w:hAnsi="Arial"/>
          <w:sz w:val="18"/>
          <w:szCs w:val="18"/>
          <w:color w:val="auto"/>
        </w:rPr>
        <w:t>A total of 28,305,072 shares of our common stock are reserved for issuance under the 2017 Plan. As of December 21, 2018, 28,260,072 shares of our common stock were subject to outstanding awards under the 2017 Plan and 45,000 shares of our common stock remained available for future issuance under the 2017 Plan.</w:t>
      </w:r>
    </w:p>
    <w:p>
      <w:pPr>
        <w:spacing w:after="0" w:line="181"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After the effective date of the 2019 Plan, no additional awards will be granted under the 2017 Plan. However, the 2017 Plan will continue to govern the terms and conditions of the outstanding awards granted under it. Shares of our common stock subject to awards granted under the 2017 Plan that expire, lapse or are terminated, exchanged for cash, surrendered, repurchased or forfeited following the effective date of the 2019 Plan will be available for issuance under the 2019 Plan in accordance with its terms.</w:t>
      </w:r>
    </w:p>
    <w:p>
      <w:pPr>
        <w:spacing w:after="0" w:line="187" w:lineRule="exact"/>
        <w:rPr>
          <w:sz w:val="20"/>
          <w:szCs w:val="20"/>
          <w:color w:val="auto"/>
        </w:rPr>
      </w:pPr>
    </w:p>
    <w:p>
      <w:pPr>
        <w:jc w:val="both"/>
        <w:ind w:left="200" w:right="80" w:firstLine="771"/>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the 2017 Plan, unless it delegates authority for administration of the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the 2017 Plan, the administrator has the authority to select the persons to whom awards are to be made, to determine the type or types of awards to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2017 Plan. The plan administrator is also authorized to establish, adopt, amend or revise rules relating to administration of the 2017 Plan, subject to certain restrictions.</w:t>
      </w:r>
    </w:p>
    <w:p>
      <w:pPr>
        <w:spacing w:after="0" w:line="187"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2017 Plan may be granted to individuals who are then our employees, consultants and members of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and our subsidiaries. Only employees may be granted ISOs.</w:t>
      </w:r>
    </w:p>
    <w:p>
      <w:pPr>
        <w:spacing w:after="0" w:line="170" w:lineRule="exact"/>
        <w:rPr>
          <w:sz w:val="20"/>
          <w:szCs w:val="20"/>
          <w:color w:val="auto"/>
        </w:rPr>
      </w:pPr>
    </w:p>
    <w:p>
      <w:pPr>
        <w:ind w:left="200" w:right="20" w:firstLine="771"/>
        <w:spacing w:after="0" w:line="276"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2017 Plan provides that our administrator may grant or issue stock options (including NSOs and ISOs), restricted stock, RSUs,</w:t>
      </w:r>
      <w:r>
        <w:rPr>
          <w:rFonts w:ascii="Arial" w:cs="Arial" w:eastAsia="Arial" w:hAnsi="Arial"/>
          <w:sz w:val="17"/>
          <w:szCs w:val="17"/>
          <w:i w:val="1"/>
          <w:iCs w:val="1"/>
          <w:color w:val="auto"/>
        </w:rPr>
        <w:t xml:space="preserve"> </w:t>
      </w:r>
      <w:r>
        <w:rPr>
          <w:rFonts w:ascii="Arial" w:cs="Arial" w:eastAsia="Arial" w:hAnsi="Arial"/>
          <w:sz w:val="17"/>
          <w:szCs w:val="17"/>
          <w:color w:val="auto"/>
        </w:rPr>
        <w:t>other stock-based awards, or any combination thereof.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 As of the date of this prospectus, awards of stock options and restricted stock are outstanding under the 2019 Plan.</w:t>
      </w:r>
    </w:p>
    <w:p>
      <w:pPr>
        <w:spacing w:after="0" w:line="173" w:lineRule="exact"/>
        <w:rPr>
          <w:sz w:val="20"/>
          <w:szCs w:val="20"/>
          <w:color w:val="auto"/>
        </w:rPr>
      </w:pPr>
    </w:p>
    <w:p>
      <w:pPr>
        <w:ind w:left="200" w:right="100" w:firstLine="771"/>
        <w:spacing w:after="0" w:line="27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plan administrator has broad discretion to equitably adjust the provisions of the 2017 Plan and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existing and future awards, including with respect to aggregate number and type of shares subject to the 2017 Plan and awards granted pursuant to the 2017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or certain other unusual or nonrecurring events or transactions. In addition, in the event of certain non-reciprocal transactions with our stockholders, or an “equity restructuring,” the plan administrator will make equitable adjustments to the 2017 Plan and outstanding awards as it deems appropriate to reflect the equity restructuring.</w:t>
      </w:r>
    </w:p>
    <w:p>
      <w:pPr>
        <w:spacing w:after="0" w:line="179"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In the event of a change of control where the acquirer does not assume awards granted under the 2017 Plan, awards issued under the 2017 Plan held by persons who have not experienced a termination of service will be subject to accelerated vesting such that 100% of the awards will become vested and exercisable or payable, as applicable, immediately prior to the change in control. Under the 2017 Plan, a change of control is generally defined as: (1) a merger or consolidation of our company with or into any other corporation or other entity or person; (2) a sale, lease, exchange or other transfer in one transaction or a series of related transactions of all or substantially all of our company’s assets; or (3) any other transaction, including the sale by us of new shares of our capital stock or a transfer of existing shares of our capital stock, the result of which is that a third party that is not an affiliate of us or our stockholders (or a group of third parties not affiliated with us or our stockholders) immediately prior to such transaction acquires or holds capital stock representing a majority of our outstanding voting power immediately following such transaction; provided that the following events shall not constitute a “change in control” under the 2017 Plan: (A) a transaction (other than a sale of all or substantially all of our assets) in which the holders of our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or any other transaction principally for bona fide equity financing purposes; (D) a reincorporation solely to change our jurisdiction; or (E) a transaction undertaken for the primary purpose of creating a holding company that will be owned in substantially the same proportion by the persons who held our securities immediately before such transaction.</w:t>
      </w:r>
    </w:p>
    <w:p>
      <w:pPr>
        <w:spacing w:after="0" w:line="183" w:lineRule="exact"/>
        <w:rPr>
          <w:sz w:val="20"/>
          <w:szCs w:val="20"/>
          <w:color w:val="auto"/>
        </w:rPr>
      </w:pPr>
    </w:p>
    <w:p>
      <w:pPr>
        <w:ind w:left="200" w:right="840" w:firstLine="771"/>
        <w:spacing w:after="0" w:line="277" w:lineRule="auto"/>
        <w:rPr>
          <w:sz w:val="20"/>
          <w:szCs w:val="20"/>
          <w:color w:val="auto"/>
        </w:rPr>
      </w:pPr>
      <w:r>
        <w:rPr>
          <w:rFonts w:ascii="Arial" w:cs="Arial" w:eastAsia="Arial" w:hAnsi="Arial"/>
          <w:sz w:val="18"/>
          <w:szCs w:val="18"/>
          <w:i w:val="1"/>
          <w:iCs w:val="1"/>
          <w:color w:val="auto"/>
        </w:rPr>
        <w:t>Amendment and Termination of the 2017 Plan</w:t>
      </w:r>
      <w:r>
        <w:rPr>
          <w:rFonts w:ascii="Arial" w:cs="Arial" w:eastAsia="Arial" w:hAnsi="Arial"/>
          <w:sz w:val="18"/>
          <w:szCs w:val="18"/>
          <w:color w:val="auto"/>
        </w:rPr>
        <w:t>. Our board of directors may terminate, amend or modify the 2017 Plan.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of any amendment to the 2017 Plan must be obtained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the extent necessary and desirable to comply with any applicable law, regulation or stock exchange rule, or for any amendment to the 2017 Plan that increases the number of shares available under the 2017 Plan. If not terminated earlier by the compensation committee or the board of directors, the 2017 Plan will terminate on November 17, 2027.</w:t>
      </w:r>
    </w:p>
    <w:p>
      <w:pPr>
        <w:spacing w:after="0" w:line="181"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i w:val="1"/>
          <w:iCs w:val="1"/>
          <w:color w:val="auto"/>
        </w:rPr>
        <w:t>Securities Laws and Federal Income Tax Consequences</w:t>
      </w:r>
      <w:r>
        <w:rPr>
          <w:rFonts w:ascii="Arial" w:cs="Arial" w:eastAsia="Arial" w:hAnsi="Arial"/>
          <w:sz w:val="18"/>
          <w:szCs w:val="18"/>
          <w:color w:val="auto"/>
        </w:rPr>
        <w:t>. The 2017 Plan is designed to comply with applicable securities laws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as described above in the description of the 2019 Plan under the heading “—2019 Incentive Award Plan—Securities Laws.” The general federal tax consequences of awards under the 2017 Plan are the same as those described above in the description of the 2019 Plan under the heading “—2019 Incentive Award Plan—Federal Income Tax Consequences.”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connection with this offering, we intend to adopt and ask our stockholders to approve a 2019 Employee Stock Purchase Plan, or the ESPP.</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material terms of the ESPP, as it is currently contemplated, are summarized below.</w:t>
      </w:r>
    </w:p>
    <w:p>
      <w:pPr>
        <w:spacing w:after="0" w:line="211" w:lineRule="exact"/>
        <w:rPr>
          <w:sz w:val="20"/>
          <w:szCs w:val="20"/>
          <w:color w:val="auto"/>
        </w:rPr>
      </w:pPr>
    </w:p>
    <w:p>
      <w:pPr>
        <w:ind w:left="200" w:right="160" w:firstLine="771"/>
        <w:spacing w:after="0" w:line="288" w:lineRule="auto"/>
        <w:rPr>
          <w:sz w:val="20"/>
          <w:szCs w:val="20"/>
          <w:color w:val="auto"/>
        </w:rPr>
      </w:pPr>
      <w:r>
        <w:rPr>
          <w:rFonts w:ascii="Arial" w:cs="Arial" w:eastAsia="Arial" w:hAnsi="Arial"/>
          <w:sz w:val="16"/>
          <w:szCs w:val="16"/>
          <w:i w:val="1"/>
          <w:iCs w:val="1"/>
          <w:color w:val="auto"/>
        </w:rPr>
        <w:t xml:space="preserve">Shares Available; Administration. </w:t>
      </w:r>
      <w:r>
        <w:rPr>
          <w:rFonts w:ascii="Arial" w:cs="Arial" w:eastAsia="Arial" w:hAnsi="Arial"/>
          <w:sz w:val="16"/>
          <w:szCs w:val="16"/>
          <w:color w:val="auto"/>
        </w:rPr>
        <w:t>A total of shares of our common stock are initially reserved for issuance under our ESPP.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the number of shares available for issuance under the ESPP will be annually increased on January 1 of each calendar year beginning in 2020 and ending in 2029, by an amount equal to the lesser of: (a) 1% of the shares outstanding on the final day of the immediately preceding calendar year</w:t>
      </w:r>
    </w:p>
    <w:p>
      <w:pPr>
        <w:ind w:left="200" w:right="340"/>
        <w:spacing w:after="0" w:line="261" w:lineRule="auto"/>
        <w:rPr>
          <w:sz w:val="20"/>
          <w:szCs w:val="20"/>
          <w:color w:val="auto"/>
        </w:rPr>
      </w:pPr>
      <w:r>
        <w:rPr>
          <w:rFonts w:ascii="Arial" w:cs="Arial" w:eastAsia="Arial" w:hAnsi="Arial"/>
          <w:sz w:val="18"/>
          <w:szCs w:val="18"/>
          <w:color w:val="auto"/>
        </w:rPr>
        <w:t>and (b) such smaller number of shares as is determined by our board of directors. In no event will more than shares of our common stock be available for issuance under the ESPP.</w:t>
      </w:r>
    </w:p>
    <w:p>
      <w:pPr>
        <w:spacing w:after="0" w:line="184" w:lineRule="exact"/>
        <w:rPr>
          <w:sz w:val="20"/>
          <w:szCs w:val="20"/>
          <w:color w:val="auto"/>
        </w:rPr>
      </w:pPr>
    </w:p>
    <w:p>
      <w:pPr>
        <w:ind w:left="200" w:right="280" w:firstLine="771"/>
        <w:spacing w:after="0" w:line="277" w:lineRule="auto"/>
        <w:rPr>
          <w:sz w:val="20"/>
          <w:szCs w:val="20"/>
          <w:color w:val="auto"/>
        </w:rPr>
      </w:pPr>
      <w:r>
        <w:rPr>
          <w:rFonts w:ascii="Arial" w:cs="Arial" w:eastAsia="Arial" w:hAnsi="Arial"/>
          <w:sz w:val="18"/>
          <w:szCs w:val="18"/>
          <w:color w:val="auto"/>
        </w:rPr>
        <w:t>Our board of directors or its committee will have authority to interpret the terms of the ESPP and determine eligibility of participants. We expect that the compensation committee will be the initial administrator of the ESPP.</w:t>
      </w:r>
    </w:p>
    <w:p>
      <w:pPr>
        <w:spacing w:after="0" w:line="170"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employees are eligible to participate in the ESPP if they meet the eligibility requirements under the ESPP established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by the plan administrator. However, an employee may not be granted rights to purchase stock under our ESPP if such employee, immediately after the grant, would own (directly or through attribution) stock possessing 5% or more of the total combined voting power or value of all classes of our common or other class of stock.</w:t>
      </w:r>
    </w:p>
    <w:p>
      <w:pPr>
        <w:spacing w:after="0" w:line="187" w:lineRule="exact"/>
        <w:rPr>
          <w:sz w:val="20"/>
          <w:szCs w:val="20"/>
          <w:color w:val="auto"/>
        </w:rPr>
      </w:pPr>
    </w:p>
    <w:p>
      <w:pPr>
        <w:ind w:left="200" w:right="160" w:firstLine="771"/>
        <w:spacing w:after="0" w:line="255" w:lineRule="auto"/>
        <w:rPr>
          <w:sz w:val="20"/>
          <w:szCs w:val="20"/>
          <w:color w:val="auto"/>
        </w:rPr>
      </w:pPr>
      <w:r>
        <w:rPr>
          <w:rFonts w:ascii="Arial" w:cs="Arial" w:eastAsia="Arial" w:hAnsi="Arial"/>
          <w:sz w:val="18"/>
          <w:szCs w:val="18"/>
          <w:i w:val="1"/>
          <w:iCs w:val="1"/>
          <w:color w:val="auto"/>
        </w:rPr>
        <w:t xml:space="preserve">Grant of Rights. </w:t>
      </w:r>
      <w:r>
        <w:rPr>
          <w:rFonts w:ascii="Arial" w:cs="Arial" w:eastAsia="Arial" w:hAnsi="Arial"/>
          <w:sz w:val="18"/>
          <w:szCs w:val="18"/>
          <w:color w:val="auto"/>
        </w:rPr>
        <w:t>The ESPP is intended to qualify under Section 423 of the Code and stock will be offered under the ESPP during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The length of the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prior to the commencement of each offering period. Offering periods under the ESPP will commence when determined by the plan administrator. The plan administrator may, in its discretion, modify the terms of future offering periods.</w:t>
      </w:r>
    </w:p>
    <w:p>
      <w:pPr>
        <w:spacing w:after="0" w:line="193"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ESPP permits participants to purchase common stock through payroll deductions of up to __% of their eligible compensation, which includes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shares.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771"/>
        <w:spacing w:after="0" w:line="254" w:lineRule="auto"/>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 Participants may voluntarily end their participation in the ESPP at any time at least one week prior to the end of the applicable offering period (or such shorter or longer period specified by the plan administrator), and will be paid their accrued payroll deductions that have not yet been used to purchase shares of common stock. Participation ends automatically upon a participant’s termination of employment.</w:t>
      </w:r>
    </w:p>
    <w:p>
      <w:pPr>
        <w:spacing w:after="0" w:line="192" w:lineRule="exact"/>
        <w:rPr>
          <w:sz w:val="20"/>
          <w:szCs w:val="20"/>
          <w:color w:val="auto"/>
        </w:rPr>
      </w:pPr>
    </w:p>
    <w:p>
      <w:pPr>
        <w:ind w:left="200" w:right="20" w:firstLine="771"/>
        <w:spacing w:after="0" w:line="277" w:lineRule="auto"/>
        <w:rPr>
          <w:sz w:val="20"/>
          <w:szCs w:val="20"/>
          <w:color w:val="auto"/>
        </w:rPr>
      </w:pPr>
      <w:r>
        <w:rPr>
          <w:rFonts w:ascii="Arial" w:cs="Arial" w:eastAsia="Arial" w:hAnsi="Arial"/>
          <w:sz w:val="18"/>
          <w:szCs w:val="18"/>
          <w:color w:val="auto"/>
        </w:rPr>
        <w:t>A participant may not transfer rights granted under the ESPP other than by will, the laws of descent and distribution or as otherwise provided under the ESPP.</w:t>
      </w:r>
    </w:p>
    <w:p>
      <w:pPr>
        <w:spacing w:after="0" w:line="170" w:lineRule="exact"/>
        <w:rPr>
          <w:sz w:val="20"/>
          <w:szCs w:val="20"/>
          <w:color w:val="auto"/>
        </w:rPr>
      </w:pPr>
    </w:p>
    <w:p>
      <w:pPr>
        <w:ind w:left="200" w:right="20" w:firstLine="771"/>
        <w:spacing w:after="0" w:line="253" w:lineRule="auto"/>
        <w:rPr>
          <w:sz w:val="20"/>
          <w:szCs w:val="20"/>
          <w:color w:val="auto"/>
        </w:rPr>
      </w:pPr>
      <w:r>
        <w:rPr>
          <w:rFonts w:ascii="Arial" w:cs="Arial" w:eastAsia="Arial" w:hAnsi="Arial"/>
          <w:sz w:val="18"/>
          <w:szCs w:val="18"/>
          <w:i w:val="1"/>
          <w:iCs w:val="1"/>
          <w:color w:val="auto"/>
        </w:rPr>
        <w:t xml:space="preserve">Certain Transactions. </w:t>
      </w:r>
      <w:r>
        <w:rPr>
          <w:rFonts w:ascii="Arial" w:cs="Arial" w:eastAsia="Arial" w:hAnsi="Arial"/>
          <w:sz w:val="18"/>
          <w:szCs w:val="18"/>
          <w:color w:val="auto"/>
        </w:rPr>
        <w:t>In the event of certain transactions or events affecting our common stock, such as any stock dividend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 Under the ESPP, a change in control has the same definition as given to such term in the 2019 Plan.</w:t>
      </w:r>
    </w:p>
    <w:p>
      <w:pPr>
        <w:spacing w:after="0" w:line="197" w:lineRule="exact"/>
        <w:rPr>
          <w:sz w:val="20"/>
          <w:szCs w:val="20"/>
          <w:color w:val="auto"/>
        </w:rPr>
      </w:pPr>
    </w:p>
    <w:p>
      <w:pPr>
        <w:ind w:left="200" w:right="140" w:firstLine="771"/>
        <w:spacing w:after="0" w:line="276" w:lineRule="auto"/>
        <w:rPr>
          <w:sz w:val="20"/>
          <w:szCs w:val="20"/>
          <w:color w:val="auto"/>
        </w:rPr>
      </w:pPr>
      <w:r>
        <w:rPr>
          <w:rFonts w:ascii="Arial" w:cs="Arial" w:eastAsia="Arial" w:hAnsi="Arial"/>
          <w:sz w:val="17"/>
          <w:szCs w:val="17"/>
          <w:i w:val="1"/>
          <w:iCs w:val="1"/>
          <w:color w:val="auto"/>
        </w:rPr>
        <w:t xml:space="preserve">Plan Amendment; Termination. </w:t>
      </w:r>
      <w:r>
        <w:rPr>
          <w:rFonts w:ascii="Arial" w:cs="Arial" w:eastAsia="Arial" w:hAnsi="Arial"/>
          <w:sz w:val="17"/>
          <w:szCs w:val="17"/>
          <w:color w:val="auto"/>
        </w:rPr>
        <w:t>The plan administrator may amend, suspend or terminate the ESPP at any time. However,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any amendment to the ESPP will be obtained 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remain in effect until terminated by our board of directors.</w:t>
      </w:r>
    </w:p>
    <w:p>
      <w:pPr>
        <w:spacing w:after="0" w:line="173" w:lineRule="exact"/>
        <w:rPr>
          <w:sz w:val="20"/>
          <w:szCs w:val="20"/>
          <w:color w:val="auto"/>
        </w:rPr>
      </w:pPr>
    </w:p>
    <w:p>
      <w:pPr>
        <w:ind w:left="200" w:right="620" w:firstLine="771"/>
        <w:spacing w:after="0" w:line="277" w:lineRule="auto"/>
        <w:rPr>
          <w:sz w:val="20"/>
          <w:szCs w:val="20"/>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The ESPP has been designed to comply with various securities laws in the same manner as described above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the 2019 Plan.</w:t>
      </w:r>
    </w:p>
    <w:p>
      <w:pPr>
        <w:spacing w:after="0" w:line="170" w:lineRule="exact"/>
        <w:rPr>
          <w:sz w:val="20"/>
          <w:szCs w:val="20"/>
          <w:color w:val="auto"/>
        </w:rPr>
      </w:pPr>
    </w:p>
    <w:p>
      <w:pPr>
        <w:ind w:left="200" w:right="40" w:firstLine="771"/>
        <w:spacing w:after="0" w:line="302" w:lineRule="auto"/>
        <w:rPr>
          <w:sz w:val="20"/>
          <w:szCs w:val="20"/>
          <w:color w:val="auto"/>
        </w:rPr>
      </w:pPr>
      <w:r>
        <w:rPr>
          <w:rFonts w:ascii="Arial" w:cs="Arial" w:eastAsia="Arial" w:hAnsi="Arial"/>
          <w:sz w:val="16"/>
          <w:szCs w:val="16"/>
          <w:i w:val="1"/>
          <w:iCs w:val="1"/>
          <w:color w:val="auto"/>
        </w:rPr>
        <w:t xml:space="preserve">Federal Income Taxes. </w:t>
      </w:r>
      <w:r>
        <w:rPr>
          <w:rFonts w:ascii="Arial" w:cs="Arial" w:eastAsia="Arial" w:hAnsi="Arial"/>
          <w:sz w:val="16"/>
          <w:szCs w:val="16"/>
          <w:color w:val="auto"/>
        </w:rPr>
        <w:t>The material federal income tax consequences of the ESPP under current federal income tax law are summarized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discussion, which deals with the general tax principles applicable to the ESPP.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54"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(i.e., the first day of the offering period). In addition, the employee will not recognize taxable income upon the purchase of shares. Upon such sale or disposition, the participant will generally be subject to tax in an amount that depends upon the length of time such shares are held by the participant prior to disposing of them. If the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60"/>
          </w:cols>
          <w:pgMar w:left="240" w:top="460"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shares are sold or disposed of more than two years from the first day of the offering period during which the shares were purchased and more than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65" w:lineRule="exact"/>
        <w:rPr>
          <w:sz w:val="20"/>
          <w:szCs w:val="20"/>
          <w:color w:val="auto"/>
        </w:rPr>
      </w:pPr>
    </w:p>
    <w:p>
      <w:pPr>
        <w:ind w:left="200" w:right="40" w:firstLine="771"/>
        <w:spacing w:after="0" w:line="270" w:lineRule="auto"/>
        <w:rPr>
          <w:sz w:val="20"/>
          <w:szCs w:val="20"/>
          <w:color w:val="auto"/>
        </w:rPr>
      </w:pPr>
      <w:r>
        <w:rPr>
          <w:rFonts w:ascii="Arial" w:cs="Arial" w:eastAsia="Arial" w:hAnsi="Arial"/>
          <w:sz w:val="17"/>
          <w:szCs w:val="17"/>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20" w:firstLine="771"/>
        <w:spacing w:after="0" w:line="268" w:lineRule="auto"/>
        <w:rPr>
          <w:sz w:val="20"/>
          <w:szCs w:val="20"/>
          <w:color w:val="auto"/>
        </w:rPr>
      </w:pPr>
      <w:r>
        <w:rPr>
          <w:rFonts w:ascii="Arial" w:cs="Arial" w:eastAsia="Arial" w:hAnsi="Arial"/>
          <w:sz w:val="17"/>
          <w:szCs w:val="17"/>
          <w:color w:val="auto"/>
        </w:rPr>
        <w:t>Historically, we have not paid cash or stock-based compensation to directors for their service on our board of directors. In 2017, we did not grant any equity awards to the non-employee members of our board of directors, and none of our non-employee directors held any equity awards as of December 31, 2017. On May 18, 2018 we granted to Dr. Daniel an option to purchase 590,000 shares of our common stock pursuant to our 2017 Plan in connection with his commencement of service on our board of directors, which option vests in 36 equal monthly installments commencing on January 14, 2018. The option has an exercise price per share of $0.58, which was the fair market value at the time of grant. On December 4, 2018, we granted to Mr. Cox an option to purchase 210,000 shares of our common stock pursuant to our 2017 Plan in connection with his commencement of service on our board of directors, which option vests in 36 equal monthly installments commencing on December 4, 2018. The option has an exercise price per share of $2.38, which was the fair market value at the time of grant. On December 14, 2018, we granted to Ms. Galá an option to purchase 210,000 shares of our common stock pursuant to our 2017 Plan in connection with her commencement of service on our board of directors, which option vests in 36 equal monthly installments commencing on December 14, 2018. On December 14, 2018, we granted to Dr. Bilenker an option to purchase 210,000 shares of our common stock pursuant to our 2017 Plan in connection with his commencement of service on our board of directors, which option vests in 36 equal monthly installments commencing on December 14, 2018. The option has an exercise price per share of $2.38, which was the fair market value at the time of grant.</w:t>
      </w:r>
    </w:p>
    <w:p>
      <w:pPr>
        <w:spacing w:after="0" w:line="188"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We have reimbursed and will continue to reimburse all of our non-employee directors for their travel, lodging and other reasonable expenses incurred in attending meetings of our board of directors and committees of our board of directors.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771"/>
        <w:spacing w:after="0" w:line="277" w:lineRule="auto"/>
        <w:rPr>
          <w:sz w:val="20"/>
          <w:szCs w:val="20"/>
          <w:color w:val="auto"/>
        </w:rPr>
      </w:pPr>
      <w:r>
        <w:rPr>
          <w:rFonts w:ascii="Arial" w:cs="Arial" w:eastAsia="Arial" w:hAnsi="Arial"/>
          <w:sz w:val="18"/>
          <w:szCs w:val="18"/>
          <w:color w:val="auto"/>
        </w:rPr>
        <w:t>The following table sets forth in summary form information concerning the compensation that we paid or awarded during the year ended December 31, 2018 to each of our non-employee directors.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40" w:type="dxa"/>
            <w:vAlign w:val="bottom"/>
            <w:gridSpan w:val="3"/>
          </w:tcPr>
          <w:p>
            <w:pPr>
              <w:ind w:left="208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40" w:type="dxa"/>
            <w:vAlign w:val="bottom"/>
            <w:gridSpan w:val="3"/>
          </w:tcPr>
          <w:p>
            <w:pPr>
              <w:ind w:left="2080"/>
              <w:spacing w:after="0" w:line="149" w:lineRule="exact"/>
              <w:rPr>
                <w:sz w:val="20"/>
                <w:szCs w:val="20"/>
                <w:color w:val="auto"/>
              </w:rPr>
            </w:pPr>
            <w:r>
              <w:rPr>
                <w:rFonts w:ascii="Arial" w:cs="Arial" w:eastAsia="Arial" w:hAnsi="Arial"/>
                <w:sz w:val="14"/>
                <w:szCs w:val="14"/>
                <w:b w:val="1"/>
                <w:bCs w:val="1"/>
                <w:color w:val="auto"/>
              </w:rPr>
              <w:t>Awards</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2460" w:type="dxa"/>
            <w:vAlign w:val="bottom"/>
            <w:gridSpan w:val="2"/>
          </w:tcPr>
          <w:p>
            <w:pPr>
              <w:ind w:left="214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8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H. Bilenker, M.D.</w:t>
            </w:r>
            <w:r>
              <w:rPr>
                <w:rFonts w:ascii="Arial" w:cs="Arial" w:eastAsia="Arial" w:hAnsi="Arial"/>
                <w:sz w:val="15"/>
                <w:szCs w:val="15"/>
                <w:color w:val="auto"/>
              </w:rPr>
              <w:t>(2)</w:t>
            </w:r>
          </w:p>
        </w:tc>
        <w:tc>
          <w:tcPr>
            <w:tcW w:w="29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331,800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Kristina Burow</w:t>
            </w:r>
          </w:p>
        </w:tc>
        <w:tc>
          <w:tcPr>
            <w:tcW w:w="216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Cox</w:t>
            </w:r>
            <w:r>
              <w:rPr>
                <w:rFonts w:ascii="Arial" w:cs="Arial" w:eastAsia="Arial" w:hAnsi="Arial"/>
                <w:sz w:val="15"/>
                <w:szCs w:val="15"/>
                <w:color w:val="auto"/>
              </w:rPr>
              <w:t>(3)</w:t>
            </w:r>
          </w:p>
        </w:tc>
        <w:tc>
          <w:tcPr>
            <w:tcW w:w="29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331,800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Thomas Daniel, M.D.</w:t>
            </w:r>
            <w:r>
              <w:rPr>
                <w:rFonts w:ascii="Arial" w:cs="Arial" w:eastAsia="Arial" w:hAnsi="Arial"/>
                <w:sz w:val="15"/>
                <w:szCs w:val="15"/>
                <w:color w:val="auto"/>
              </w:rPr>
              <w:t>(4)</w:t>
            </w:r>
          </w:p>
        </w:tc>
        <w:tc>
          <w:tcPr>
            <w:tcW w:w="2940" w:type="dxa"/>
            <w:vAlign w:val="bottom"/>
            <w:gridSpan w:val="3"/>
          </w:tcPr>
          <w:p>
            <w:pPr>
              <w:ind w:left="2080"/>
              <w:spacing w:after="0"/>
              <w:rPr>
                <w:sz w:val="20"/>
                <w:szCs w:val="20"/>
                <w:color w:val="auto"/>
              </w:rPr>
            </w:pPr>
            <w:r>
              <w:rPr>
                <w:rFonts w:ascii="Arial" w:cs="Arial" w:eastAsia="Arial" w:hAnsi="Arial"/>
                <w:sz w:val="18"/>
                <w:szCs w:val="18"/>
                <w:color w:val="auto"/>
              </w:rPr>
              <w:t>224,200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Renée Galá</w:t>
            </w:r>
            <w:r>
              <w:rPr>
                <w:rFonts w:ascii="Arial" w:cs="Arial" w:eastAsia="Arial" w:hAnsi="Arial"/>
                <w:sz w:val="15"/>
                <w:szCs w:val="15"/>
                <w:color w:val="auto"/>
              </w:rPr>
              <w:t>(5)</w:t>
            </w:r>
          </w:p>
        </w:tc>
        <w:tc>
          <w:tcPr>
            <w:tcW w:w="29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331,800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Richard Lim</w:t>
            </w:r>
          </w:p>
        </w:tc>
        <w:tc>
          <w:tcPr>
            <w:tcW w:w="216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Nelsen</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Otello Stampacchia, Ph.D.</w:t>
            </w:r>
          </w:p>
        </w:tc>
        <w:tc>
          <w:tcPr>
            <w:tcW w:w="216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Wenkai Xiang, Ph.D.</w:t>
            </w:r>
            <w:r>
              <w:rPr>
                <w:rFonts w:ascii="Arial" w:cs="Arial" w:eastAsia="Arial" w:hAnsi="Arial"/>
                <w:sz w:val="15"/>
                <w:szCs w:val="15"/>
                <w:color w:val="auto"/>
              </w:rPr>
              <w:t>(6)</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Qinqing Yi</w:t>
            </w:r>
            <w:r>
              <w:rPr>
                <w:rFonts w:ascii="Arial" w:cs="Arial" w:eastAsia="Arial" w:hAnsi="Arial"/>
                <w:sz w:val="15"/>
                <w:szCs w:val="15"/>
                <w:color w:val="auto"/>
              </w:rPr>
              <w:t>(7)</w:t>
            </w:r>
          </w:p>
        </w:tc>
        <w:tc>
          <w:tcPr>
            <w:tcW w:w="216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line="241" w:lineRule="auto"/>
        <w:tabs>
          <w:tab w:leader="none" w:pos="5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column reflects the grant date fair value of the option awards granted to the non-employee directors in 2018. In accordance with SEC rules, this column reflects the aggregate fair value of the option awards granted to the non-employee directors during 2018 computed as of the grant date in accordance with Financial Accounting Standards, Standard Board Accounting Codification Topic 718 for stock-based compensation transactions (ASC 718). Assumptions used in the calculation of this amount are included in Note 9 to our consolidated financial statements appearing elsewhere in this prospectus. This amount does not reflect the actual economic value that will be realized by the non-employee directors upon the vesting or exercise of the awards or the sale of the common stock underlying such awards. As of December 31, 2018, only the following non-employee directors held any outstanding equity awards: Dr. Bilenker, 210,000 options; Mr. Cox, 210,000 options; Dr. Daniel, 590,000 options; and Ms. Galá, 210,000 options.</w:t>
      </w:r>
    </w:p>
    <w:p>
      <w:pPr>
        <w:spacing w:after="0" w:line="2" w:lineRule="exact"/>
        <w:rPr>
          <w:rFonts w:ascii="Arial" w:cs="Arial" w:eastAsia="Arial" w:hAnsi="Arial"/>
          <w:sz w:val="13"/>
          <w:szCs w:val="13"/>
          <w:color w:val="auto"/>
        </w:rPr>
      </w:pPr>
    </w:p>
    <w:p>
      <w:pPr>
        <w:ind w:left="520" w:hanging="316"/>
        <w:spacing w:after="0" w:line="221"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Bilenker was appointed to our board of directors effective December 14, 2018.</w:t>
      </w:r>
    </w:p>
    <w:p>
      <w:pPr>
        <w:ind w:left="520" w:hanging="316"/>
        <w:spacing w:after="0" w:line="221"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Cox was appointed to our board of directors effective November 26, 2018.</w:t>
      </w:r>
    </w:p>
    <w:p>
      <w:pPr>
        <w:ind w:left="520" w:hanging="316"/>
        <w:spacing w:after="0" w:line="221"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Daniel was appointed to our board of directors effective January 4, 2018.</w:t>
      </w:r>
    </w:p>
    <w:p>
      <w:pPr>
        <w:ind w:left="520" w:hanging="316"/>
        <w:spacing w:after="0" w:line="221"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Ms. Galá was appointed to our board of directors effective December 14, 2018.</w:t>
      </w:r>
    </w:p>
    <w:p>
      <w:pPr>
        <w:ind w:left="520" w:hanging="316"/>
        <w:spacing w:after="0" w:line="221"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Xiang was appointed to our board of directors effective December 18, 2018.</w:t>
      </w:r>
    </w:p>
    <w:p>
      <w:pPr>
        <w:ind w:left="520" w:hanging="316"/>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Yi resigned from our board of directors effective December 18, 2018.</w:t>
      </w:r>
    </w:p>
    <w:p>
      <w:pPr>
        <w:spacing w:after="0" w:line="196"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In connection with this offering, we intend to adopt and ask our stockholders to approve the initial terms of our non-employee director compensation program. The material terms of the non-employee director compensation program, as it is currently contemplated, are summarized below. Our board of directors is still in the process of considering the non-employee director compensation program and, accordingly, this summary is subject to change.</w:t>
      </w:r>
    </w:p>
    <w:p>
      <w:pPr>
        <w:spacing w:after="0" w:line="187" w:lineRule="exact"/>
        <w:rPr>
          <w:sz w:val="20"/>
          <w:szCs w:val="20"/>
          <w:color w:val="auto"/>
        </w:rPr>
      </w:pPr>
    </w:p>
    <w:p>
      <w:pPr>
        <w:ind w:left="200" w:right="20" w:firstLine="771"/>
        <w:spacing w:after="0" w:line="285" w:lineRule="auto"/>
        <w:rPr>
          <w:sz w:val="20"/>
          <w:szCs w:val="20"/>
          <w:color w:val="auto"/>
        </w:rPr>
      </w:pPr>
      <w:r>
        <w:rPr>
          <w:rFonts w:ascii="Arial" w:cs="Arial" w:eastAsia="Arial" w:hAnsi="Arial"/>
          <w:sz w:val="16"/>
          <w:szCs w:val="16"/>
          <w:color w:val="auto"/>
        </w:rPr>
        <w:t>The non-employee director compensation policy will provide for annual retainer fees and/or long-term equity awards for our non-employee directors. We expect each non-employee director will receive an annual retainer of $40,000. Non-employee directors serving as the chairs of the audit, compensation and nominating and corporate governance committees will receive additional annual retainers of $15,000, $10,000 and $8,000, respectively. Non-employee directors serving as members of the audit, compensation and nominating and corporate governance committees will receive additional annual retainers of $7,500, $5,000 and $4,000, respectively. The non-employee directors will also receive initial grants of options to purchase</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shares of our common stock, vesting monthly over three years, upon election to the board of directors, and thereafter annual grants of options to</w:t>
      </w:r>
    </w:p>
    <w:p>
      <w:pPr>
        <w:spacing w:after="0" w:line="32"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purchase shares of our common stock, vesting on the first to occur of (1) the first anniversary of the grant date or (2) the next occurring annual meeting of our stockholders.</w:t>
      </w:r>
    </w:p>
    <w:p>
      <w:pPr>
        <w:spacing w:after="0" w:line="184" w:lineRule="exact"/>
        <w:rPr>
          <w:sz w:val="20"/>
          <w:szCs w:val="20"/>
          <w:color w:val="auto"/>
        </w:rPr>
      </w:pPr>
    </w:p>
    <w:p>
      <w:pPr>
        <w:ind w:left="200" w:right="60" w:firstLine="771"/>
        <w:spacing w:after="0" w:line="276" w:lineRule="auto"/>
        <w:rPr>
          <w:sz w:val="20"/>
          <w:szCs w:val="20"/>
          <w:color w:val="auto"/>
        </w:rPr>
      </w:pPr>
      <w:r>
        <w:rPr>
          <w:rFonts w:ascii="Arial" w:cs="Arial" w:eastAsia="Arial" w:hAnsi="Arial"/>
          <w:sz w:val="17"/>
          <w:szCs w:val="17"/>
          <w:color w:val="auto"/>
        </w:rPr>
        <w:t>Compensation under our non-employee director compensation policy will be subject to the annual limits on non-employee director compensation set forth in the 2019 Plan, as described above. Our board of directors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2019 Plan. As provided in the 2019 Plan, our board of directors or its authorized committee may make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exceptions to this limit for individual non-employee directors in extraordinary circumstances, as the board of directors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jc w:val="both"/>
        <w:ind w:left="200" w:right="40" w:firstLine="771"/>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208" w:lineRule="exact"/>
        <w:rPr>
          <w:sz w:val="20"/>
          <w:szCs w:val="20"/>
          <w:color w:val="auto"/>
        </w:rPr>
      </w:pPr>
    </w:p>
    <w:p>
      <w:pPr>
        <w:ind w:left="1400" w:hanging="318"/>
        <w:spacing w:after="0"/>
        <w:tabs>
          <w:tab w:leader="none" w:pos="1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or</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00" w:firstLine="771"/>
        <w:spacing w:after="0" w:line="279" w:lineRule="auto"/>
        <w:rPr>
          <w:sz w:val="20"/>
          <w:szCs w:val="20"/>
          <w:color w:val="auto"/>
        </w:rPr>
      </w:pPr>
      <w:r>
        <w:rPr>
          <w:rFonts w:ascii="Arial" w:cs="Arial" w:eastAsia="Arial" w:hAnsi="Arial"/>
          <w:sz w:val="17"/>
          <w:szCs w:val="17"/>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71" w:lineRule="exact"/>
        <w:rPr>
          <w:sz w:val="20"/>
          <w:szCs w:val="20"/>
          <w:color w:val="auto"/>
        </w:rPr>
      </w:pPr>
    </w:p>
    <w:p>
      <w:pPr>
        <w:ind w:left="200" w:right="360" w:firstLine="771"/>
        <w:spacing w:after="0" w:line="302"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54"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78" w:lineRule="exact"/>
        <w:rPr>
          <w:sz w:val="20"/>
          <w:szCs w:val="20"/>
          <w:color w:val="auto"/>
        </w:rPr>
      </w:pPr>
    </w:p>
    <w:p>
      <w:pPr>
        <w:jc w:val="both"/>
        <w:ind w:left="200" w:right="100" w:firstLine="771"/>
        <w:spacing w:after="0" w:line="264" w:lineRule="auto"/>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81"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right="140" w:firstLine="771"/>
        <w:spacing w:after="0" w:line="297" w:lineRule="auto"/>
        <w:rPr>
          <w:sz w:val="20"/>
          <w:szCs w:val="20"/>
          <w:color w:val="auto"/>
        </w:rPr>
      </w:pPr>
      <w:r>
        <w:rPr>
          <w:rFonts w:ascii="Arial" w:cs="Arial" w:eastAsia="Arial" w:hAnsi="Arial"/>
          <w:sz w:val="16"/>
          <w:szCs w:val="16"/>
          <w:color w:val="auto"/>
        </w:rPr>
        <w:t>The following includes a summary of transactions since our inception on October 26, 2015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Promissory Note</w:t>
      </w:r>
    </w:p>
    <w:p>
      <w:pPr>
        <w:spacing w:after="0" w:line="229" w:lineRule="exact"/>
        <w:rPr>
          <w:sz w:val="20"/>
          <w:szCs w:val="20"/>
          <w:color w:val="auto"/>
        </w:rPr>
      </w:pPr>
    </w:p>
    <w:p>
      <w:pPr>
        <w:ind w:left="200" w:right="140" w:firstLine="771"/>
        <w:spacing w:after="0" w:line="279" w:lineRule="auto"/>
        <w:rPr>
          <w:sz w:val="20"/>
          <w:szCs w:val="20"/>
          <w:color w:val="auto"/>
        </w:rPr>
      </w:pPr>
      <w:r>
        <w:rPr>
          <w:rFonts w:ascii="Arial" w:cs="Arial" w:eastAsia="Arial" w:hAnsi="Arial"/>
          <w:sz w:val="17"/>
          <w:szCs w:val="17"/>
          <w:color w:val="auto"/>
        </w:rPr>
        <w:t>On October 2, 2017, we issued and sold in a private placement a $6.0 million convertible promissory note, or the ARCH note, to ARCH Venture Fund IX, L.P., or ARCH IX. The ARCH note accrued interest at a rate of 8% per annum. The ARCH note, including $0.1 million in accrued interest thereon, was automatically converted into shares of our Series A convertible preferred stock in the January 2018 Series A convertible preferred stock financing described below. ARCH IX is a beneficial owner of more than 5% of our capital stock.</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ind w:left="200" w:right="40" w:firstLine="771"/>
        <w:spacing w:after="0" w:line="293" w:lineRule="auto"/>
        <w:rPr>
          <w:sz w:val="20"/>
          <w:szCs w:val="20"/>
          <w:color w:val="auto"/>
        </w:rPr>
      </w:pPr>
      <w:r>
        <w:rPr>
          <w:rFonts w:ascii="Arial" w:cs="Arial" w:eastAsia="Arial" w:hAnsi="Arial"/>
          <w:sz w:val="16"/>
          <w:szCs w:val="16"/>
          <w:color w:val="auto"/>
        </w:rPr>
        <w:t>On December 29, 2017, we entered into a merger agreement, or the Merger Agreement, with AA BioPharma Inc. and AAB Merger Sub, Inc., or Merger Sub, a Delaware corporation and our wholly-owned subsidiary. Pursuant to the Merger Agreement, in January 2018, Merger Sub was merged into and with AA BioPharma, with AA BioPharma surviving as our wholly-owned subsidiary. Pulmagen Therapeutics (Asthma) Limited is a wholly-owned subsidiary of AA BioPharma. In connection with the Merger Agreement, all of the issued and outstanding shares of AA BioPharma were converted into shares of our stock, including 4,955,752 shares of our common stock issued to one investor and 20,000,000 shares of our Series Seed convertible preferred stock issued to Omega Fund V, L.P., or Omega V, a beneficial owner of more than 5% of our capital stock.</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 Financings</w:t>
      </w:r>
    </w:p>
    <w:p>
      <w:pPr>
        <w:spacing w:after="0" w:line="229"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i w:val="1"/>
          <w:iCs w:val="1"/>
          <w:color w:val="auto"/>
        </w:rPr>
        <w:t>Series A Convertible Preferred Stock Financings</w:t>
      </w:r>
      <w:r>
        <w:rPr>
          <w:rFonts w:ascii="Arial" w:cs="Arial" w:eastAsia="Arial" w:hAnsi="Arial"/>
          <w:sz w:val="17"/>
          <w:szCs w:val="17"/>
          <w:color w:val="auto"/>
        </w:rPr>
        <w:t>. In January 2018, we entered into a Series A preferred stock purchase agreement,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sold to investors in an initial closing and subsequent closings from January 2018 to March 2018 in private placements an aggregate of 45,714,286 shares of our Series A convertible preferred stock at a purchase price of $1.75 per share, for an aggregate purchase price of approximately $80.0 million, including the conversion of the ARCH note described above for approximately $6.1 million.</w:t>
      </w:r>
    </w:p>
    <w:p>
      <w:pPr>
        <w:spacing w:after="0" w:line="171" w:lineRule="exact"/>
        <w:rPr>
          <w:sz w:val="20"/>
          <w:szCs w:val="20"/>
          <w:color w:val="auto"/>
        </w:rPr>
      </w:pPr>
    </w:p>
    <w:p>
      <w:pPr>
        <w:ind w:left="200" w:right="340" w:firstLine="771"/>
        <w:spacing w:after="0" w:line="286" w:lineRule="auto"/>
        <w:rPr>
          <w:sz w:val="20"/>
          <w:szCs w:val="20"/>
          <w:color w:val="auto"/>
        </w:rPr>
      </w:pPr>
      <w:r>
        <w:rPr>
          <w:rFonts w:ascii="Arial" w:cs="Arial" w:eastAsia="Arial" w:hAnsi="Arial"/>
          <w:sz w:val="17"/>
          <w:szCs w:val="17"/>
          <w:i w:val="1"/>
          <w:iCs w:val="1"/>
          <w:color w:val="auto"/>
        </w:rPr>
        <w:t>Series B Convertible Preferred Stock Financing</w:t>
      </w:r>
      <w:r>
        <w:rPr>
          <w:rFonts w:ascii="Arial" w:cs="Arial" w:eastAsia="Arial" w:hAnsi="Arial"/>
          <w:sz w:val="17"/>
          <w:szCs w:val="17"/>
          <w:color w:val="auto"/>
        </w:rPr>
        <w:t>. In July 2018, we entered into a Series B preferred stock purchase agreement,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sold to investors in July 2018 in private placements an aggregate of 71,506,513 shares of our Series B convertible preferred stock at a purchase price of $3.2167 per share, for an aggregate purchase price of approximately $230.0 million.</w:t>
      </w:r>
    </w:p>
    <w:p>
      <w:pPr>
        <w:spacing w:after="0" w:line="166" w:lineRule="exact"/>
        <w:rPr>
          <w:sz w:val="20"/>
          <w:szCs w:val="20"/>
          <w:color w:val="auto"/>
        </w:rPr>
      </w:pPr>
    </w:p>
    <w:p>
      <w:pPr>
        <w:ind w:left="200" w:right="380" w:firstLine="771"/>
        <w:spacing w:after="0" w:line="277" w:lineRule="auto"/>
        <w:rPr>
          <w:sz w:val="20"/>
          <w:szCs w:val="20"/>
          <w:color w:val="auto"/>
        </w:rPr>
      </w:pPr>
      <w:r>
        <w:rPr>
          <w:rFonts w:ascii="Arial" w:cs="Arial" w:eastAsia="Arial" w:hAnsi="Arial"/>
          <w:sz w:val="18"/>
          <w:szCs w:val="18"/>
          <w:color w:val="auto"/>
        </w:rPr>
        <w:t>All purchasers of our convertible preferred stock are entitled to specified registration rights. See the section titled “Description of Capital Stock—Registration Rights” for more information regarding these registration rights.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The following table sets forth the aggregate number of shares acquired by the listed directors, executive officers or holders of more than 5% of our capital stock, or their affiliates. Each share of preferred stock, including the shares identified in the following table, will convert into shares of common stock at a ratio of one-for-one immediately prior to the closing of this offering.</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Series Seed</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Series A</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Series 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49"/>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7700" w:type="dxa"/>
            <w:vAlign w:val="bottom"/>
            <w:gridSpan w:val="3"/>
            <w:vMerge w:val="continue"/>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Stock</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4"/>
                <w:szCs w:val="14"/>
                <w:color w:val="auto"/>
              </w:rPr>
            </w:pPr>
          </w:p>
        </w:tc>
        <w:tc>
          <w:tcPr>
            <w:tcW w:w="7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 xml:space="preserve">Sheila Gujrathi, M.D. </w:t>
            </w:r>
            <w:r>
              <w:rPr>
                <w:rFonts w:ascii="Arial" w:cs="Arial" w:eastAsia="Arial" w:hAnsi="Arial"/>
                <w:sz w:val="15"/>
                <w:szCs w:val="15"/>
                <w:color w:val="auto"/>
              </w:rPr>
              <w:t>(1)</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371,968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Faheem Hasnain</w:t>
            </w:r>
            <w:r>
              <w:rPr>
                <w:rFonts w:ascii="Arial" w:cs="Arial" w:eastAsia="Arial" w:hAnsi="Arial"/>
                <w:sz w:val="15"/>
                <w:szCs w:val="15"/>
                <w:color w:val="auto"/>
              </w:rPr>
              <w:t>(2)</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371,968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Bryan Giraudo</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57,142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Waage</w:t>
            </w:r>
            <w:r>
              <w:rPr>
                <w:rFonts w:ascii="Arial" w:cs="Arial" w:eastAsia="Arial" w:hAnsi="Arial"/>
                <w:sz w:val="15"/>
                <w:szCs w:val="15"/>
                <w:color w:val="auto"/>
              </w:rPr>
              <w:t>(3)</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Thomas Daniel. M.D.</w:t>
            </w:r>
            <w:r>
              <w:rPr>
                <w:rFonts w:ascii="Arial" w:cs="Arial" w:eastAsia="Arial" w:hAnsi="Arial"/>
                <w:sz w:val="15"/>
                <w:szCs w:val="15"/>
                <w:color w:val="auto"/>
              </w:rPr>
              <w:t>(4)</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171,429</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5"/>
                <w:szCs w:val="15"/>
                <w:color w:val="auto"/>
              </w:rPr>
              <w:t>(5)</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Entities affiliated with ARCH Venture Partners</w:t>
            </w:r>
            <w:r>
              <w:rPr>
                <w:rFonts w:ascii="Arial" w:cs="Arial" w:eastAsia="Arial" w:hAnsi="Arial"/>
                <w:sz w:val="15"/>
                <w:szCs w:val="15"/>
                <w:color w:val="auto"/>
              </w:rPr>
              <w:t>(6)</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33,142,857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3,108,776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Omega Fund V, L.P. </w:t>
            </w:r>
            <w:r>
              <w:rPr>
                <w:rFonts w:ascii="Arial" w:cs="Arial" w:eastAsia="Arial" w:hAnsi="Arial"/>
                <w:sz w:val="15"/>
                <w:szCs w:val="15"/>
                <w:color w:val="auto"/>
              </w:rPr>
              <w:t>(7)</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7,124,620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4,165,760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HH Goss Holdings LLC</w:t>
            </w:r>
            <w:r>
              <w:rPr>
                <w:rFonts w:ascii="Arial" w:cs="Arial" w:eastAsia="Arial" w:hAnsi="Arial"/>
                <w:sz w:val="15"/>
                <w:szCs w:val="15"/>
                <w:color w:val="auto"/>
              </w:rPr>
              <w:t>(8)</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22,383,188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right="60" w:hanging="316"/>
        <w:spacing w:after="0" w:line="230"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securities acquired by family trusts. Dr. Gujrathi, our President, Chief Executive Officer and a member of our board of directors, is a trustee of one of these family trusts, and is a beneficial holder of more than 5% of our capital stock.</w:t>
      </w:r>
    </w:p>
    <w:p>
      <w:pPr>
        <w:ind w:left="520" w:right="340" w:hanging="316"/>
        <w:spacing w:after="0" w:line="22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securities acquired by family trusts. Mr. Hasnain, our Executive Chairman of the board of directors, is a trustee of one of these family trusts, and is a beneficial holder of more than 5% of our capital stock.</w:t>
      </w:r>
    </w:p>
    <w:p>
      <w:pPr>
        <w:ind w:left="520" w:right="400" w:hanging="316"/>
        <w:spacing w:after="0" w:line="22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securities acquired by the Waage Trust Dated June 11, 2008. Christian Waage, our Executive Vice President and General Counsel, is a trustee of the Waage Trust Dated June 11, 2008.</w:t>
      </w:r>
    </w:p>
    <w:p>
      <w:pPr>
        <w:ind w:left="520" w:hanging="316"/>
        <w:spacing w:after="0"/>
        <w:tabs>
          <w:tab w:leader="none" w:pos="5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securities acquired by the Thomas Oran Daniel Living Trust. Thomas Daniel, M.D., a member of our board of directors, is a trustee of the Thomas Oran Daniel Living Trust.</w:t>
      </w:r>
    </w:p>
    <w:p>
      <w:pPr>
        <w:ind w:left="520" w:hanging="316"/>
        <w:spacing w:after="0" w:line="22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under the section in this prospectus entitled “Principal Stockholders.”</w:t>
      </w:r>
    </w:p>
    <w:p>
      <w:pPr>
        <w:ind w:left="520" w:right="80" w:hanging="316"/>
        <w:spacing w:after="0" w:line="22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securities acquired by ARCH IX and ARCH Venture Fund IX Overage, L.P., or ARCH Overage. Robert Nelsen and Kristina Burow were at the time of the Series B convertible preferred stock financing, members of our board of directors, and Ms. Burow is currently a member of our board of directors, and are Managing Directors of ARCH Venture Partners, which is an affiliate of ARCH IX and ARCH Overage and their affiliated funds.</w:t>
      </w:r>
    </w:p>
    <w:p>
      <w:pPr>
        <w:ind w:left="520" w:right="60" w:hanging="316"/>
        <w:spacing w:after="0" w:line="22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Richard Lim and Otello Stampacchia, Ph.D. were at the time of the Series B convertible preferred stock financing, members of our board of directors, and Dr. Stampacchia is currently a member of our board of directors, and are Managing Directors of Omega Fund Management, which is an affiliate of Omega V.</w:t>
      </w:r>
    </w:p>
    <w:p>
      <w:pPr>
        <w:ind w:left="520" w:right="460" w:hanging="316"/>
        <w:spacing w:after="0" w:line="237"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Wenkai Xiang, Ph.D. is currently a member of our board of directors and is a Managing Director at Hillhouse Capital Group, or, together with its affiliates, Hillhouse, which is an affiliate of HH Goss Holdings LLC.</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Designation Agreement with Hillhouse</w:t>
      </w:r>
    </w:p>
    <w:p>
      <w:pPr>
        <w:spacing w:after="0" w:line="229" w:lineRule="exact"/>
        <w:rPr>
          <w:sz w:val="20"/>
          <w:szCs w:val="20"/>
          <w:color w:val="auto"/>
        </w:rPr>
      </w:pPr>
    </w:p>
    <w:p>
      <w:pPr>
        <w:jc w:val="both"/>
        <w:ind w:left="200" w:right="140" w:firstLine="771"/>
        <w:spacing w:after="0" w:line="285" w:lineRule="auto"/>
        <w:rPr>
          <w:sz w:val="20"/>
          <w:szCs w:val="20"/>
          <w:color w:val="auto"/>
        </w:rPr>
      </w:pPr>
      <w:r>
        <w:rPr>
          <w:rFonts w:ascii="Arial" w:cs="Arial" w:eastAsia="Arial" w:hAnsi="Arial"/>
          <w:sz w:val="16"/>
          <w:szCs w:val="16"/>
          <w:color w:val="auto"/>
        </w:rPr>
        <w:t>On July 20, 2018, we entered into a board designation agreement with HH Goss Holdings LLC, a beneficial owner of more than 5% of our capital stock and an affiliate of Hillhouse. The agreement provides that HH Goss Holdings LLC or its affiliates will, effective as of the closing of this offering, have the right to designate one member to our board of directors and have such member appointed to any board committee that it requests, in each case, subject to our obligation to comply with applicable law and Nasdaq listing standards. The Hillhouse board designation agreement terminates at such time as HH Goss Holdings LLC and its affiliates cease to beneficially own at least 5% of our outstanding voting stock, or upon the later of</w:t>
      </w:r>
    </w:p>
    <w:p>
      <w:pPr>
        <w:spacing w:after="0" w:line="2" w:lineRule="exact"/>
        <w:rPr>
          <w:sz w:val="20"/>
          <w:szCs w:val="20"/>
          <w:color w:val="auto"/>
        </w:rPr>
      </w:pPr>
    </w:p>
    <w:p>
      <w:pPr>
        <w:ind w:left="200" w:right="460" w:firstLine="4"/>
        <w:spacing w:after="0" w:line="254" w:lineRule="auto"/>
        <w:tabs>
          <w:tab w:leader="none" w:pos="4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18 months following the closing of this offering or (b) six months following the first public read out of interim results from our planned GB001 Phase 2 clinical trial. Upon termination of the agreement, the director seat will be filled by our stockholders in accordance with our amended and restated certificate of incorporation and our amended and restated by-laws, as described in “Management—Board Composition and Election of Directors.”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200" w:right="40" w:firstLine="771"/>
        <w:spacing w:after="0" w:line="293" w:lineRule="auto"/>
        <w:rPr>
          <w:sz w:val="20"/>
          <w:szCs w:val="20"/>
          <w:color w:val="auto"/>
        </w:rPr>
      </w:pPr>
      <w:r>
        <w:rPr>
          <w:rFonts w:ascii="Arial" w:cs="Arial" w:eastAsia="Arial" w:hAnsi="Arial"/>
          <w:sz w:val="16"/>
          <w:szCs w:val="16"/>
          <w:color w:val="auto"/>
        </w:rPr>
        <w:t>We entered into an investor rights agreement in January 2018, which was amended in July 2018, with the holders of our convertible preferred stock, including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investor rights agreement), all rights under this agreement will terminate upon closing of this offering. The registration rights will continue following this offering and will terminate five years following the closing of this offering. See “Description of Capital Stock—Registration Rights” for additional information.</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ind w:left="200" w:right="220" w:firstLine="771"/>
        <w:spacing w:after="0" w:line="286" w:lineRule="auto"/>
        <w:rPr>
          <w:sz w:val="20"/>
          <w:szCs w:val="20"/>
          <w:color w:val="auto"/>
        </w:rPr>
      </w:pPr>
      <w:r>
        <w:rPr>
          <w:rFonts w:ascii="Arial" w:cs="Arial" w:eastAsia="Arial" w:hAnsi="Arial"/>
          <w:sz w:val="16"/>
          <w:szCs w:val="16"/>
          <w:color w:val="auto"/>
        </w:rPr>
        <w:t>We entered into a voting agreement in January 2018, which was amended in July 2018, with certain of our stockholders, pursuant to which the following directors were each elected to serve as members on our board of directors: Sheila Gujrathi, M.D., Faheem Hasnain, Robert Nelsen, Kristina Burow, Richard Lim, Otello Stampacchia, Ph.D., Qinqing Yi and Thomas Daniel, M.D. Other than Mr. Nelsen, Mr. Lim and Mr. Yi, each of these directors continues to serve on our board of directors. Pursuant to the voting agreement, Dr. Gujrathi, as our Chief Executive Officer, and</w:t>
      </w:r>
    </w:p>
    <w:p>
      <w:pPr>
        <w:spacing w:after="0" w:line="2"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Mr. Hasnain serve on our board of directors as a representative of holders of our common stock, as designated by a majority of our common stockholders. Mr. Nelsen and Ms. Burow were initially selected to serve on our board of directors as representatives of holders of our Series A convertible preferred stock, as designated by ARCH Venture Fund IX, L.P. Messrs. Lim and Stampacchia were also initially selected to serve on our board of directors as representatives of holders of our Series A convertible preferred stock, as designated by Omega Fund V, L.P. Mr. Yi was initially selected to serve on our board of directors as a representative of holders of our Series B convertible preferred stock, as designated by HH Goss Holdings LLC. Dr. Daniel was initially selected to serve on our board of directors as a representative of holders of our common stock and preferred stock, as designated by a majority of our common and preferred stockholders, voting together as a single class.</w:t>
      </w:r>
    </w:p>
    <w:p>
      <w:pPr>
        <w:spacing w:after="0" w:line="181"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The voting agreement will terminate upon the closing of this offering and, other than Mr. Nelsen, Mr. Lim and Mr. Yi, members previously elected to our board of directors pursuant to this agreement will continue to serve as directors until they resign, are removed or their successors are duly elected by holders of our common stock. Wenkai Xiang, Ph.D. has been designated as a replacement for Mr. Yi, and shall continue to serve pursuant to the board designation agreement with HH Goss Holdings LLC. The composition of our board of directors after this offering is described in more detail under “Management—Board Composition and Election of Directors.”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Founders’ Equity Grants</w:t>
      </w:r>
    </w:p>
    <w:p>
      <w:pPr>
        <w:spacing w:after="0" w:line="229"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On December 3, 2015, we issued and sold to each of Sheila Gujrathi, M.D. and Faheem Hasnain 20,612,000 shares of our common stock for a per share purchase price of $0.001 per share. For more information regarding these and additional stock issuances to Dr. Gujrathi and Mr. Hasnain pursuant to their employment letters, see the section in this prospectus entitled “Executive and Director Compensation—Employment Letters with our Named Executive Officers.”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200" w:firstLine="771"/>
        <w:spacing w:after="0" w:line="342" w:lineRule="auto"/>
        <w:rPr>
          <w:sz w:val="20"/>
          <w:szCs w:val="20"/>
          <w:color w:val="auto"/>
        </w:rPr>
      </w:pPr>
      <w:r>
        <w:rPr>
          <w:rFonts w:ascii="Arial" w:cs="Arial" w:eastAsia="Arial" w:hAnsi="Arial"/>
          <w:sz w:val="16"/>
          <w:szCs w:val="16"/>
          <w:color w:val="auto"/>
        </w:rPr>
        <w:t>We have entered into employment agreements with our executive officers. For more information regarding these employment agreements, see the section in this prospectus entitled “Executive and Director Compensation—Employment Letters with our Named Executive Officers.”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229"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8" w:lineRule="exact"/>
        <w:rPr>
          <w:sz w:val="20"/>
          <w:szCs w:val="20"/>
          <w:color w:val="auto"/>
        </w:rPr>
      </w:pPr>
    </w:p>
    <w:p>
      <w:pPr>
        <w:ind w:left="200" w:right="280" w:firstLine="771"/>
        <w:spacing w:after="0" w:line="302"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 Grants to Executive Officers and Directors</w:t>
      </w:r>
    </w:p>
    <w:p>
      <w:pPr>
        <w:spacing w:after="0" w:line="229"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We have granted restricted stock and stock options to our executive officers and certain of our directors as more fully described in the section entitled “Executive and Director Compensation.”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and Arrangements</w:t>
      </w:r>
    </w:p>
    <w:p>
      <w:pPr>
        <w:spacing w:after="0" w:line="229" w:lineRule="exact"/>
        <w:rPr>
          <w:sz w:val="20"/>
          <w:szCs w:val="20"/>
          <w:color w:val="auto"/>
        </w:rPr>
      </w:pPr>
    </w:p>
    <w:p>
      <w:pPr>
        <w:jc w:val="both"/>
        <w:ind w:left="200" w:right="420" w:firstLine="771"/>
        <w:spacing w:after="0" w:line="264" w:lineRule="auto"/>
        <w:rPr>
          <w:sz w:val="20"/>
          <w:szCs w:val="20"/>
          <w:color w:val="auto"/>
        </w:rPr>
      </w:pPr>
      <w:r>
        <w:rPr>
          <w:rFonts w:ascii="Arial" w:cs="Arial" w:eastAsia="Arial" w:hAnsi="Arial"/>
          <w:sz w:val="18"/>
          <w:szCs w:val="18"/>
          <w:color w:val="auto"/>
        </w:rPr>
        <w:t>Aaron Hasnain is the son of our Executive Chairman, Faheem Hasnain, and currently serves as our Director, Business Development at a salary of $140,000 per year, a position he has held since January 2018. In November 2017, we granted 226,732 shares of restricted stock to Aaron Hasnain.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Our board of directors will adopt a written related person transaction policy, to be effective upon the closing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280" w:firstLine="771"/>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15, 2018, and as adjusted to reflect the sale of shares of common stock in this offering, by:</w:t>
      </w:r>
    </w:p>
    <w:p>
      <w:pPr>
        <w:spacing w:after="0" w:line="197" w:lineRule="exact"/>
        <w:rPr>
          <w:sz w:val="20"/>
          <w:szCs w:val="20"/>
          <w:color w:val="auto"/>
        </w:rPr>
      </w:pPr>
    </w:p>
    <w:p>
      <w:pPr>
        <w:ind w:left="1400" w:hanging="318"/>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207,121,355 shares of common stock outstanding on December 15, 2018, which gives effect to the automatic conversion of all outstanding shares of our preferred stock into 137,220,799 shares of our common stock and includes 33,779,070 shares subject to forfeiture. In computing the number of shares beneficially owned by a person and the percentage ownership of that person, shares of common stock subject to options or other rights held by such person that are currently exercisable or will become exercisable within 60 days of December 15, 2018 are considered outstanding, although these shares are not considered outstanding for purposes of computing the percentage ownership of any other person.</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771"/>
        <w:spacing w:after="0" w:line="312" w:lineRule="auto"/>
        <w:rPr>
          <w:sz w:val="20"/>
          <w:szCs w:val="20"/>
          <w:color w:val="auto"/>
        </w:rPr>
      </w:pPr>
      <w:r>
        <w:rPr>
          <w:rFonts w:ascii="Arial" w:cs="Arial" w:eastAsia="Arial" w:hAnsi="Arial"/>
          <w:sz w:val="16"/>
          <w:szCs w:val="16"/>
          <w:color w:val="auto"/>
        </w:rPr>
        <w:t>Unless otherwise indicated, the address of each beneficial owner listed below is c/o Gossamer Bio, Inc., 3013 Science Park Road, Suite 200,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Shares Beneficially Owned</w:t>
            </w:r>
          </w:p>
        </w:tc>
        <w:tc>
          <w:tcPr>
            <w:tcW w:w="240" w:type="dxa"/>
            <w:vAlign w:val="bottom"/>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Before and After the</w:t>
            </w:r>
          </w:p>
        </w:tc>
        <w:tc>
          <w:tcPr>
            <w:tcW w:w="120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Before</w:t>
            </w:r>
          </w:p>
        </w:tc>
        <w:tc>
          <w:tcPr>
            <w:tcW w:w="60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71"/>
        </w:trPr>
        <w:tc>
          <w:tcPr>
            <w:tcW w:w="5420" w:type="dxa"/>
            <w:vAlign w:val="bottom"/>
            <w:gridSpan w:val="3"/>
            <w:vMerge w:val="continue"/>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Offering</w:t>
            </w: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Offering</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Funds affiliated with ARCH Venture Partners</w:t>
            </w:r>
            <w:r>
              <w:rPr>
                <w:rFonts w:ascii="Arial" w:cs="Arial" w:eastAsia="Arial" w:hAnsi="Arial"/>
                <w:sz w:val="15"/>
                <w:szCs w:val="15"/>
                <w:color w:val="auto"/>
              </w:rPr>
              <w:t>(1)</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36,251,633</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17.5%</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Omega Fund V, L.P.</w:t>
            </w:r>
            <w:r>
              <w:rPr>
                <w:rFonts w:ascii="Arial" w:cs="Arial" w:eastAsia="Arial" w:hAnsi="Arial"/>
                <w:sz w:val="15"/>
                <w:szCs w:val="15"/>
                <w:color w:val="auto"/>
              </w:rPr>
              <w:t>(2)</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31,290,380</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15.1%</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HH Goss Holdings LLC</w:t>
            </w:r>
            <w:r>
              <w:rPr>
                <w:rFonts w:ascii="Arial" w:cs="Arial" w:eastAsia="Arial" w:hAnsi="Arial"/>
                <w:sz w:val="15"/>
                <w:szCs w:val="15"/>
                <w:color w:val="auto"/>
              </w:rPr>
              <w:t>(3)</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22,383,188</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10.8%</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Trusts for the benefit of Mr. Hasnain’s family</w:t>
            </w:r>
            <w:r>
              <w:rPr>
                <w:rFonts w:ascii="Arial" w:cs="Arial" w:eastAsia="Arial" w:hAnsi="Arial"/>
                <w:sz w:val="15"/>
                <w:szCs w:val="15"/>
                <w:color w:val="auto"/>
              </w:rPr>
              <w:t>(4)</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15,174,486</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Trusts for the benefit of Dr. Gujrathi’s family</w:t>
            </w:r>
            <w:r>
              <w:rPr>
                <w:rFonts w:ascii="Arial" w:cs="Arial" w:eastAsia="Arial" w:hAnsi="Arial"/>
                <w:sz w:val="15"/>
                <w:szCs w:val="15"/>
                <w:color w:val="auto"/>
              </w:rPr>
              <w:t>(5)</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12,114,716</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Sheila Gujrathi, M.D</w:t>
            </w:r>
            <w:r>
              <w:rPr>
                <w:rFonts w:ascii="Arial" w:cs="Arial" w:eastAsia="Arial" w:hAnsi="Arial"/>
                <w:sz w:val="15"/>
                <w:szCs w:val="15"/>
                <w:color w:val="auto"/>
              </w:rPr>
              <w:t>(6). .</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18,172,081</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8.8%</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Faheem Hasnain</w:t>
            </w:r>
            <w:r>
              <w:rPr>
                <w:rFonts w:ascii="Arial" w:cs="Arial" w:eastAsia="Arial" w:hAnsi="Arial"/>
                <w:sz w:val="15"/>
                <w:szCs w:val="15"/>
                <w:color w:val="auto"/>
              </w:rPr>
              <w:t>(7)</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15,174,487</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Christian Waage</w:t>
            </w:r>
            <w:r>
              <w:rPr>
                <w:rFonts w:ascii="Arial" w:cs="Arial" w:eastAsia="Arial" w:hAnsi="Arial"/>
                <w:sz w:val="15"/>
                <w:szCs w:val="15"/>
                <w:color w:val="auto"/>
              </w:rPr>
              <w:t>(8)</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2,365,311</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1.1%</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Giraudo</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80,458</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Jakob Dupont, M.D.</w:t>
            </w:r>
          </w:p>
        </w:tc>
        <w:tc>
          <w:tcPr>
            <w:tcW w:w="22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H. Bilenker, M.D.</w:t>
            </w:r>
            <w:r>
              <w:rPr>
                <w:rFonts w:ascii="Arial" w:cs="Arial" w:eastAsia="Arial" w:hAnsi="Arial"/>
                <w:sz w:val="15"/>
                <w:szCs w:val="15"/>
                <w:color w:val="auto"/>
              </w:rPr>
              <w:t>(9)</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5,833</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Kristina Burow</w:t>
            </w:r>
          </w:p>
        </w:tc>
        <w:tc>
          <w:tcPr>
            <w:tcW w:w="22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Cox</w:t>
            </w:r>
            <w:r>
              <w:rPr>
                <w:rFonts w:ascii="Arial" w:cs="Arial" w:eastAsia="Arial" w:hAnsi="Arial"/>
                <w:sz w:val="15"/>
                <w:szCs w:val="15"/>
                <w:color w:val="auto"/>
              </w:rPr>
              <w:t>(10)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5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Thomas Daniel, M.D.</w:t>
            </w:r>
            <w:r>
              <w:rPr>
                <w:rFonts w:ascii="Arial" w:cs="Arial" w:eastAsia="Arial" w:hAnsi="Arial"/>
                <w:sz w:val="15"/>
                <w:szCs w:val="15"/>
                <w:color w:val="auto"/>
              </w:rPr>
              <w:t>(11)</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368,095</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Renée Galá</w:t>
            </w:r>
            <w:r>
              <w:rPr>
                <w:rFonts w:ascii="Arial" w:cs="Arial" w:eastAsia="Arial" w:hAnsi="Arial"/>
                <w:sz w:val="15"/>
                <w:szCs w:val="15"/>
                <w:color w:val="auto"/>
              </w:rPr>
              <w:t>(12)</w:t>
            </w:r>
          </w:p>
        </w:tc>
        <w:tc>
          <w:tcPr>
            <w:tcW w:w="2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5,833</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Otello Stampacchia, Ph.D.</w:t>
            </w:r>
            <w:r>
              <w:rPr>
                <w:rFonts w:ascii="Arial" w:cs="Arial" w:eastAsia="Arial" w:hAnsi="Arial"/>
                <w:sz w:val="15"/>
                <w:szCs w:val="15"/>
                <w:color w:val="auto"/>
              </w:rPr>
              <w:t>(13)</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31,290,380</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15.1%</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Wenkai Xiang, Ph.D.</w:t>
            </w:r>
          </w:p>
        </w:tc>
        <w:tc>
          <w:tcPr>
            <w:tcW w:w="22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(15 persons)</w:t>
            </w:r>
            <w:r>
              <w:rPr>
                <w:rFonts w:ascii="Arial" w:cs="Arial" w:eastAsia="Arial" w:hAnsi="Arial"/>
                <w:sz w:val="15"/>
                <w:szCs w:val="15"/>
                <w:color w:val="auto"/>
              </w:rPr>
              <w:t>(14)</w:t>
            </w:r>
          </w:p>
        </w:tc>
        <w:tc>
          <w:tcPr>
            <w:tcW w:w="2200" w:type="dxa"/>
            <w:vAlign w:val="bottom"/>
            <w:gridSpan w:val="2"/>
          </w:tcPr>
          <w:p>
            <w:pPr>
              <w:jc w:val="right"/>
              <w:ind w:right="540"/>
              <w:spacing w:after="0"/>
              <w:rPr>
                <w:sz w:val="20"/>
                <w:szCs w:val="20"/>
                <w:color w:val="auto"/>
              </w:rPr>
            </w:pPr>
            <w:r>
              <w:rPr>
                <w:rFonts w:ascii="Arial" w:cs="Arial" w:eastAsia="Arial" w:hAnsi="Arial"/>
                <w:sz w:val="18"/>
                <w:szCs w:val="18"/>
                <w:color w:val="auto"/>
              </w:rPr>
              <w:t>68,257,400</w:t>
            </w: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32.9%</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Less than 1%.</w:t>
      </w:r>
    </w:p>
    <w:p>
      <w:pPr>
        <w:ind w:left="520" w:right="20" w:hanging="316"/>
        <w:spacing w:after="0" w:line="221" w:lineRule="auto"/>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18,125,817 shares of common stock held by ARCH Venture Fund IX, L.P., or ARCH IX, and (ii) 18,125,816 shares of common stock held by ARCH Overage. ARCH Venture Partners IX, L.P., or the GPLP, as the sole general partner of ARCH IX, may be deemed to beneficially own certain of the shares held by ARCH IX. The GPLP disclaims beneficial ownership of all shares held by ARCH IX in which the GPLP does not have an actual pecuniary interest. ARCH Venture Partners IX Overage, L.P., or the Overage GPLP, as the sole general partner of ARCH Overage, may be deemed to beneficially own certain of the shares held by ARCH Overage. The Overage GPLP disclaims beneficial ownership of all shares held by ARCH Overage. ARCH Venture Partners IX, LLC, or GPLLC, as the sole general partner of the Overage GPLP and GPLP, may be deemed to beneficially own the shares held by ARCH IX and ARCH Overage. As managing directors of GPLLC, each of Keith Crandell, Clinton Bybee and Robert Nelsen, or the ARCH Managing Directors, may be deemed to share the power to direct the disposition and vote of, and therefore to beneficially own, the shares held by ARCH IX and ARCH Overage. The ARCH Managing Directors disclaim beneficial ownership of all shares held by ARCH IX and ARCH Overage except to the extent of any actual pecuniary interest. Director Kristina Burow owns an interest in GPLP and Overage GPLP but does not have voting or investment control over the shares held by ARCH IX and ARCH Overage and disclaims beneficial ownership of such shares, except to the extent of any pecuniary interest therein. The address of ARCH IX, ARCH Overage, GPLP, Overage GPLP, GPLLC and the ARCH Managing Directors is 8755 West Higgins Road, Suite 1025, Chicago, Illinois 60631.</w:t>
      </w:r>
    </w:p>
    <w:p>
      <w:pPr>
        <w:spacing w:after="0" w:line="3" w:lineRule="exact"/>
        <w:rPr>
          <w:rFonts w:ascii="Arial" w:cs="Arial" w:eastAsia="Arial" w:hAnsi="Arial"/>
          <w:sz w:val="14"/>
          <w:szCs w:val="14"/>
          <w:color w:val="auto"/>
        </w:rPr>
      </w:pPr>
    </w:p>
    <w:p>
      <w:pPr>
        <w:ind w:left="520" w:right="200" w:hanging="316"/>
        <w:spacing w:after="0" w:line="221" w:lineRule="auto"/>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31,290,380 shares of common stock. Omega Fund V GP, L.P., or Omega V GP LP, is the general partner of Omega V. Omega Fund V GP Manager, Ltd., or Omega V GP Ltd, is the general partner of Omega V GP LP. Richard Lim, Dr. Stampacchia, Claudio Nessi and Anne-Mari Paster are Managing Directors and all the shareholders and directors of Omega V GP Ltd and have shared voting and investment power over the shares held by Omega V. The address of Omega V, Omega V GP LP and Omega V GP Ltd is 185 Dartmouth Street, Suite 502, Boston, MA 02116.</w:t>
      </w:r>
    </w:p>
    <w:p>
      <w:pPr>
        <w:spacing w:after="0" w:line="1" w:lineRule="exact"/>
        <w:rPr>
          <w:rFonts w:ascii="Arial" w:cs="Arial" w:eastAsia="Arial" w:hAnsi="Arial"/>
          <w:sz w:val="14"/>
          <w:szCs w:val="14"/>
          <w:color w:val="auto"/>
        </w:rPr>
      </w:pPr>
    </w:p>
    <w:p>
      <w:pPr>
        <w:ind w:left="520" w:hanging="316"/>
        <w:spacing w:after="0" w:line="229" w:lineRule="auto"/>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22,383,188 shares of common stock held by HH Goss Holdings LLC, a limited liability company incorporated in the Cayman Islands. HH Goss Holdings LLC is beneficially owned and controlled by Hillhouse Fund IV, L.P. which is a Cayman Islands limited partnership. Hillhouse Capital Management, Ltd. acts as the sole management company of Hillhouse Fund IV, L.P., which is in turn ultimately controlled by Mr. Lei Zhang. The registered address of HH Goss Holdings LLC is Citco Trustees (Cayman) Limited, 89 Nexus Way, Camana Bay, PO Box 31106, Grand Cayman KY1-1205, Cayman Islands.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320" w:hanging="316"/>
        <w:spacing w:after="0" w:line="230"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Eric I. Weitzen is the trustee of the trusts for the benefit of Mr. Hasnain’s family, and in such capacity has the sole power to vote and dispose of such shares. Mr. Weitzen disclaims beneficial ownership of the shares held by the these trusts.</w:t>
      </w:r>
    </w:p>
    <w:p>
      <w:pPr>
        <w:ind w:left="520" w:right="16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Ms. Adee Cohen and Dr. Sunil Gujrathi are trustees of the trusts for the benefit of Dr. Gujrathi’s family, and in such capacity have joint power to vote and dispose of such shares. Ms. Adee Cohen and Dr. Sunil Gujrathi disclaim beneficial ownership of the shares held by these trusts.</w:t>
      </w:r>
    </w:p>
    <w:p>
      <w:pPr>
        <w:ind w:left="520" w:right="20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18,172,081 shares of common stock, including 14,910,783 shares subject to forfeiture, held by a separate family trust. Dr. Gujrathi is a trustee of such family trust and in such capacity has the power to vote and dispose of such shares.</w:t>
      </w:r>
    </w:p>
    <w:p>
      <w:pPr>
        <w:ind w:left="520" w:right="28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15,174,487 shares of common stock, including 14,910,783 shares subject to forfeiture, held by a family trust. Mr. Hasnain is the trustee of such family trust and in such capacity has the sole power to vote and dispose of such shares.</w:t>
      </w:r>
    </w:p>
    <w:p>
      <w:pPr>
        <w:ind w:left="520" w:right="28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2,365,311 shares of common stock held by the Waage Trust Dated June 11, 2008, or the Waage Trust, including 1,762,326 shares subject to forfeiture. Mr. Waage is the trustee of the Waage Trust and in such capacity has the sole power to vote and dispose of such shares.</w:t>
      </w:r>
    </w:p>
    <w:p>
      <w:pPr>
        <w:ind w:left="520" w:right="20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5,833 shares of common stock underlying options held by Dr. Bilenker that are exercisable as of December 15, 2018 or that will become exercisable within 60 days after such date.</w:t>
      </w:r>
    </w:p>
    <w:p>
      <w:pPr>
        <w:ind w:left="520" w:right="6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11,666 shares of common stock underlying options held by Mr. Cox that are exercisable as of December 15, 2018 or that will become exercisable within 60 days after such date.</w:t>
      </w:r>
    </w:p>
    <w:p>
      <w:pPr>
        <w:ind w:left="520" w:hanging="316"/>
        <w:spacing w:after="0"/>
        <w:tabs>
          <w:tab w:leader="none" w:pos="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171,429 shares of common stock held by the Thomas Oran Daniel Living Trust, or the Daniel Trust, and 196,666 shares of common stock underlying options held by</w:t>
      </w:r>
    </w:p>
    <w:p>
      <w:pPr>
        <w:ind w:left="520" w:right="40"/>
        <w:spacing w:after="0" w:line="221" w:lineRule="auto"/>
        <w:rPr>
          <w:rFonts w:ascii="Arial" w:cs="Arial" w:eastAsia="Arial" w:hAnsi="Arial"/>
          <w:sz w:val="13"/>
          <w:szCs w:val="13"/>
          <w:color w:val="auto"/>
        </w:rPr>
      </w:pPr>
      <w:r>
        <w:rPr>
          <w:rFonts w:ascii="Arial" w:cs="Arial" w:eastAsia="Arial" w:hAnsi="Arial"/>
          <w:sz w:val="14"/>
          <w:szCs w:val="14"/>
          <w:color w:val="auto"/>
        </w:rPr>
        <w:t>Dr. Daniel that are exercisable as of December 15, 2018 or that will become exercisable within 60 days after such date. Dr. Daniel is the trustee of the Daniel Trust and in such capacity has the sole power to vote and dispose of such shares.</w:t>
      </w:r>
    </w:p>
    <w:p>
      <w:pPr>
        <w:ind w:left="520" w:right="8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5,833 shares of common stock underlying options held by Ms. Galá that are exercisable as of December 15, 2018 or that will become exercisable within 60 days after such date.</w:t>
      </w:r>
    </w:p>
    <w:p>
      <w:pPr>
        <w:ind w:left="520" w:right="140" w:hanging="316"/>
        <w:spacing w:after="0" w:line="221"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the shares described in note 2 above. Dr. Stampacchia is a Managing Director of Omega V GP Ltd, which is the sole general partner of Omega V GP LP, which is the sole general partner of Omega V, and as such may be deemed to beneficially own such shares. Dr. Stampacchia disclaims beneficial ownership of such shares except to the extent of any pecuniary interest therein.</w:t>
      </w:r>
    </w:p>
    <w:p>
      <w:pPr>
        <w:ind w:left="520" w:hanging="316"/>
        <w:spacing w:after="0" w:line="237" w:lineRule="auto"/>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the shares described in notes 6 through 13 above and (ii) 783,256 shares of common stock held by Luisa Salter-Cid, Ph.D., our Chief Scientific Officer, 587,442 of which are subject to forfeiture.</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240" w:top="460"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00" w:right="180" w:firstLine="771"/>
        <w:spacing w:after="0" w:line="255"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the amended and restated investor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amended and restated investor rights agreement, copies of which have been filed or incorporated by reference as exhibits to the registration statement of which the prospectus is a part, as well as the relevant provisions of the Delaware General Corporation Law.</w:t>
      </w:r>
    </w:p>
    <w:p>
      <w:pPr>
        <w:sectPr>
          <w:pgSz w:w="11900" w:h="16838" w:orient="portrait"/>
          <w:cols w:equalWidth="0" w:num="1">
            <w:col w:w="11220"/>
          </w:cols>
          <w:pgMar w:left="240" w:top="459" w:right="439" w:bottom="1440" w:gutter="0" w:footer="0" w:header="0"/>
        </w:sectPr>
      </w:pPr>
    </w:p>
    <w:p>
      <w:pPr>
        <w:spacing w:after="0" w:line="193" w:lineRule="exact"/>
        <w:rPr>
          <w:sz w:val="20"/>
          <w:szCs w:val="20"/>
          <w:color w:val="auto"/>
        </w:rPr>
      </w:pPr>
    </w:p>
    <w:p>
      <w:pPr>
        <w:ind w:left="200" w:right="40" w:firstLine="771"/>
        <w:spacing w:after="0" w:line="308" w:lineRule="auto"/>
        <w:rPr>
          <w:sz w:val="20"/>
          <w:szCs w:val="20"/>
          <w:color w:val="auto"/>
        </w:rPr>
      </w:pPr>
      <w:r>
        <w:rPr>
          <w:rFonts w:ascii="Arial" w:cs="Arial" w:eastAsia="Arial" w:hAnsi="Arial"/>
          <w:sz w:val="17"/>
          <w:szCs w:val="17"/>
          <w:color w:val="auto"/>
        </w:rPr>
        <w:t>Following the closing of this offering, our authorized capital stock will consist of share, and 10,000,000 shares of preferred stock, $0.0001 par value per share.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$0.0001 par value per</w:t>
      </w:r>
    </w:p>
    <w:p>
      <w:pPr>
        <w:spacing w:after="0" w:line="460" w:lineRule="exact"/>
        <w:rPr>
          <w:sz w:val="20"/>
          <w:szCs w:val="20"/>
          <w:color w:val="auto"/>
        </w:rPr>
      </w:pPr>
    </w:p>
    <w:p>
      <w:pPr>
        <w:sectPr>
          <w:pgSz w:w="11900" w:h="16838" w:orient="portrait"/>
          <w:cols w:equalWidth="0" w:num="2">
            <w:col w:w="6860" w:space="720"/>
            <w:col w:w="36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As of September 30, 2018, there were 207,121,355 shares of our common stock outstanding and held of record by 107 stockholders, assuming the automatic conversion of all outstanding shares of our convertible preferred stock into shares of common stock, which will automatically occur immediately prior to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 —Amendment of Charter Provisions.”</w:t>
      </w:r>
    </w:p>
    <w:p>
      <w:pPr>
        <w:spacing w:after="0" w:line="188" w:lineRule="exact"/>
        <w:rPr>
          <w:sz w:val="20"/>
          <w:szCs w:val="20"/>
          <w:color w:val="auto"/>
        </w:rPr>
      </w:pPr>
    </w:p>
    <w:p>
      <w:pPr>
        <w:ind w:left="200" w:firstLine="771"/>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200" w:right="580" w:firstLine="771"/>
        <w:spacing w:after="0" w:line="277" w:lineRule="auto"/>
        <w:rPr>
          <w:sz w:val="20"/>
          <w:szCs w:val="20"/>
          <w:color w:val="auto"/>
        </w:rPr>
      </w:pPr>
      <w:r>
        <w:rPr>
          <w:rFonts w:ascii="Arial" w:cs="Arial" w:eastAsia="Arial" w:hAnsi="Arial"/>
          <w:sz w:val="18"/>
          <w:szCs w:val="18"/>
          <w:color w:val="auto"/>
        </w:rPr>
        <w:t>Upon completion of this offering, all of our previously outstanding shares of convertible preferred stock will have been converted into common stock, there will be no authorized shares of our previously convertible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200" w:right="200" w:firstLine="771"/>
        <w:spacing w:after="0" w:line="264" w:lineRule="auto"/>
        <w:rPr>
          <w:sz w:val="20"/>
          <w:szCs w:val="20"/>
          <w:color w:val="auto"/>
        </w:rPr>
      </w:pPr>
      <w:r>
        <w:rPr>
          <w:rFonts w:ascii="Arial" w:cs="Arial" w:eastAsia="Arial" w:hAnsi="Arial"/>
          <w:sz w:val="18"/>
          <w:szCs w:val="18"/>
          <w:color w:val="auto"/>
        </w:rPr>
        <w:t>As of September 30, 2018, options to purchase 9,469,500 shares of our common stock were outstanding, of which 155,833 were vested and 155,833 were exercisable as of that date. For additional information regarding the terms of this plan, see “Executive Compensation—Incentive Award Plans—2017 Equity Incentive Plan.”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200" w:right="80" w:firstLine="771"/>
        <w:spacing w:after="0" w:line="255" w:lineRule="auto"/>
        <w:rPr>
          <w:sz w:val="20"/>
          <w:szCs w:val="20"/>
          <w:color w:val="auto"/>
        </w:rPr>
      </w:pPr>
      <w:r>
        <w:rPr>
          <w:rFonts w:ascii="Arial" w:cs="Arial" w:eastAsia="Arial" w:hAnsi="Arial"/>
          <w:sz w:val="18"/>
          <w:szCs w:val="18"/>
          <w:color w:val="auto"/>
        </w:rPr>
        <w:t>As of September 30, 2018, upon the closing of this offering holders of shares of our common stock, which includes all of the shares of common stock issuable upon the automatic conversion of our convertible preferred stock immediately prior to the closing of this offering, will be entitled to the following rights with respect to the registration of such shares for public resale under the Securities Act, pursuant to the amended and restated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Demand Registration Rights</w:t>
      </w:r>
    </w:p>
    <w:p>
      <w:pPr>
        <w:spacing w:after="0" w:line="229"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beginning six months following the effective date of the registration statement of which this prospectus forms a part,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holding at least 3,000,000 shares of our common stock, which we refer to as major investors, who also hold at least 30% of the registrable securities request in writing that we effect a registration with respect to at least 50% of the registrable securities then outstanding (or a lesser percent if the anticipated aggregate offering price, net of selling expenses, would exceed $10 million) in an offering, we may be required to register their shares. We are obligated to effect at most two registrations for the holders of registrable securities in response to these demand registration rights, subject to certain exceptions.</w:t>
      </w:r>
    </w:p>
    <w:p>
      <w:pPr>
        <w:spacing w:after="0" w:line="193"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we become entitled under the Securities Act to register our shares on Form S-3, major investors holding at least 20%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registrable securities request in writing that we register their shares for public resale on Form S-3 and the price to the public of the offering is $5.0 million or more, we will be required to provide notice to all holders of registrable securities and to use all reasonable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88"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If the holders requesting registration intend to distribute their shares by means of an underwriting, the underwriter of such offering will have the right to limit the numbers of shares to be underwritten for reasons related to the marketing of the shares.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200" w:right="300" w:firstLine="771"/>
        <w:spacing w:after="0" w:line="264" w:lineRule="auto"/>
        <w:rPr>
          <w:sz w:val="20"/>
          <w:szCs w:val="20"/>
          <w:color w:val="auto"/>
        </w:rPr>
      </w:pPr>
      <w:r>
        <w:rPr>
          <w:rFonts w:ascii="Arial" w:cs="Arial" w:eastAsia="Arial" w:hAnsi="Arial"/>
          <w:sz w:val="18"/>
          <w:szCs w:val="18"/>
          <w:color w:val="auto"/>
        </w:rPr>
        <w:t>Our investor rights agreement contains customary cross 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jc w:val="both"/>
        <w:ind w:left="200" w:right="200" w:firstLine="771"/>
        <w:spacing w:after="0" w:line="264" w:lineRule="auto"/>
        <w:rPr>
          <w:sz w:val="20"/>
          <w:szCs w:val="20"/>
          <w:color w:val="auto"/>
        </w:rPr>
      </w:pPr>
      <w:r>
        <w:rPr>
          <w:rFonts w:ascii="Arial" w:cs="Arial" w:eastAsia="Arial" w:hAnsi="Arial"/>
          <w:sz w:val="18"/>
          <w:szCs w:val="18"/>
          <w:color w:val="auto"/>
        </w:rPr>
        <w:t>The registration rights terminate upon the earlier of: (1) five years after the closing of this offering, (2) upon the closing of an acquisition of our company or (3) with respect to a particular holder, such time as Rule 144 or another similar exemption under the Securities Act is available for the sale of all shares by such holder without limitation during a three-month period without registration.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200" w:right="20" w:firstLine="771"/>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left="200" w:firstLine="771"/>
        <w:spacing w:after="0" w:line="312" w:lineRule="auto"/>
        <w:rPr>
          <w:sz w:val="20"/>
          <w:szCs w:val="20"/>
          <w:color w:val="auto"/>
        </w:rPr>
      </w:pPr>
      <w:r>
        <w:rPr>
          <w:rFonts w:ascii="Arial" w:cs="Arial" w:eastAsia="Arial" w:hAnsi="Arial"/>
          <w:sz w:val="16"/>
          <w:szCs w:val="16"/>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left="200" w:right="460" w:firstLine="771"/>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left="200" w:right="540" w:firstLine="771"/>
        <w:spacing w:after="0" w:line="264"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(other than the directors initially assigned to Class I whose term shall expire at our first annual meeting of stockholders), one class being elected each year by our stockholders. For more information on the classified board, see “Management—Board Composition and Election of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left="200" w:right="140" w:firstLine="771"/>
        <w:spacing w:after="0" w:line="264"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225" w:lineRule="exact"/>
        <w:rPr>
          <w:sz w:val="20"/>
          <w:szCs w:val="20"/>
          <w:color w:val="auto"/>
        </w:rPr>
      </w:pPr>
    </w:p>
    <w:p>
      <w:pPr>
        <w:ind w:left="200" w:right="380" w:firstLine="771"/>
        <w:spacing w:after="0" w:line="312" w:lineRule="auto"/>
        <w:rPr>
          <w:sz w:val="20"/>
          <w:szCs w:val="20"/>
          <w:color w:val="auto"/>
        </w:rPr>
      </w:pPr>
      <w:r>
        <w:rPr>
          <w:rFonts w:ascii="Arial" w:cs="Arial" w:eastAsia="Arial" w:hAnsi="Arial"/>
          <w:sz w:val="16"/>
          <w:szCs w:val="16"/>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left="200" w:firstLine="771"/>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200" w:right="220" w:firstLine="771"/>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form, the Court of Chancery of the State of Delaware will be the sole and exclusive forum for: (1) any derivative action or proceeding brought on our behalf;</w:t>
      </w:r>
    </w:p>
    <w:p>
      <w:pPr>
        <w:ind w:left="200" w:right="40" w:firstLine="4"/>
        <w:spacing w:after="0" w:line="267" w:lineRule="auto"/>
        <w:tabs>
          <w:tab w:leader="none" w:pos="4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or other wrongdoing by any of our directors, officers, employees or agents to us or our stockholders, creditors or other constituents; (3) any action asserting a claim against us arising pursuant to any provision of the General Corporation Law of the State of Delaware or our amended and restated certificate of incorporation or amended and restated bylaws; (4) any action to interpret, apply, enforce or determine the validity of our certificate of incorporation or bylaws; or (5) any action asserting a claim governed by the internal affairs doctrine. The provision would not apply to suits brought to enforce a duty or liability created by the Securities Exchange Act of 1934, as amended. In any case, stockholders will not be deemed to have waived our compliance with the federal securities laws and the rules and regulations thereunder.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 enforceability of similar choice of forum provisions in other companies’ certificates of incorporation has been challenged in legal proceedings, and it is possible that a court could find these types of provisions to be inapplicable or unenforceable. Our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0"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applied to have our common stock listed on the Nasdaq Global Select Market under the symbol “GOSS.”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a discussion of liability and indemnification, see “Executive and Director Compensation—Limitations of Liability and Indemnification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Matters.”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listed on the Nasdaq Global Select Market, we cannot assure you that there will be an active public market for our common stock.</w:t>
      </w:r>
    </w:p>
    <w:p>
      <w:pPr>
        <w:spacing w:after="0" w:line="187" w:lineRule="exact"/>
        <w:rPr>
          <w:sz w:val="20"/>
          <w:szCs w:val="20"/>
          <w:color w:val="auto"/>
        </w:rPr>
      </w:pPr>
    </w:p>
    <w:p>
      <w:pPr>
        <w:ind w:left="200" w:right="60" w:firstLine="771"/>
        <w:spacing w:after="0" w:line="274" w:lineRule="auto"/>
        <w:rPr>
          <w:sz w:val="20"/>
          <w:szCs w:val="20"/>
          <w:color w:val="auto"/>
        </w:rPr>
      </w:pPr>
      <w:r>
        <w:rPr>
          <w:rFonts w:ascii="Arial" w:cs="Arial" w:eastAsia="Arial" w:hAnsi="Arial"/>
          <w:sz w:val="17"/>
          <w:szCs w:val="17"/>
          <w:color w:val="auto"/>
        </w:rPr>
        <w:t>Based on the number of shares of our common stock outstanding as of September 30, 2018, and assuming (1) the issuance of shares in this offering, (2) the automatic conversion of all outstanding shares of our convertible preferred stock into shares of our common stock, which</w:t>
      </w:r>
    </w:p>
    <w:p>
      <w:pPr>
        <w:ind w:left="200"/>
        <w:spacing w:after="0"/>
        <w:rPr>
          <w:sz w:val="20"/>
          <w:szCs w:val="20"/>
          <w:color w:val="auto"/>
        </w:rPr>
      </w:pPr>
      <w:r>
        <w:rPr>
          <w:rFonts w:ascii="Arial" w:cs="Arial" w:eastAsia="Arial" w:hAnsi="Arial"/>
          <w:sz w:val="17"/>
          <w:szCs w:val="17"/>
          <w:color w:val="auto"/>
        </w:rPr>
        <w:t>will occur automatically immediately prior to the closing of the offering, (3) no exercise of the underwriters’ option to purchase additional shares of</w:t>
      </w:r>
    </w:p>
    <w:p>
      <w:pPr>
        <w:spacing w:after="0" w:line="21" w:lineRule="exact"/>
        <w:rPr>
          <w:sz w:val="20"/>
          <w:szCs w:val="20"/>
          <w:color w:val="auto"/>
        </w:rPr>
      </w:pPr>
    </w:p>
    <w:p>
      <w:pPr>
        <w:ind w:left="200"/>
        <w:spacing w:after="0"/>
        <w:tabs>
          <w:tab w:leader="none" w:pos="8980" w:val="left"/>
        </w:tabs>
        <w:rPr>
          <w:sz w:val="20"/>
          <w:szCs w:val="20"/>
          <w:color w:val="auto"/>
        </w:rPr>
      </w:pPr>
      <w:r>
        <w:rPr>
          <w:rFonts w:ascii="Arial" w:cs="Arial" w:eastAsia="Arial" w:hAnsi="Arial"/>
          <w:sz w:val="18"/>
          <w:szCs w:val="18"/>
          <w:color w:val="auto"/>
        </w:rPr>
        <w:t>common stock and (4) no exercise of outstanding options, we will have outstanding an aggregate of approximately</w:t>
      </w:r>
      <w:r>
        <w:rPr>
          <w:sz w:val="20"/>
          <w:szCs w:val="20"/>
          <w:color w:val="auto"/>
        </w:rPr>
        <w:tab/>
      </w:r>
      <w:r>
        <w:rPr>
          <w:rFonts w:ascii="Arial" w:cs="Arial" w:eastAsia="Arial" w:hAnsi="Arial"/>
          <w:sz w:val="16"/>
          <w:szCs w:val="16"/>
          <w:color w:val="auto"/>
        </w:rPr>
        <w:t>shares of common stock.</w:t>
      </w:r>
    </w:p>
    <w:p>
      <w:pPr>
        <w:spacing w:after="0" w:line="211" w:lineRule="exact"/>
        <w:rPr>
          <w:sz w:val="20"/>
          <w:szCs w:val="20"/>
          <w:color w:val="auto"/>
        </w:rPr>
      </w:pPr>
    </w:p>
    <w:p>
      <w:pPr>
        <w:ind w:left="200" w:firstLine="771"/>
        <w:spacing w:after="0" w:line="286" w:lineRule="auto"/>
        <w:rPr>
          <w:sz w:val="20"/>
          <w:szCs w:val="20"/>
          <w:color w:val="auto"/>
        </w:rPr>
      </w:pPr>
      <w:r>
        <w:rPr>
          <w:rFonts w:ascii="Arial" w:cs="Arial" w:eastAsia="Arial" w:hAnsi="Arial"/>
          <w:sz w:val="17"/>
          <w:szCs w:val="17"/>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66" w:lineRule="exact"/>
        <w:rPr>
          <w:sz w:val="20"/>
          <w:szCs w:val="20"/>
          <w:color w:val="auto"/>
        </w:rPr>
      </w:pPr>
    </w:p>
    <w:p>
      <w:pPr>
        <w:ind w:left="200" w:right="120" w:firstLine="771"/>
        <w:spacing w:after="0" w:line="259"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187"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In addition, of the 9,469,500 shares of our common stock that were subject to stock options outstanding as of September 30, 2018, options to purchase 155,833 of such shares of common stock were vested as of such date and, upon exercise, these shares will be eligible for sale subject to the lock–up agreements described below and Rules 144 and 701 under the Securities Act.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200" w:right="60" w:firstLine="771"/>
        <w:spacing w:after="0" w:line="284" w:lineRule="auto"/>
        <w:rPr>
          <w:sz w:val="20"/>
          <w:szCs w:val="20"/>
          <w:color w:val="auto"/>
        </w:rPr>
      </w:pPr>
      <w:r>
        <w:rPr>
          <w:rFonts w:ascii="Arial" w:cs="Arial" w:eastAsia="Arial" w:hAnsi="Arial"/>
          <w:sz w:val="16"/>
          <w:szCs w:val="16"/>
          <w:color w:val="auto"/>
        </w:rPr>
        <w:t>We, along with our directors, executive officers and substantially all of our other stockholders and optionholders,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Such exceptions include the ability of certain of our</w:t>
      </w:r>
    </w:p>
    <w:p>
      <w:pPr>
        <w:spacing w:after="0" w:line="5" w:lineRule="exact"/>
        <w:rPr>
          <w:sz w:val="20"/>
          <w:szCs w:val="20"/>
          <w:color w:val="auto"/>
        </w:rPr>
      </w:pPr>
    </w:p>
    <w:p>
      <w:pPr>
        <w:jc w:val="both"/>
        <w:ind w:left="200" w:right="340"/>
        <w:spacing w:after="0" w:line="255" w:lineRule="auto"/>
        <w:rPr>
          <w:sz w:val="20"/>
          <w:szCs w:val="20"/>
          <w:color w:val="auto"/>
        </w:rPr>
      </w:pPr>
      <w:r>
        <w:rPr>
          <w:rFonts w:ascii="Arial" w:cs="Arial" w:eastAsia="Arial" w:hAnsi="Arial"/>
          <w:sz w:val="18"/>
          <w:szCs w:val="18"/>
          <w:color w:val="auto"/>
        </w:rPr>
        <w:t>executive officers to sell up to $ of shares of common stock to satisfy certain tax liabilities related to their previous acquisition of shares. Upon expiration of the lock-up period, certain of our stockholders will have the right to require us to register their shares under the Securities Act. See “— Registration Rights” below and “Description of Capital Stock—Registration Rights.”</w:t>
      </w:r>
    </w:p>
    <w:p>
      <w:pPr>
        <w:spacing w:after="0" w:line="190" w:lineRule="exact"/>
        <w:rPr>
          <w:sz w:val="20"/>
          <w:szCs w:val="20"/>
          <w:color w:val="auto"/>
        </w:rPr>
      </w:pPr>
    </w:p>
    <w:p>
      <w:pPr>
        <w:ind w:left="200" w:right="120" w:firstLine="771"/>
        <w:spacing w:after="0" w:line="259" w:lineRule="auto"/>
        <w:rPr>
          <w:sz w:val="20"/>
          <w:szCs w:val="20"/>
          <w:color w:val="auto"/>
        </w:rPr>
      </w:pPr>
      <w:r>
        <w:rPr>
          <w:rFonts w:ascii="Arial" w:cs="Arial" w:eastAsia="Arial" w:hAnsi="Arial"/>
          <w:sz w:val="18"/>
          <w:szCs w:val="18"/>
          <w:color w:val="auto"/>
        </w:rPr>
        <w:t>Merrill Lynch, Pierce, Fenner &amp; Smith Incorporated, Leerink Partners LLC and Barclays Capital Inc.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10b5-1 Trading Plans</w:t>
      </w:r>
    </w:p>
    <w:p>
      <w:pPr>
        <w:spacing w:after="0" w:line="229" w:lineRule="exact"/>
        <w:rPr>
          <w:sz w:val="20"/>
          <w:szCs w:val="20"/>
          <w:color w:val="auto"/>
        </w:rPr>
      </w:pPr>
    </w:p>
    <w:p>
      <w:pPr>
        <w:ind w:left="200" w:right="200" w:firstLine="771"/>
        <w:spacing w:after="0" w:line="297" w:lineRule="auto"/>
        <w:rPr>
          <w:sz w:val="20"/>
          <w:szCs w:val="20"/>
          <w:color w:val="auto"/>
        </w:rPr>
      </w:pPr>
      <w:r>
        <w:rPr>
          <w:rFonts w:ascii="Arial" w:cs="Arial" w:eastAsia="Arial" w:hAnsi="Arial"/>
          <w:sz w:val="16"/>
          <w:szCs w:val="16"/>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00"/>
          </w:cols>
          <w:pgMar w:left="240" w:top="460" w:right="459" w:bottom="1440" w:gutter="0" w:footer="0" w:header="0"/>
        </w:sect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490" w:lineRule="exact"/>
        <w:rPr>
          <w:sz w:val="20"/>
          <w:szCs w:val="20"/>
          <w:color w:val="auto"/>
        </w:rPr>
      </w:pPr>
    </w:p>
    <w:p>
      <w:pPr>
        <w:sectPr>
          <w:pgSz w:w="11900" w:h="16838" w:orient="portrait"/>
          <w:cols w:equalWidth="0" w:num="3">
            <w:col w:w="1140" w:space="260"/>
            <w:col w:w="7180" w:space="720"/>
            <w:col w:w="1900"/>
          </w:cols>
          <w:pgMar w:left="240" w:top="460" w:right="459" w:bottom="1440" w:gutter="0" w:footer="0" w:header="0"/>
          <w:type w:val="continuous"/>
        </w:sectPr>
      </w:pPr>
    </w:p>
    <w:p>
      <w:pPr>
        <w:ind w:left="1400" w:hanging="318"/>
        <w:spacing w:after="0" w:line="277" w:lineRule="auto"/>
        <w:tabs>
          <w:tab w:leader="none" w:pos="1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filing of a notice on Form 144 with respect to such sale.</w:t>
      </w:r>
    </w:p>
    <w:p>
      <w:pPr>
        <w:spacing w:after="0" w:line="170"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Select Market concurrently with either the placing of a sale order with the broker or the execution of a sale directly with a market maker.</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jc w:val="both"/>
        <w:ind w:left="200" w:right="240" w:firstLine="771"/>
        <w:spacing w:after="0" w:line="297"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60" w:right="45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As of September 30, 2018, upon the closing of this offering holders of shares of our common stock, which includes all of the shares of common stock issuable upon the automatic conversion of our convertible preferred stock immediately prior to the closing of this offering, or their transferees will be entitled to various rights with respect to the registration of these shares under the Securities Act upon the closing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MATERIAL UNITED STATES FEDERAL INCOME TAX CONSEQUENCES TO NON-U.S. HOLDERS</w:t>
      </w:r>
    </w:p>
    <w:p>
      <w:pPr>
        <w:spacing w:after="0" w:line="229"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2" w:lineRule="exact"/>
        <w:rPr>
          <w:sz w:val="20"/>
          <w:szCs w:val="20"/>
          <w:color w:val="auto"/>
        </w:rPr>
      </w:pPr>
    </w:p>
    <w:p>
      <w:pPr>
        <w:ind w:left="200" w:right="240" w:firstLine="771"/>
        <w:spacing w:after="0" w:line="302"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181" w:lineRule="exact"/>
        <w:rPr>
          <w:sz w:val="20"/>
          <w:szCs w:val="20"/>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00" w:right="140" w:hanging="318"/>
        <w:spacing w:after="0" w:line="277" w:lineRule="auto"/>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52" w:lineRule="exact"/>
        <w:rPr>
          <w:rFonts w:ascii="Arial" w:cs="Arial" w:eastAsia="Arial" w:hAnsi="Arial"/>
          <w:sz w:val="18"/>
          <w:szCs w:val="18"/>
          <w:color w:val="auto"/>
        </w:rPr>
      </w:pPr>
    </w:p>
    <w:p>
      <w:pPr>
        <w:ind w:left="1400" w:right="300" w:hanging="318"/>
        <w:spacing w:after="0" w:line="277" w:lineRule="auto"/>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275" w:lineRule="exact"/>
        <w:rPr>
          <w:rFonts w:ascii="Arial" w:cs="Arial" w:eastAsia="Arial" w:hAnsi="Arial"/>
          <w:sz w:val="16"/>
          <w:szCs w:val="16"/>
          <w:color w:val="auto"/>
        </w:rPr>
      </w:pPr>
    </w:p>
    <w:p>
      <w:pPr>
        <w:ind w:left="1400" w:right="300" w:hanging="318"/>
        <w:spacing w:after="0" w:line="277" w:lineRule="auto"/>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the Code);</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252" w:lineRule="exact"/>
        <w:rPr>
          <w:rFonts w:ascii="Arial" w:cs="Arial" w:eastAsia="Arial" w:hAnsi="Arial"/>
          <w:sz w:val="18"/>
          <w:szCs w:val="18"/>
          <w:color w:val="auto"/>
        </w:rPr>
      </w:pPr>
    </w:p>
    <w:p>
      <w:pPr>
        <w:ind w:left="1400" w:right="540" w:hanging="318"/>
        <w:spacing w:after="0" w:line="277" w:lineRule="auto"/>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771"/>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3" w:lineRule="exact"/>
        <w:rPr>
          <w:sz w:val="20"/>
          <w:szCs w:val="20"/>
          <w:color w:val="auto"/>
        </w:rPr>
      </w:pPr>
    </w:p>
    <w:p>
      <w:pPr>
        <w:ind w:left="200" w:firstLine="771"/>
        <w:spacing w:after="0" w:line="258"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jc w:val="both"/>
        <w:ind w:left="200" w:right="360" w:firstLine="77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8" w:lineRule="exact"/>
        <w:rPr>
          <w:sz w:val="20"/>
          <w:szCs w:val="20"/>
          <w:color w:val="auto"/>
        </w:rPr>
      </w:pPr>
    </w:p>
    <w:p>
      <w:pPr>
        <w:ind w:left="1400" w:hanging="318"/>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00" w:right="20" w:hanging="318"/>
        <w:spacing w:after="0" w:line="264" w:lineRule="auto"/>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60" w:firstLine="771"/>
        <w:spacing w:after="0" w:line="273"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200" w:right="40" w:firstLine="771"/>
        <w:spacing w:after="0" w:line="290" w:lineRule="auto"/>
        <w:rPr>
          <w:sz w:val="20"/>
          <w:szCs w:val="20"/>
          <w:color w:val="auto"/>
        </w:rPr>
      </w:pPr>
      <w:r>
        <w:rPr>
          <w:rFonts w:ascii="Arial" w:cs="Arial" w:eastAsia="Arial" w:hAnsi="Arial"/>
          <w:sz w:val="16"/>
          <w:szCs w:val="16"/>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agent acting on the Non-U.S. Holder’s behalf, the Non-U.S. Holder will be required to provide appropriate documentation to the agent, who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771"/>
        <w:spacing w:after="0" w:line="276"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3"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200" w:right="500" w:firstLine="771"/>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97" w:lineRule="exact"/>
        <w:rPr>
          <w:sz w:val="20"/>
          <w:szCs w:val="20"/>
          <w:color w:val="auto"/>
        </w:rPr>
      </w:pPr>
    </w:p>
    <w:p>
      <w:pPr>
        <w:ind w:left="1400" w:hanging="318"/>
        <w:spacing w:after="0" w:line="264" w:lineRule="auto"/>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8" w:lineRule="exact"/>
        <w:rPr>
          <w:rFonts w:ascii="Arial" w:cs="Arial" w:eastAsia="Arial" w:hAnsi="Arial"/>
          <w:sz w:val="18"/>
          <w:szCs w:val="18"/>
          <w:color w:val="auto"/>
        </w:rPr>
      </w:pPr>
    </w:p>
    <w:p>
      <w:pPr>
        <w:ind w:left="1400" w:right="200" w:hanging="318"/>
        <w:spacing w:after="0" w:line="277" w:lineRule="auto"/>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00" w:right="820" w:hanging="318"/>
        <w:spacing w:after="0" w:line="277" w:lineRule="auto"/>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left="200" w:right="40" w:firstLine="771"/>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the Non-U.S. Holder has timely filed U.S. federal income tax returns with respect to such losses.</w:t>
      </w:r>
    </w:p>
    <w:p>
      <w:pPr>
        <w:spacing w:after="0" w:line="147"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200" w:right="20" w:firstLine="771"/>
        <w:spacing w:after="0" w:line="270"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2" w:lineRule="exact"/>
        <w:rPr>
          <w:sz w:val="20"/>
          <w:szCs w:val="20"/>
          <w:color w:val="auto"/>
        </w:rPr>
      </w:pPr>
    </w:p>
    <w:p>
      <w:pPr>
        <w:jc w:val="both"/>
        <w:ind w:left="200" w:firstLine="77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200" w:right="420" w:firstLine="77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jc w:val="both"/>
        <w:ind w:left="200" w:firstLine="771"/>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are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w:t>
      </w:r>
    </w:p>
    <w:p>
      <w:pPr>
        <w:spacing w:after="0" w:line="2" w:lineRule="exact"/>
        <w:rPr>
          <w:sz w:val="20"/>
          <w:szCs w:val="20"/>
          <w:color w:val="auto"/>
        </w:rPr>
      </w:pPr>
    </w:p>
    <w:p>
      <w:pPr>
        <w:ind w:left="200" w:right="120" w:firstLine="4"/>
        <w:spacing w:after="0" w:line="287" w:lineRule="auto"/>
        <w:tabs>
          <w:tab w:leader="none" w:pos="4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0" w:lineRule="exact"/>
        <w:rPr>
          <w:sz w:val="20"/>
          <w:szCs w:val="20"/>
          <w:color w:val="auto"/>
        </w:rPr>
      </w:pPr>
    </w:p>
    <w:p>
      <w:pPr>
        <w:ind w:left="200" w:right="160" w:firstLine="771"/>
        <w:spacing w:after="0" w:line="279"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71" w:lineRule="exact"/>
        <w:rPr>
          <w:sz w:val="20"/>
          <w:szCs w:val="20"/>
          <w:color w:val="auto"/>
        </w:rPr>
      </w:pPr>
    </w:p>
    <w:p>
      <w:pPr>
        <w:ind w:left="200" w:right="40" w:firstLine="771"/>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0" w:firstLine="771"/>
        <w:spacing w:after="0" w:line="259" w:lineRule="auto"/>
        <w:rPr>
          <w:sz w:val="20"/>
          <w:szCs w:val="20"/>
          <w:color w:val="auto"/>
        </w:rPr>
      </w:pPr>
      <w:r>
        <w:rPr>
          <w:rFonts w:ascii="Arial" w:cs="Arial" w:eastAsia="Arial" w:hAnsi="Arial"/>
          <w:sz w:val="18"/>
          <w:szCs w:val="18"/>
          <w:color w:val="auto"/>
        </w:rPr>
        <w:t>Merrill Lynch, Pierce, Fenner &amp; Smith Incorporated, Leerink Partners LLC, Barclays Capital Inc. and Evercore Group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4560" w:type="dxa"/>
            <w:vAlign w:val="bottom"/>
          </w:tcPr>
          <w:p>
            <w:pPr>
              <w:jc w:val="center"/>
              <w:ind w:left="390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4560" w:type="dxa"/>
            <w:vAlign w:val="bottom"/>
          </w:tcPr>
          <w:p>
            <w:pPr>
              <w:jc w:val="center"/>
              <w:ind w:left="3908"/>
              <w:spacing w:after="0"/>
              <w:rPr>
                <w:sz w:val="20"/>
                <w:szCs w:val="20"/>
                <w:color w:val="auto"/>
              </w:rPr>
            </w:pPr>
            <w:r>
              <w:rPr>
                <w:rFonts w:ascii="Arial" w:cs="Arial" w:eastAsia="Arial" w:hAnsi="Arial"/>
                <w:sz w:val="14"/>
                <w:szCs w:val="14"/>
                <w:b w:val="1"/>
                <w:bCs w:val="1"/>
                <w:u w:val="single" w:color="auto"/>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977255"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77255" cy="27432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Merrill Lynch, Pierce, Fenner &amp; Smith</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-130810</wp:posOffset>
            </wp:positionV>
            <wp:extent cx="597725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7725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5715</wp:posOffset>
            </wp:positionV>
            <wp:extent cx="3860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-121920</wp:posOffset>
            </wp:positionV>
            <wp:extent cx="597725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77255" cy="163195"/>
                    </a:xfrm>
                    <a:prstGeom prst="rect">
                      <a:avLst/>
                    </a:prstGeom>
                    <a:noFill/>
                  </pic:spPr>
                </pic:pic>
              </a:graphicData>
            </a:graphic>
          </wp:anchor>
        </w:drawing>
      </w:r>
    </w:p>
    <w:p>
      <w:pPr>
        <w:spacing w:after="0" w:line="259" w:lineRule="exact"/>
        <w:rPr>
          <w:sz w:val="20"/>
          <w:szCs w:val="20"/>
          <w:color w:val="auto"/>
        </w:rPr>
      </w:pPr>
    </w:p>
    <w:p>
      <w:pPr>
        <w:ind w:left="200" w:right="520" w:firstLine="77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200" w:right="440" w:firstLine="77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200" w:right="260" w:firstLine="77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w:t>
      </w:r>
    </w:p>
    <w:p>
      <w:pPr>
        <w:spacing w:after="0" w:line="46"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on the 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7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Without Option</w:t>
            </w:r>
          </w:p>
        </w:tc>
        <w:tc>
          <w:tcPr>
            <w:tcW w:w="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With Option</w:t>
            </w:r>
          </w:p>
        </w:tc>
        <w:tc>
          <w:tcPr>
            <w:tcW w:w="132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r>
      <w:tr>
        <w:trPr>
          <w:trHeight w:val="432"/>
        </w:trPr>
        <w:tc>
          <w:tcPr>
            <w:tcW w:w="8800" w:type="dxa"/>
            <w:vAlign w:val="bottom"/>
            <w:gridSpan w:val="8"/>
          </w:tcPr>
          <w:p>
            <w:pPr>
              <w:spacing w:after="0"/>
              <w:rPr>
                <w:sz w:val="20"/>
                <w:szCs w:val="20"/>
                <w:color w:val="auto"/>
              </w:rPr>
            </w:pPr>
            <w:r>
              <w:rPr>
                <w:rFonts w:ascii="Arial" w:cs="Arial" w:eastAsia="Arial" w:hAnsi="Arial"/>
                <w:sz w:val="18"/>
                <w:szCs w:val="18"/>
                <w:color w:val="auto"/>
                <w:w w:val="91"/>
              </w:rPr>
              <w:t>The expenses of the offering, not including the underwriting discount, payable by us are estimated to be approximately $</w:t>
            </w:r>
          </w:p>
        </w:tc>
        <w:tc>
          <w:tcPr>
            <w:tcW w:w="1320" w:type="dxa"/>
            <w:vAlign w:val="bottom"/>
          </w:tcPr>
          <w:p>
            <w:pPr>
              <w:ind w:left="600"/>
              <w:spacing w:after="0"/>
              <w:rPr>
                <w:sz w:val="20"/>
                <w:szCs w:val="20"/>
                <w:color w:val="auto"/>
              </w:rPr>
            </w:pPr>
            <w:r>
              <w:rPr>
                <w:rFonts w:ascii="Arial" w:cs="Arial" w:eastAsia="Arial" w:hAnsi="Arial"/>
                <w:sz w:val="18"/>
                <w:szCs w:val="18"/>
                <w:color w:val="auto"/>
                <w:w w:val="86"/>
              </w:rPr>
              <w:t>. We have</w:t>
            </w:r>
          </w:p>
        </w:tc>
      </w:tr>
    </w:tbl>
    <w:p>
      <w:pPr>
        <w:ind w:left="200"/>
        <w:spacing w:after="0"/>
        <w:rPr>
          <w:sz w:val="20"/>
          <w:szCs w:val="20"/>
          <w:color w:val="auto"/>
        </w:rPr>
      </w:pPr>
      <w:r>
        <w:rPr>
          <w:rFonts w:ascii="Arial" w:cs="Arial" w:eastAsia="Arial" w:hAnsi="Arial"/>
          <w:sz w:val="17"/>
          <w:szCs w:val="17"/>
          <w:color w:val="auto"/>
        </w:rPr>
        <w:t>also agreed to reimburse the underwriters for certain of their expenses incurred in connection with, among others, the review and clearance by the</w:t>
      </w:r>
    </w:p>
    <w:p>
      <w:pPr>
        <w:spacing w:after="0" w:line="397" w:lineRule="exact"/>
        <w:rPr>
          <w:sz w:val="20"/>
          <w:szCs w:val="20"/>
          <w:color w:val="auto"/>
        </w:rPr>
      </w:pPr>
    </w:p>
    <w:p>
      <w:pPr>
        <w:ind w:left="200"/>
        <w:spacing w:after="0"/>
        <w:tabs>
          <w:tab w:leader="none" w:pos="5880" w:val="left"/>
        </w:tabs>
        <w:rPr>
          <w:sz w:val="20"/>
          <w:szCs w:val="20"/>
          <w:color w:val="auto"/>
        </w:rPr>
      </w:pPr>
      <w:r>
        <w:rPr>
          <w:rFonts w:ascii="Arial" w:cs="Arial" w:eastAsia="Arial" w:hAnsi="Arial"/>
          <w:sz w:val="18"/>
          <w:szCs w:val="18"/>
          <w:color w:val="auto"/>
        </w:rPr>
        <w:t>Financial Industry Regulatory Authority, Inc. in an amount of up to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980"/>
        <w:spacing w:after="0"/>
        <w:tabs>
          <w:tab w:leader="none" w:pos="1042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6"/>
          <w:szCs w:val="16"/>
          <w:color w:val="auto"/>
        </w:rPr>
        <w:t>additional</w:t>
      </w:r>
    </w:p>
    <w:p>
      <w:pPr>
        <w:spacing w:after="0" w:line="23" w:lineRule="exact"/>
        <w:rPr>
          <w:sz w:val="20"/>
          <w:szCs w:val="20"/>
          <w:color w:val="auto"/>
        </w:rPr>
      </w:pPr>
    </w:p>
    <w:p>
      <w:pPr>
        <w:jc w:val="both"/>
        <w:ind w:left="200" w:right="220"/>
        <w:spacing w:after="0" w:line="255" w:lineRule="auto"/>
        <w:rPr>
          <w:sz w:val="20"/>
          <w:szCs w:val="20"/>
          <w:color w:val="auto"/>
        </w:rPr>
      </w:pPr>
      <w:r>
        <w:rPr>
          <w:rFonts w:ascii="Arial" w:cs="Arial" w:eastAsia="Arial" w:hAnsi="Arial"/>
          <w:sz w:val="18"/>
          <w:szCs w:val="18"/>
          <w:color w:val="auto"/>
        </w:rPr>
        <w:t>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229" w:lineRule="exact"/>
        <w:rPr>
          <w:sz w:val="20"/>
          <w:szCs w:val="20"/>
          <w:color w:val="auto"/>
        </w:rPr>
      </w:pPr>
    </w:p>
    <w:p>
      <w:pPr>
        <w:ind w:left="200" w:right="140" w:firstLine="771"/>
        <w:spacing w:after="0" w:line="302"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shares offered hereby for our directors, officers, employees, business associates and related persons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Leerink Partners LLC and Barclays Capital Inc. Specifically, we and these other persons have agreed, with certain limited exceptions, not to directly or indirectly:</w:t>
      </w:r>
    </w:p>
    <w:p>
      <w:pPr>
        <w:spacing w:after="0" w:line="214" w:lineRule="exact"/>
        <w:rPr>
          <w:sz w:val="20"/>
          <w:szCs w:val="20"/>
          <w:color w:val="auto"/>
        </w:rPr>
      </w:pPr>
    </w:p>
    <w:p>
      <w:pPr>
        <w:ind w:left="1400" w:hanging="318"/>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00" w:hanging="318"/>
        <w:spacing w:after="0" w:line="308" w:lineRule="auto"/>
        <w:tabs>
          <w:tab w:leader="none" w:pos="14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47" w:lineRule="exact"/>
        <w:rPr>
          <w:sz w:val="20"/>
          <w:szCs w:val="20"/>
          <w:color w:val="auto"/>
        </w:rPr>
      </w:pPr>
    </w:p>
    <w:p>
      <w:pPr>
        <w:ind w:left="200" w:right="20" w:firstLine="771"/>
        <w:spacing w:after="0" w:line="279" w:lineRule="auto"/>
        <w:rPr>
          <w:sz w:val="20"/>
          <w:szCs w:val="20"/>
          <w:color w:val="auto"/>
        </w:rPr>
      </w:pPr>
      <w:r>
        <w:rPr>
          <w:rFonts w:ascii="Arial" w:cs="Arial" w:eastAsia="Arial" w:hAnsi="Arial"/>
          <w:sz w:val="17"/>
          <w:szCs w:val="17"/>
          <w:color w:val="auto"/>
        </w:rPr>
        <w:t>The lock-up exceptions, among others, include the ability of certain of our executive officers to sell up to $ of shares of common stock to satisfy certain tax liabilities related to their previous acquisition of shares.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applied to list the shares of our common stock on the Nasdaq Global Select Market under the symbol “GOSS.”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08" w:lineRule="exact"/>
        <w:rPr>
          <w:sz w:val="20"/>
          <w:szCs w:val="20"/>
          <w:color w:val="auto"/>
        </w:rPr>
      </w:pPr>
    </w:p>
    <w:p>
      <w:pPr>
        <w:ind w:left="5580" w:right="2040" w:hanging="4498"/>
        <w:spacing w:after="0" w:line="449" w:lineRule="auto"/>
        <w:tabs>
          <w:tab w:leader="none" w:pos="14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182</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18"/>
        <w:spacing w:after="0"/>
        <w:tabs>
          <w:tab w:leader="none" w:pos="1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00" w:hanging="318"/>
        <w:spacing w:after="0"/>
        <w:tabs>
          <w:tab w:leader="none" w:pos="1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present state of our development,</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likelihood of approval for our product candidates, and</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200" w:right="20" w:firstLine="77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200" w:right="320" w:firstLine="771"/>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1"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3"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771"/>
        <w:spacing w:after="0" w:line="31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1"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20" w:firstLine="771"/>
        <w:spacing w:after="0" w:line="277" w:lineRule="auto"/>
        <w:rPr>
          <w:sz w:val="20"/>
          <w:szCs w:val="20"/>
          <w:color w:val="auto"/>
        </w:rPr>
      </w:pPr>
      <w:r>
        <w:rPr>
          <w:rFonts w:ascii="Arial" w:cs="Arial" w:eastAsia="Arial" w:hAnsi="Arial"/>
          <w:sz w:val="18"/>
          <w:szCs w:val="18"/>
          <w:color w:val="auto"/>
        </w:rPr>
        <w:t>Affiliates of Leerink Partners LLC purchased 699,475 shares of our Series B convertible preferred stock in our July 2018 Series B convertible preferred stock financing.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7" w:lineRule="exact"/>
        <w:rPr>
          <w:sz w:val="20"/>
          <w:szCs w:val="20"/>
          <w:color w:val="auto"/>
        </w:rPr>
      </w:pPr>
    </w:p>
    <w:p>
      <w:pPr>
        <w:ind w:left="1400" w:hanging="318"/>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400" w:hanging="318"/>
        <w:spacing w:after="0" w:line="277"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the Company or the representatives to publish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pursuant to Article 3 of the Prospectus Directive, or supplement a prospectus pursuant to Article 16 of the Prospectus Directive.</w:t>
      </w:r>
    </w:p>
    <w:p>
      <w:pPr>
        <w:spacing w:after="0" w:line="124"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the representatives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66" w:lineRule="exact"/>
        <w:rPr>
          <w:sz w:val="20"/>
          <w:szCs w:val="20"/>
          <w:color w:val="auto"/>
        </w:rPr>
      </w:pPr>
    </w:p>
    <w:p>
      <w:pPr>
        <w:ind w:left="200" w:right="600" w:firstLine="77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60" w:firstLine="771"/>
        <w:spacing w:after="0" w:line="273" w:lineRule="auto"/>
        <w:rPr>
          <w:sz w:val="20"/>
          <w:szCs w:val="20"/>
          <w:color w:val="auto"/>
        </w:rPr>
      </w:pPr>
      <w:r>
        <w:rPr>
          <w:rFonts w:ascii="Arial" w:cs="Arial" w:eastAsia="Arial" w:hAnsi="Arial"/>
          <w:sz w:val="17"/>
          <w:szCs w:val="17"/>
          <w:color w:val="auto"/>
        </w:rPr>
        <w:t>This prospectus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the representatives to publish a prospectus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for such offer.</w:t>
      </w:r>
    </w:p>
    <w:p>
      <w:pPr>
        <w:spacing w:after="0" w:line="178"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200" w:right="20" w:firstLine="77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200" w:right="460" w:firstLine="77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200" w:right="160" w:firstLine="77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200" w:right="40" w:firstLine="771"/>
        <w:spacing w:after="0" w:line="297"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00" w:right="460" w:hanging="318"/>
        <w:spacing w:after="0" w:line="342" w:lineRule="auto"/>
        <w:tabs>
          <w:tab w:leader="none" w:pos="14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00" w:right="80" w:hanging="318"/>
        <w:spacing w:after="0" w:line="277" w:lineRule="auto"/>
        <w:tabs>
          <w:tab w:leader="none" w:pos="1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400" w:right="140" w:hanging="318"/>
        <w:spacing w:after="0" w:line="277" w:lineRule="auto"/>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00" w:hanging="318"/>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1400" w:hanging="318"/>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400" w:right="540" w:hanging="318"/>
        <w:spacing w:after="0" w:line="277" w:lineRule="auto"/>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200" w:right="240" w:firstLine="771"/>
        <w:spacing w:after="0" w:line="302"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60" w:firstLine="77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400" w:firstLine="771"/>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Latham &amp; Watkins LLP and certain attorneys and investment funds affiliated with the firm collectively own an aggregate of 57,150 shares of our convertible preferred stock, which will convert into an aggregate of 57,150 shares of our common stock upon the completion of this offering. The underwriters are being represented by Cooley LLP, San Diego, California.</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771"/>
        <w:spacing w:after="0" w:line="312"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31, 2016 and 2017, and for the years then ended,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9" w:lineRule="exact"/>
        <w:rPr>
          <w:sz w:val="20"/>
          <w:szCs w:val="20"/>
          <w:color w:val="auto"/>
        </w:rPr>
      </w:pPr>
    </w:p>
    <w:p>
      <w:pPr>
        <w:ind w:left="200" w:right="40" w:firstLine="771"/>
        <w:spacing w:after="0" w:line="286" w:lineRule="auto"/>
        <w:rPr>
          <w:sz w:val="20"/>
          <w:szCs w:val="20"/>
          <w:color w:val="auto"/>
        </w:rPr>
      </w:pPr>
      <w:r>
        <w:rPr>
          <w:rFonts w:ascii="Arial" w:cs="Arial" w:eastAsia="Arial" w:hAnsi="Arial"/>
          <w:sz w:val="16"/>
          <w:szCs w:val="16"/>
          <w:color w:val="auto"/>
        </w:rPr>
        <w:t>Upon the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www.gossamerbio.com. Upon the completion of this offering, you may access our annual reports on Form 10-K, quarterly reports on Form</w:t>
      </w:r>
    </w:p>
    <w:p>
      <w:pPr>
        <w:spacing w:after="0" w:line="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Report of Independent Registered Public Accounting Firm</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44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Consolidated Statements of Operations</w:t>
              </w:r>
            </w:hyperlink>
          </w:p>
        </w:tc>
        <w:tc>
          <w:tcPr>
            <w:tcW w:w="7840" w:type="dxa"/>
            <w:vAlign w:val="bottom"/>
            <w:gridSpan w:val="6"/>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Consolidated Statements of Comprehensive Loss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Consolidated Statements of Convertible Preferred Stock and Stockholders’ Deficit</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Consolidated Statements of Cash Flows</w:t>
              </w:r>
            </w:hyperlink>
          </w:p>
        </w:tc>
        <w:tc>
          <w:tcPr>
            <w:tcW w:w="3100" w:type="dxa"/>
            <w:vAlign w:val="bottom"/>
            <w:tcBorders>
              <w:top w:val="single" w:sz="8" w:color="0000EE"/>
            </w:tcBorders>
            <w:gridSpan w:val="4"/>
          </w:tcPr>
          <w:p>
            <w:pPr>
              <w:spacing w:after="0"/>
              <w:rPr>
                <w:sz w:val="17"/>
                <w:szCs w:val="17"/>
                <w:color w:val="auto"/>
              </w:rPr>
            </w:pPr>
          </w:p>
        </w:tc>
        <w:tc>
          <w:tcPr>
            <w:tcW w:w="46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4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Gossamer Bio, Inc.</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We have audited the accompanying consolidated balance sheets of Gossamer Bio, Inc. (the Company) as of December 31, 2016 and 2017,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11, 2018</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w w:val="94"/>
              </w:rPr>
              <w:t>December 31,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4"/>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4"/>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60" w:type="dxa"/>
            <w:vAlign w:val="bottom"/>
            <w:gridSpan w:val="4"/>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80"/>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141,067</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Marketable 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115,376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Restricted cash</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1,708</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258,351</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36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3,007</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262,181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840" w:type="dxa"/>
            <w:vAlign w:val="bottom"/>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LIABILITIES, CONVERTIBLE PREFERRED STOCK, AND STOCKHOLDERS’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DEFICIT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w w:val="85"/>
              </w:rPr>
              <w:t>103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research and development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7,904</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Accrued interest—short-term</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143</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1,266</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14,939</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Note payable to related parties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 payable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Accrued expenses—long-term</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653</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w w:val="85"/>
              </w:rPr>
              <w:t>183</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7,307</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15,592</w:t>
            </w: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contingencies—Note 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84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Series Seed convertible preferred stock, $0.0001 par value; 0 shares authorized as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of December 31, 2016 and 2017 and 20,000,000 shares authorized as of</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September 30, 2018 (unaudited); 0 shares issued and outstanding as of</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December 31, 2016 and 2017 and 20,000,000 shares issued and outstanding as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of September 30, 2018 (unaudited); liquidation preference of $20,000 as of</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September 30, 2018 (unaudited); no shares issued and outstanding, pro forma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(unaudited)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29,200</w:t>
            </w:r>
          </w:p>
        </w:tc>
        <w:tc>
          <w:tcPr>
            <w:tcW w:w="30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840" w:type="dxa"/>
            <w:vAlign w:val="bottom"/>
          </w:tcPr>
          <w:p>
            <w:pPr>
              <w:ind w:left="560"/>
              <w:spacing w:after="0" w:line="130" w:lineRule="exact"/>
              <w:rPr>
                <w:sz w:val="20"/>
                <w:szCs w:val="20"/>
                <w:color w:val="auto"/>
              </w:rPr>
            </w:pPr>
            <w:r>
              <w:rPr>
                <w:rFonts w:ascii="Arial" w:cs="Arial" w:eastAsia="Arial" w:hAnsi="Arial"/>
                <w:sz w:val="14"/>
                <w:szCs w:val="14"/>
                <w:color w:val="auto"/>
              </w:rPr>
              <w:t>Series A convertible preferred stock, $0.0001 par value; 0 shares authorized as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700"/>
              <w:spacing w:after="0" w:line="149" w:lineRule="exact"/>
              <w:rPr>
                <w:sz w:val="20"/>
                <w:szCs w:val="20"/>
                <w:color w:val="auto"/>
              </w:rPr>
            </w:pPr>
            <w:r>
              <w:rPr>
                <w:rFonts w:ascii="Arial" w:cs="Arial" w:eastAsia="Arial" w:hAnsi="Arial"/>
                <w:sz w:val="14"/>
                <w:szCs w:val="14"/>
                <w:color w:val="auto"/>
              </w:rPr>
              <w:t>December 31, 2016 and 2017 and 45,714,286 shares authorized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700"/>
              <w:spacing w:after="0" w:line="149" w:lineRule="exact"/>
              <w:rPr>
                <w:sz w:val="20"/>
                <w:szCs w:val="20"/>
                <w:color w:val="auto"/>
              </w:rPr>
            </w:pPr>
            <w:r>
              <w:rPr>
                <w:rFonts w:ascii="Arial" w:cs="Arial" w:eastAsia="Arial" w:hAnsi="Arial"/>
                <w:sz w:val="14"/>
                <w:szCs w:val="14"/>
                <w:color w:val="auto"/>
              </w:rPr>
              <w:t>September 30, 2018 (unaudited); 0 shares issued and outstanding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700"/>
              <w:spacing w:after="0" w:line="149" w:lineRule="exact"/>
              <w:rPr>
                <w:sz w:val="20"/>
                <w:szCs w:val="20"/>
                <w:color w:val="auto"/>
              </w:rPr>
            </w:pPr>
            <w:r>
              <w:rPr>
                <w:rFonts w:ascii="Arial" w:cs="Arial" w:eastAsia="Arial" w:hAnsi="Arial"/>
                <w:sz w:val="14"/>
                <w:szCs w:val="14"/>
                <w:color w:val="auto"/>
              </w:rPr>
              <w:t>December 31, 2016 and 2017 and 45,714,286 shares issued and outstanding as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700"/>
              <w:spacing w:after="0" w:line="149" w:lineRule="exact"/>
              <w:rPr>
                <w:sz w:val="20"/>
                <w:szCs w:val="20"/>
                <w:color w:val="auto"/>
              </w:rPr>
            </w:pPr>
            <w:r>
              <w:rPr>
                <w:rFonts w:ascii="Arial" w:cs="Arial" w:eastAsia="Arial" w:hAnsi="Arial"/>
                <w:sz w:val="14"/>
                <w:szCs w:val="14"/>
                <w:color w:val="auto"/>
              </w:rPr>
              <w:t>of September 30, 2018 (unaudited); liquidation preference of $80,000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700"/>
              <w:spacing w:after="0" w:line="149" w:lineRule="exact"/>
              <w:rPr>
                <w:sz w:val="20"/>
                <w:szCs w:val="20"/>
                <w:color w:val="auto"/>
              </w:rPr>
            </w:pPr>
            <w:r>
              <w:rPr>
                <w:rFonts w:ascii="Arial" w:cs="Arial" w:eastAsia="Arial" w:hAnsi="Arial"/>
                <w:sz w:val="14"/>
                <w:szCs w:val="14"/>
                <w:color w:val="auto"/>
              </w:rPr>
              <w:t>September 30, 2018 (unaudited); no shares issued and outstanding, pro forma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ind w:left="700"/>
              <w:spacing w:after="0"/>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79,615</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84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Series B convertible preferred stock, $0.0001 par value; 0 shares authorized as of</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December 31, 2016 and 2017 and 71,506,513 shares authorized as of September</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30, 2018 (unaudited); 0 shares issued and outstanding as of December 31, 2016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and 2017 and 71,506,513 shares issued and outstanding as of September 30,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2018 (unaudited); liquidation preference of $230,000, as of September 30, 2018;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no shares issued and outstanding, pro forma (unaudited)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229,552</w:t>
            </w:r>
          </w:p>
        </w:tc>
        <w:tc>
          <w:tcPr>
            <w:tcW w:w="30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84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Common stock, $0.0001 par value; 41,224,000, 125,000,000, and 221,220,799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shares authorized as of December 31, 2016, December 31, 2017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September 30, 2018 (unaudited); 41,224,000 shares issued and outstanding as of</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December 31, 2016 and 2017 and 69,900,556 shares issued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34,802,318 shares outstanding as of September 30, 2018 (unaudited);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207,121,355 shares issued and 172,023,117 outstanding, pro forma (unaudited)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23,054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361,409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(6,894)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(115,069)</w:t>
            </w:r>
          </w:p>
        </w:tc>
        <w:tc>
          <w:tcPr>
            <w:tcW w:w="3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(115,069)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ind w:left="56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235</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stockholders’ equity (deficit)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(6,862)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(91,778)</w:t>
            </w:r>
          </w:p>
        </w:tc>
        <w:tc>
          <w:tcPr>
            <w:tcW w:w="34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liabilities, convertible preferred stock and stockholders’ deficit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40" w:type="dxa"/>
            <w:vAlign w:val="bottom"/>
            <w:gridSpan w:val="2"/>
            <w:vMerge w:val="restart"/>
          </w:tcPr>
          <w:p>
            <w:pPr>
              <w:jc w:val="right"/>
              <w:ind w:right="54"/>
              <w:spacing w:after="0"/>
              <w:rPr>
                <w:sz w:val="20"/>
                <w:szCs w:val="20"/>
                <w:color w:val="auto"/>
              </w:rPr>
            </w:pPr>
            <w:r>
              <w:rPr>
                <w:rFonts w:ascii="Arial" w:cs="Arial" w:eastAsia="Arial" w:hAnsi="Arial"/>
                <w:sz w:val="10"/>
                <w:szCs w:val="10"/>
                <w:b w:val="1"/>
                <w:bCs w:val="1"/>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w:t>
            </w:r>
          </w:p>
        </w:tc>
        <w:tc>
          <w:tcPr>
            <w:tcW w:w="300" w:type="dxa"/>
            <w:vAlign w:val="bottom"/>
          </w:tcPr>
          <w:p>
            <w:pPr>
              <w:spacing w:after="0"/>
              <w:rPr>
                <w:sz w:val="14"/>
                <w:szCs w:val="14"/>
                <w:color w:val="auto"/>
              </w:rPr>
            </w:pPr>
          </w:p>
        </w:tc>
        <w:tc>
          <w:tcPr>
            <w:tcW w:w="440" w:type="dxa"/>
            <w:vAlign w:val="bottom"/>
            <w:gridSpan w:val="2"/>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445</w:t>
            </w:r>
          </w:p>
        </w:tc>
        <w:tc>
          <w:tcPr>
            <w:tcW w:w="30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262,181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w w:val="86"/>
              </w:rPr>
              <w:t>216</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 process research and development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6"/>
              </w:rPr>
              <w:t>105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321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4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700"/>
              <w:spacing w:after="0"/>
              <w:rPr>
                <w:sz w:val="20"/>
                <w:szCs w:val="20"/>
                <w:color w:val="auto"/>
              </w:rPr>
            </w:pPr>
            <w:r>
              <w:rPr>
                <w:rFonts w:ascii="Arial" w:cs="Arial" w:eastAsia="Arial" w:hAnsi="Arial"/>
                <w:sz w:val="18"/>
                <w:szCs w:val="18"/>
                <w:color w:val="auto"/>
              </w:rPr>
              <w:t>Other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b w:val="1"/>
                <w:bCs w:val="1"/>
                <w:color w:val="auto"/>
              </w:rPr>
              <w:t>Net loss</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41,224,000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41,224,000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41,224,000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27,602,600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net loss per share, basic and diluted (unaudited)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w w:val="98"/>
              </w:rPr>
              <w:t>Pro forma weighted-average shares outstanding, basic and</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diluted (unaudited)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41,224,000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111,740,879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83"/>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auto"/>
            </w:tcBorders>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6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(6,771)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 net of tax</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(6,771)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(107,940)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3"/>
              </w:rPr>
              <w:t>Series Seed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5"/>
              </w:rPr>
              <w:t>Series B</w:t>
            </w: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8"/>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Preferred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8"/>
              </w:rPr>
              <w:t>Preferred Stock</w:t>
            </w: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6"/>
          </w:tcPr>
          <w:p>
            <w:pPr>
              <w:ind w:left="6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4"/>
                <w:szCs w:val="14"/>
                <w:color w:val="auto"/>
              </w:rPr>
            </w:pP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83"/>
              </w:rPr>
              <w:t>Comprehensive</w:t>
            </w:r>
          </w:p>
        </w:tc>
        <w:tc>
          <w:tcPr>
            <w:tcW w:w="1000" w:type="dxa"/>
            <w:vAlign w:val="bottom"/>
            <w:gridSpan w:val="6"/>
          </w:tcPr>
          <w:p>
            <w:pPr>
              <w:ind w:left="10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gridSpan w:val="2"/>
            <w:vMerge w:val="restart"/>
          </w:tcPr>
          <w:p>
            <w:pPr>
              <w:jc w:val="center"/>
              <w:ind w:right="152"/>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76"/>
              </w:rPr>
              <w:t>Shares</w:t>
            </w:r>
          </w:p>
        </w:tc>
        <w:tc>
          <w:tcPr>
            <w:tcW w:w="5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72"/>
              </w:rPr>
              <w:t>Shares</w:t>
            </w: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72"/>
              </w:rPr>
              <w:t>Shares</w:t>
            </w:r>
          </w:p>
        </w:tc>
        <w:tc>
          <w:tcPr>
            <w:tcW w:w="80" w:type="dxa"/>
            <w:vAlign w:val="bottom"/>
          </w:tcPr>
          <w:p>
            <w:pPr>
              <w:spacing w:after="0"/>
              <w:rPr>
                <w:sz w:val="12"/>
                <w:szCs w:val="12"/>
                <w:color w:val="auto"/>
              </w:rPr>
            </w:pPr>
          </w:p>
        </w:tc>
        <w:tc>
          <w:tcPr>
            <w:tcW w:w="5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right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Balance as of December 31,</w:t>
            </w:r>
          </w:p>
        </w:tc>
        <w:tc>
          <w:tcPr>
            <w:tcW w:w="400" w:type="dxa"/>
            <w:vAlign w:val="bottom"/>
            <w:tcBorders>
              <w:top w:val="single" w:sz="8" w:color="auto"/>
            </w:tcBorders>
            <w:gridSpan w:val="2"/>
            <w:shd w:val="clear" w:color="auto" w:fill="CCEEFF"/>
          </w:tcPr>
          <w:p>
            <w:pPr>
              <w:spacing w:after="0"/>
              <w:rPr>
                <w:sz w:val="11"/>
                <w:szCs w:val="11"/>
                <w:color w:val="auto"/>
              </w:rPr>
            </w:pPr>
          </w:p>
        </w:tc>
        <w:tc>
          <w:tcPr>
            <w:tcW w:w="220" w:type="dxa"/>
            <w:vAlign w:val="bottom"/>
            <w:gridSpan w:val="2"/>
            <w:shd w:val="clear" w:color="auto" w:fill="CCEEFF"/>
          </w:tcPr>
          <w:p>
            <w:pPr>
              <w:spacing w:after="0"/>
              <w:rPr>
                <w:sz w:val="11"/>
                <w:szCs w:val="11"/>
                <w:color w:val="auto"/>
              </w:rPr>
            </w:pPr>
          </w:p>
        </w:tc>
        <w:tc>
          <w:tcPr>
            <w:tcW w:w="500" w:type="dxa"/>
            <w:vAlign w:val="bottom"/>
            <w:tcBorders>
              <w:top w:val="single" w:sz="8" w:color="auto"/>
            </w:tcBorders>
            <w:gridSpan w:val="3"/>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spacing w:after="0"/>
              <w:rPr>
                <w:sz w:val="11"/>
                <w:szCs w:val="11"/>
                <w:color w:val="auto"/>
              </w:rPr>
            </w:pPr>
          </w:p>
        </w:tc>
        <w:tc>
          <w:tcPr>
            <w:tcW w:w="220" w:type="dxa"/>
            <w:vAlign w:val="bottom"/>
            <w:gridSpan w:val="2"/>
            <w:shd w:val="clear" w:color="auto" w:fill="CCEEFF"/>
          </w:tcPr>
          <w:p>
            <w:pPr>
              <w:spacing w:after="0"/>
              <w:rPr>
                <w:sz w:val="11"/>
                <w:szCs w:val="11"/>
                <w:color w:val="auto"/>
              </w:rPr>
            </w:pPr>
          </w:p>
        </w:tc>
        <w:tc>
          <w:tcPr>
            <w:tcW w:w="500" w:type="dxa"/>
            <w:vAlign w:val="bottom"/>
            <w:tcBorders>
              <w:top w:val="single" w:sz="8" w:color="auto"/>
            </w:tcBorders>
            <w:gridSpan w:val="3"/>
            <w:shd w:val="clear" w:color="auto" w:fill="CCEEFF"/>
          </w:tcPr>
          <w:p>
            <w:pPr>
              <w:spacing w:after="0"/>
              <w:rPr>
                <w:sz w:val="11"/>
                <w:szCs w:val="11"/>
                <w:color w:val="auto"/>
              </w:rPr>
            </w:pPr>
          </w:p>
        </w:tc>
        <w:tc>
          <w:tcPr>
            <w:tcW w:w="22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240" w:type="dxa"/>
            <w:vAlign w:val="bottom"/>
            <w:gridSpan w:val="3"/>
            <w:shd w:val="clear" w:color="auto" w:fill="CCEEFF"/>
          </w:tcPr>
          <w:p>
            <w:pPr>
              <w:spacing w:after="0"/>
              <w:rPr>
                <w:sz w:val="11"/>
                <w:szCs w:val="11"/>
                <w:color w:val="auto"/>
              </w:rPr>
            </w:pPr>
          </w:p>
        </w:tc>
        <w:tc>
          <w:tcPr>
            <w:tcW w:w="480" w:type="dxa"/>
            <w:vAlign w:val="bottom"/>
            <w:tcBorders>
              <w:top w:val="single" w:sz="8" w:color="auto"/>
            </w:tcBorders>
            <w:gridSpan w:val="3"/>
            <w:shd w:val="clear" w:color="auto" w:fill="CCEEFF"/>
          </w:tcPr>
          <w:p>
            <w:pPr>
              <w:spacing w:after="0"/>
              <w:rPr>
                <w:sz w:val="11"/>
                <w:szCs w:val="11"/>
                <w:color w:val="auto"/>
              </w:rPr>
            </w:pPr>
          </w:p>
        </w:tc>
        <w:tc>
          <w:tcPr>
            <w:tcW w:w="220" w:type="dxa"/>
            <w:vAlign w:val="bottom"/>
            <w:tcBorders>
              <w:right w:val="single" w:sz="8" w:color="auto"/>
            </w:tcBorders>
            <w:gridSpan w:val="2"/>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spacing w:after="0"/>
              <w:rPr>
                <w:sz w:val="11"/>
                <w:szCs w:val="11"/>
                <w:color w:val="auto"/>
              </w:rPr>
            </w:pPr>
          </w:p>
        </w:tc>
        <w:tc>
          <w:tcPr>
            <w:tcW w:w="300" w:type="dxa"/>
            <w:vAlign w:val="bottom"/>
            <w:gridSpan w:val="3"/>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spacing w:after="0"/>
              <w:rPr>
                <w:sz w:val="11"/>
                <w:szCs w:val="11"/>
                <w:color w:val="auto"/>
              </w:rPr>
            </w:pPr>
          </w:p>
        </w:tc>
        <w:tc>
          <w:tcPr>
            <w:tcW w:w="180" w:type="dxa"/>
            <w:vAlign w:val="bottom"/>
            <w:gridSpan w:val="3"/>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80" w:type="dxa"/>
            <w:vAlign w:val="bottom"/>
            <w:gridSpan w:val="4"/>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40" w:type="dxa"/>
            <w:vAlign w:val="bottom"/>
            <w:gridSpan w:val="5"/>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60" w:type="dxa"/>
            <w:vAlign w:val="bottom"/>
            <w:gridSpan w:val="4"/>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3"/>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41,224,000</w:t>
            </w: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(40)</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6"/>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Balance as of December 31,</w:t>
            </w:r>
          </w:p>
        </w:tc>
        <w:tc>
          <w:tcPr>
            <w:tcW w:w="66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gridSpan w:val="3"/>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gridSpan w:val="3"/>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gridSpan w:val="5"/>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tcBorders>
              <w:top w:val="single" w:sz="8" w:color="auto"/>
            </w:tcBorders>
            <w:gridSpan w:val="4"/>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top w:val="single" w:sz="8" w:color="auto"/>
            </w:tcBorders>
            <w:gridSpan w:val="4"/>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top w:val="single" w:sz="8" w:color="auto"/>
            </w:tcBorders>
            <w:gridSpan w:val="4"/>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900" w:type="dxa"/>
            <w:vAlign w:val="bottom"/>
            <w:tcBorders>
              <w:top w:val="single" w:sz="8" w:color="auto"/>
            </w:tcBorders>
            <w:gridSpan w:val="4"/>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gridSpan w:val="4"/>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3"/>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41,224,000</w:t>
            </w: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(123)</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(6,771)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3"/>
        </w:trPr>
        <w:tc>
          <w:tcPr>
            <w:tcW w:w="1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Balance as of December 31,</w:t>
            </w: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5"/>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500" w:type="dxa"/>
            <w:vAlign w:val="bottom"/>
            <w:tcBorders>
              <w:top w:val="single" w:sz="8" w:color="auto"/>
            </w:tcBorders>
            <w:gridSpan w:val="2"/>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900" w:type="dxa"/>
            <w:vAlign w:val="bottom"/>
            <w:tcBorders>
              <w:top w:val="single" w:sz="8" w:color="auto"/>
            </w:tcBorders>
            <w:gridSpan w:val="4"/>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4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3"/>
          </w:tcPr>
          <w:p>
            <w:pPr>
              <w:ind w:left="80"/>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3"/>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4"/>
                <w:szCs w:val="14"/>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41,224,000</w:t>
            </w:r>
          </w:p>
        </w:tc>
        <w:tc>
          <w:tcPr>
            <w:tcW w:w="8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(6,894)</w:t>
            </w:r>
          </w:p>
        </w:tc>
        <w:tc>
          <w:tcPr>
            <w:tcW w:w="100" w:type="dxa"/>
            <w:vAlign w:val="bottom"/>
            <w:gridSpan w:val="2"/>
          </w:tcPr>
          <w:p>
            <w:pPr>
              <w:ind w:left="4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(6,862)</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Issuance of Series A convertible</w:t>
            </w:r>
          </w:p>
        </w:tc>
        <w:tc>
          <w:tcPr>
            <w:tcW w:w="5000" w:type="dxa"/>
            <w:vAlign w:val="bottom"/>
            <w:gridSpan w:val="31"/>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preferred stock for cash, net of</w:t>
            </w:r>
          </w:p>
        </w:tc>
        <w:tc>
          <w:tcPr>
            <w:tcW w:w="500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$400 in offering costs</w:t>
            </w:r>
          </w:p>
        </w:tc>
        <w:tc>
          <w:tcPr>
            <w:tcW w:w="500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5"/>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9"/>
              </w:rPr>
              <w:t>42,215,077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79"/>
              </w:rPr>
              <w:t>73,491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Issuance of stock for asset</w:t>
            </w:r>
          </w:p>
        </w:tc>
        <w:tc>
          <w:tcPr>
            <w:tcW w:w="5000" w:type="dxa"/>
            <w:vAlign w:val="bottom"/>
            <w:gridSpan w:val="31"/>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acquisitions (unaudited)</w:t>
            </w:r>
          </w:p>
        </w:tc>
        <w:tc>
          <w:tcPr>
            <w:tcW w:w="660" w:type="dxa"/>
            <w:vAlign w:val="bottom"/>
            <w:gridSpan w:val="4"/>
          </w:tcPr>
          <w:p>
            <w:pPr>
              <w:jc w:val="center"/>
              <w:spacing w:after="0" w:line="159" w:lineRule="exact"/>
              <w:rPr>
                <w:sz w:val="20"/>
                <w:szCs w:val="20"/>
                <w:color w:val="auto"/>
              </w:rPr>
            </w:pPr>
            <w:r>
              <w:rPr>
                <w:rFonts w:ascii="Arial" w:cs="Arial" w:eastAsia="Arial" w:hAnsi="Arial"/>
                <w:sz w:val="14"/>
                <w:szCs w:val="14"/>
                <w:color w:val="auto"/>
                <w:w w:val="85"/>
              </w:rPr>
              <w:t>20,000,000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83"/>
              </w:rPr>
              <w:t>29,200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3"/>
                <w:szCs w:val="13"/>
                <w:color w:val="auto"/>
              </w:rPr>
            </w:pPr>
          </w:p>
        </w:tc>
        <w:tc>
          <w:tcPr>
            <w:tcW w:w="760" w:type="dxa"/>
            <w:vAlign w:val="bottom"/>
            <w:gridSpan w:val="5"/>
          </w:tcPr>
          <w:p>
            <w:pPr>
              <w:jc w:val="right"/>
              <w:ind w:right="20"/>
              <w:spacing w:after="0" w:line="159" w:lineRule="exact"/>
              <w:rPr>
                <w:sz w:val="20"/>
                <w:szCs w:val="20"/>
                <w:color w:val="auto"/>
              </w:rPr>
            </w:pPr>
            <w:r>
              <w:rPr>
                <w:rFonts w:ascii="Arial" w:cs="Arial" w:eastAsia="Arial" w:hAnsi="Arial"/>
                <w:sz w:val="14"/>
                <w:szCs w:val="14"/>
                <w:color w:val="auto"/>
              </w:rPr>
              <w:t>4,955,752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ind w:left="140"/>
              <w:spacing w:after="0" w:line="159" w:lineRule="exact"/>
              <w:rPr>
                <w:sz w:val="20"/>
                <w:szCs w:val="20"/>
                <w:color w:val="auto"/>
              </w:rPr>
            </w:pPr>
            <w:r>
              <w:rPr>
                <w:rFonts w:ascii="Arial" w:cs="Arial" w:eastAsia="Arial" w:hAnsi="Arial"/>
                <w:sz w:val="14"/>
                <w:szCs w:val="14"/>
                <w:color w:val="auto"/>
                <w:w w:val="76"/>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2,874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2,875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Issuance of Series A convertible</w:t>
            </w:r>
          </w:p>
        </w:tc>
        <w:tc>
          <w:tcPr>
            <w:tcW w:w="5000" w:type="dxa"/>
            <w:vAlign w:val="bottom"/>
            <w:gridSpan w:val="31"/>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preferred stock to convert debt</w:t>
            </w:r>
          </w:p>
        </w:tc>
        <w:tc>
          <w:tcPr>
            <w:tcW w:w="500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5"/>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3,499,209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6"/>
              </w:rPr>
              <w:t>6,124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Issuance of Series B convertible</w:t>
            </w:r>
          </w:p>
        </w:tc>
        <w:tc>
          <w:tcPr>
            <w:tcW w:w="5000" w:type="dxa"/>
            <w:vAlign w:val="bottom"/>
            <w:gridSpan w:val="3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preferred stock for cash, net of</w:t>
            </w:r>
          </w:p>
        </w:tc>
        <w:tc>
          <w:tcPr>
            <w:tcW w:w="5000" w:type="dxa"/>
            <w:vAlign w:val="bottom"/>
            <w:gridSpan w:val="3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$500 in offering costs</w:t>
            </w:r>
          </w:p>
        </w:tc>
        <w:tc>
          <w:tcPr>
            <w:tcW w:w="5000" w:type="dxa"/>
            <w:vAlign w:val="bottom"/>
            <w:gridSpan w:val="31"/>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5"/>
          </w:tcPr>
          <w:p>
            <w:pPr>
              <w:jc w:val="center"/>
              <w:ind w:left="52"/>
              <w:spacing w:after="0" w:line="159" w:lineRule="exact"/>
              <w:rPr>
                <w:sz w:val="20"/>
                <w:szCs w:val="20"/>
                <w:color w:val="auto"/>
              </w:rPr>
            </w:pPr>
            <w:r>
              <w:rPr>
                <w:rFonts w:ascii="Arial" w:cs="Arial" w:eastAsia="Arial" w:hAnsi="Arial"/>
                <w:sz w:val="14"/>
                <w:szCs w:val="14"/>
                <w:color w:val="auto"/>
                <w:w w:val="88"/>
              </w:rPr>
              <w:t>71,506,513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spacing w:after="0" w:line="159" w:lineRule="exact"/>
              <w:rPr>
                <w:sz w:val="20"/>
                <w:szCs w:val="20"/>
                <w:color w:val="auto"/>
              </w:rPr>
            </w:pPr>
            <w:r>
              <w:rPr>
                <w:rFonts w:ascii="Arial" w:cs="Arial" w:eastAsia="Arial" w:hAnsi="Arial"/>
                <w:sz w:val="14"/>
                <w:szCs w:val="14"/>
                <w:color w:val="auto"/>
                <w:w w:val="86"/>
              </w:rPr>
              <w:t>229,552</w:t>
            </w: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Vesting of restricted stock</w:t>
            </w:r>
          </w:p>
        </w:tc>
        <w:tc>
          <w:tcPr>
            <w:tcW w:w="5000" w:type="dxa"/>
            <w:vAlign w:val="bottom"/>
            <w:gridSpan w:val="31"/>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760" w:type="dxa"/>
            <w:vAlign w:val="bottom"/>
            <w:gridSpan w:val="5"/>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9,234,566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76"/>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Incremental vesting conditions</w:t>
            </w:r>
          </w:p>
        </w:tc>
        <w:tc>
          <w:tcPr>
            <w:tcW w:w="5000" w:type="dxa"/>
            <w:vAlign w:val="bottom"/>
            <w:gridSpan w:val="3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placed on previously issued</w:t>
            </w:r>
          </w:p>
        </w:tc>
        <w:tc>
          <w:tcPr>
            <w:tcW w:w="5000" w:type="dxa"/>
            <w:vAlign w:val="bottom"/>
            <w:gridSpan w:val="31"/>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120"/>
              <w:spacing w:after="0" w:line="159" w:lineRule="exact"/>
              <w:rPr>
                <w:sz w:val="20"/>
                <w:szCs w:val="20"/>
                <w:color w:val="auto"/>
              </w:rPr>
            </w:pPr>
            <w:r>
              <w:rPr>
                <w:rFonts w:ascii="Arial" w:cs="Arial" w:eastAsia="Arial" w:hAnsi="Arial"/>
                <w:sz w:val="14"/>
                <w:szCs w:val="14"/>
                <w:color w:val="auto"/>
              </w:rPr>
              <w:t>common shares (unaudited)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3"/>
                <w:szCs w:val="13"/>
                <w:color w:val="auto"/>
              </w:rPr>
            </w:pPr>
          </w:p>
        </w:tc>
        <w:tc>
          <w:tcPr>
            <w:tcW w:w="840" w:type="dxa"/>
            <w:vAlign w:val="bottom"/>
            <w:gridSpan w:val="6"/>
          </w:tcPr>
          <w:p>
            <w:pPr>
              <w:jc w:val="right"/>
              <w:ind w:right="60"/>
              <w:spacing w:after="0" w:line="159" w:lineRule="exact"/>
              <w:rPr>
                <w:sz w:val="20"/>
                <w:szCs w:val="20"/>
                <w:color w:val="auto"/>
              </w:rPr>
            </w:pPr>
            <w:r>
              <w:rPr>
                <w:rFonts w:ascii="Arial" w:cs="Arial" w:eastAsia="Arial" w:hAnsi="Arial"/>
                <w:sz w:val="14"/>
                <w:szCs w:val="14"/>
                <w:color w:val="auto"/>
                <w:w w:val="95"/>
              </w:rPr>
              <w:t>(20,612,000)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Stock-based compensation</w:t>
            </w:r>
          </w:p>
        </w:tc>
        <w:tc>
          <w:tcPr>
            <w:tcW w:w="5000" w:type="dxa"/>
            <w:vAlign w:val="bottom"/>
            <w:gridSpan w:val="31"/>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20,148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20,148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(108,175)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(108,175)</w:t>
            </w:r>
          </w:p>
        </w:tc>
        <w:tc>
          <w:tcPr>
            <w:tcW w:w="0" w:type="dxa"/>
            <w:vAlign w:val="bottom"/>
          </w:tcPr>
          <w:p>
            <w:pPr>
              <w:spacing w:after="0"/>
              <w:rPr>
                <w:sz w:val="1"/>
                <w:szCs w:val="1"/>
                <w:color w:val="auto"/>
              </w:rPr>
            </w:pPr>
          </w:p>
        </w:tc>
      </w:tr>
      <w:tr>
        <w:trPr>
          <w:trHeight w:val="138"/>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Unrealized gain on marketable</w:t>
            </w:r>
          </w:p>
        </w:tc>
        <w:tc>
          <w:tcPr>
            <w:tcW w:w="5000" w:type="dxa"/>
            <w:vAlign w:val="bottom"/>
            <w:gridSpan w:val="31"/>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spacing w:after="0"/>
              <w:rPr>
                <w:sz w:val="20"/>
                <w:szCs w:val="20"/>
                <w:color w:val="auto"/>
              </w:rPr>
            </w:pPr>
            <w:r>
              <w:rPr>
                <w:rFonts w:ascii="Arial" w:cs="Arial" w:eastAsia="Arial" w:hAnsi="Arial"/>
                <w:sz w:val="14"/>
                <w:szCs w:val="14"/>
                <w:color w:val="auto"/>
              </w:rPr>
              <w:t>securities, net of tax</w:t>
            </w:r>
          </w:p>
        </w:tc>
        <w:tc>
          <w:tcPr>
            <w:tcW w:w="500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ind w:left="640"/>
              <w:spacing w:after="0" w:line="159" w:lineRule="exact"/>
              <w:rPr>
                <w:sz w:val="20"/>
                <w:szCs w:val="20"/>
                <w:color w:val="auto"/>
              </w:rPr>
            </w:pPr>
            <w:r>
              <w:rPr>
                <w:rFonts w:ascii="Arial" w:cs="Arial" w:eastAsia="Arial" w:hAnsi="Arial"/>
                <w:sz w:val="14"/>
                <w:szCs w:val="14"/>
                <w:color w:val="auto"/>
                <w:w w:val="76"/>
              </w:rPr>
              <w:t>235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Balance as of September 30,</w:t>
            </w: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5"/>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500" w:type="dxa"/>
            <w:vAlign w:val="bottom"/>
            <w:tcBorders>
              <w:top w:val="single" w:sz="8" w:color="auto"/>
            </w:tcBorders>
            <w:gridSpan w:val="2"/>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900" w:type="dxa"/>
            <w:vAlign w:val="bottom"/>
            <w:tcBorders>
              <w:top w:val="single" w:sz="8" w:color="auto"/>
            </w:tcBorders>
            <w:gridSpan w:val="4"/>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Borders>
              <w:right w:val="single" w:sz="8" w:color="auto"/>
            </w:tcBorders>
            <w:gridSpan w:val="31"/>
          </w:tcPr>
          <w:p>
            <w:pPr>
              <w:ind w:left="140"/>
              <w:spacing w:after="0" w:line="149" w:lineRule="exact"/>
              <w:rPr>
                <w:sz w:val="20"/>
                <w:szCs w:val="20"/>
                <w:color w:val="auto"/>
              </w:rPr>
            </w:pPr>
            <w:r>
              <w:rPr>
                <w:rFonts w:ascii="Arial" w:cs="Arial" w:eastAsia="Arial" w:hAnsi="Arial"/>
                <w:sz w:val="14"/>
                <w:szCs w:val="14"/>
                <w:b w:val="1"/>
                <w:bCs w:val="1"/>
                <w:color w:val="auto"/>
              </w:rPr>
              <w:t>2018</w:t>
            </w:r>
          </w:p>
        </w:tc>
        <w:tc>
          <w:tcPr>
            <w:tcW w:w="5000" w:type="dxa"/>
            <w:vAlign w:val="bottom"/>
            <w:gridSpan w:val="31"/>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b w:val="1"/>
                <w:bCs w:val="1"/>
                <w:color w:val="auto"/>
              </w:rPr>
              <w:t>(unaudited)</w:t>
            </w: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20,000,000</w:t>
            </w: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w w:val="83"/>
              </w:rPr>
              <w:t>29,200</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9"/>
              </w:rPr>
              <w:t>45,714,286</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9"/>
              </w:rPr>
              <w:t>79,615</w:t>
            </w:r>
          </w:p>
        </w:tc>
        <w:tc>
          <w:tcPr>
            <w:tcW w:w="740" w:type="dxa"/>
            <w:vAlign w:val="bottom"/>
            <w:gridSpan w:val="5"/>
          </w:tcPr>
          <w:p>
            <w:pPr>
              <w:jc w:val="center"/>
              <w:ind w:left="52"/>
              <w:spacing w:after="0"/>
              <w:rPr>
                <w:sz w:val="20"/>
                <w:szCs w:val="20"/>
                <w:color w:val="auto"/>
              </w:rPr>
            </w:pPr>
            <w:r>
              <w:rPr>
                <w:rFonts w:ascii="Arial" w:cs="Arial" w:eastAsia="Arial" w:hAnsi="Arial"/>
                <w:sz w:val="14"/>
                <w:szCs w:val="14"/>
                <w:b w:val="1"/>
                <w:bCs w:val="1"/>
                <w:color w:val="auto"/>
                <w:w w:val="88"/>
              </w:rPr>
              <w:t>71,506,513</w:t>
            </w:r>
          </w:p>
        </w:tc>
        <w:tc>
          <w:tcPr>
            <w:tcW w:w="140" w:type="dxa"/>
            <w:vAlign w:val="bottom"/>
            <w:gridSpan w:val="3"/>
          </w:tcPr>
          <w:p>
            <w:pPr>
              <w:ind w:left="80"/>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86"/>
              </w:rPr>
              <w:t>229,552</w:t>
            </w:r>
          </w:p>
        </w:tc>
        <w:tc>
          <w:tcPr>
            <w:tcW w:w="200" w:type="dxa"/>
            <w:vAlign w:val="bottom"/>
            <w:tcBorders>
              <w:right w:val="single" w:sz="8" w:color="auto"/>
            </w:tcBorders>
          </w:tcPr>
          <w:p>
            <w:pPr>
              <w:spacing w:after="0"/>
              <w:rPr>
                <w:sz w:val="14"/>
                <w:szCs w:val="14"/>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34,802,318</w:t>
            </w:r>
          </w:p>
        </w:tc>
        <w:tc>
          <w:tcPr>
            <w:tcW w:w="8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2</w:t>
            </w:r>
          </w:p>
        </w:tc>
        <w:tc>
          <w:tcPr>
            <w:tcW w:w="160" w:type="dxa"/>
            <w:vAlign w:val="bottom"/>
            <w:gridSpan w:val="2"/>
          </w:tcPr>
          <w:p>
            <w:pPr>
              <w:ind w:left="8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23,054</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(115,069)</w:t>
            </w:r>
          </w:p>
        </w:tc>
        <w:tc>
          <w:tcPr>
            <w:tcW w:w="80" w:type="dxa"/>
            <w:vAlign w:val="bottom"/>
          </w:tcPr>
          <w:p>
            <w:pPr>
              <w:spacing w:after="0"/>
              <w:rPr>
                <w:sz w:val="14"/>
                <w:szCs w:val="14"/>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3"/>
          </w:tcPr>
          <w:p>
            <w:pPr>
              <w:ind w:left="640"/>
              <w:spacing w:after="0"/>
              <w:rPr>
                <w:sz w:val="20"/>
                <w:szCs w:val="20"/>
                <w:color w:val="auto"/>
              </w:rPr>
            </w:pPr>
            <w:r>
              <w:rPr>
                <w:rFonts w:ascii="Arial" w:cs="Arial" w:eastAsia="Arial" w:hAnsi="Arial"/>
                <w:sz w:val="14"/>
                <w:szCs w:val="14"/>
                <w:b w:val="1"/>
                <w:bCs w:val="1"/>
                <w:color w:val="auto"/>
                <w:w w:val="76"/>
              </w:rPr>
              <w:t>235</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(91,778)</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-33655</wp:posOffset>
            </wp:positionV>
            <wp:extent cx="26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-16510</wp:posOffset>
            </wp:positionV>
            <wp:extent cx="260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340"/>
              <w:spacing w:after="0"/>
              <w:rPr>
                <w:sz w:val="20"/>
                <w:szCs w:val="20"/>
                <w:color w:val="auto"/>
              </w:rPr>
            </w:pPr>
            <w:r>
              <w:rPr>
                <w:rFonts w:ascii="Arial" w:cs="Arial" w:eastAsia="Arial" w:hAnsi="Arial"/>
                <w:sz w:val="14"/>
                <w:szCs w:val="14"/>
                <w:b w:val="1"/>
                <w:bCs w:val="1"/>
                <w:color w:val="auto"/>
                <w:w w:val="90"/>
              </w:rPr>
              <w:t>Year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center"/>
              <w:ind w:right="35"/>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20"/>
              <w:spacing w:after="0"/>
              <w:rPr>
                <w:sz w:val="20"/>
                <w:szCs w:val="20"/>
                <w:color w:val="auto"/>
              </w:rPr>
            </w:pPr>
            <w:r>
              <w:rPr>
                <w:rFonts w:ascii="Arial" w:cs="Arial" w:eastAsia="Arial" w:hAnsi="Arial"/>
                <w:sz w:val="17"/>
                <w:szCs w:val="17"/>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(83)</w:t>
            </w:r>
          </w:p>
        </w:tc>
        <w:tc>
          <w:tcPr>
            <w:tcW w:w="3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(6,771)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(321)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(108,175)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60"/>
              <w:spacing w:after="0"/>
              <w:rPr>
                <w:sz w:val="20"/>
                <w:szCs w:val="20"/>
                <w:color w:val="auto"/>
              </w:rPr>
            </w:pPr>
            <w:r>
              <w:rPr>
                <w:rFonts w:ascii="Arial" w:cs="Arial" w:eastAsia="Arial" w:hAnsi="Arial"/>
                <w:sz w:val="17"/>
                <w:szCs w:val="17"/>
                <w:color w:val="auto"/>
              </w:rPr>
              <w:t>In process research and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Accrued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w w:val="84"/>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w w:val="84"/>
              </w:rPr>
              <w:t>824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w w:val="84"/>
              </w:rPr>
              <w:t>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Accrued research and development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126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Accrued interest—short-term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auto"/>
                <w:w w:val="77"/>
              </w:rPr>
              <w:t>117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Security deposits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(used in) 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(5,745)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20"/>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Research and development asset acquisitions, net of cash acquired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Purchase of marketable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(115,141)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Purchase of property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320"/>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(136,030)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Proceeds from issuance of convertible note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6,000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Proceeds from long term note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Proceeds from issuance of Series A convertible preferred stock,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73,491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Proceeds from issuance of Series B convertible common stock,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229,552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1020"/>
              <w:spacing w:after="0"/>
              <w:rPr>
                <w:sz w:val="20"/>
                <w:szCs w:val="20"/>
                <w:color w:val="auto"/>
              </w:rPr>
            </w:pPr>
            <w:r>
              <w:rPr>
                <w:rFonts w:ascii="Arial" w:cs="Arial" w:eastAsia="Arial" w:hAnsi="Arial"/>
                <w:sz w:val="17"/>
                <w:szCs w:val="17"/>
                <w:color w:val="auto"/>
              </w:rPr>
              <w:t>Issuance of common stock, net of fees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Repayment of notes payable to related parties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303,003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increase in cash, cash equivalents and restricted cash</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255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140,952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7"/>
                <w:szCs w:val="17"/>
                <w:color w:val="auto"/>
              </w:rPr>
              <w:t>Cash, cash equivalents and restricted cash, at the beginning of the period</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Cash, cash equivalents and restricted cash, at the end of the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w w:val="84"/>
              </w:rPr>
              <w:t>315</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141,267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4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w w:val="93"/>
              </w:rPr>
              <w:t>Acquisition of in-process research and development through the issuance of stock, net of cash</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acquired</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320"/>
              <w:spacing w:after="0"/>
              <w:rPr>
                <w:sz w:val="20"/>
                <w:szCs w:val="20"/>
                <w:color w:val="auto"/>
              </w:rPr>
            </w:pPr>
            <w:r>
              <w:rPr>
                <w:rFonts w:ascii="Arial" w:cs="Arial" w:eastAsia="Arial" w:hAnsi="Arial"/>
                <w:sz w:val="17"/>
                <w:szCs w:val="17"/>
                <w:color w:val="auto"/>
              </w:rPr>
              <w:t>Issuance of Series A convertible preferred stock to convert debt and accrued interest</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unrealized gain on marketable securities, net of tax</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60"/>
        <w:spacing w:after="0" w:line="289" w:lineRule="auto"/>
        <w:rPr>
          <w:sz w:val="20"/>
          <w:szCs w:val="20"/>
          <w:color w:val="auto"/>
        </w:rPr>
      </w:pPr>
      <w:r>
        <w:rPr>
          <w:rFonts w:ascii="Arial" w:cs="Arial" w:eastAsia="Arial" w:hAnsi="Arial"/>
          <w:sz w:val="17"/>
          <w:szCs w:val="17"/>
          <w:b w:val="1"/>
          <w:bCs w:val="1"/>
          <w:color w:val="auto"/>
        </w:rPr>
        <w:t>Gossamer Bio, Inc. Notes to Consolidated Financial Statements (Information and amounts as of September 30, 2018 and thereafter and for the nine months ended September 30, 2017 and 2018 is 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Gossamer Bio, Inc. (the “Company”) is a clinical-stage biopharmaceutical company focused on discovering, acquiring, developing and commercializing therapeutics in the disease areas of immunology, inflammation and oncology. The Company was incorporated in the state of Delaware on October 25, 2015 (originally as FSG Bio, Inc.) and is based in San Diego, California.</w:t>
      </w:r>
    </w:p>
    <w:p>
      <w:pPr>
        <w:spacing w:after="0" w:line="181" w:lineRule="exact"/>
        <w:rPr>
          <w:sz w:val="20"/>
          <w:szCs w:val="20"/>
          <w:color w:val="auto"/>
        </w:rPr>
      </w:pPr>
    </w:p>
    <w:p>
      <w:pPr>
        <w:ind w:left="200" w:right="500" w:firstLine="771"/>
        <w:spacing w:after="0" w:line="277" w:lineRule="auto"/>
        <w:rPr>
          <w:sz w:val="20"/>
          <w:szCs w:val="20"/>
          <w:color w:val="auto"/>
        </w:rPr>
      </w:pPr>
      <w:r>
        <w:rPr>
          <w:rFonts w:ascii="Arial" w:cs="Arial" w:eastAsia="Arial" w:hAnsi="Arial"/>
          <w:sz w:val="18"/>
          <w:szCs w:val="18"/>
          <w:color w:val="auto"/>
        </w:rPr>
        <w:t>The consolidated financial statements include the accounts of Gossamer Bio, Inc. and its wholly owned subsidiaries. All intercompany balances and transactions among the consolidated entity have been eliminated in consolidation.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In December 2017, the board of directors of the Company approved a stock split of the Company’s common stock at a ratio of 20,612 shares for every one share previously held. The stock split became effective on January 4, 2018. All share and per share data included in these financial statements reflect the stock split.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December 31, 2017, and September 30, 2018, the Company had an accumulated deficit of $6.9 million and $115.1 million, respectively.</w:t>
      </w:r>
    </w:p>
    <w:p>
      <w:pPr>
        <w:spacing w:after="0" w:line="170"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Since inception, the Company has funded its operations primarily through equity financings. The Company raised $310.0 million from October 2017 through July 2018 through Series A and Series B Convertible Preferred Stock and convertible note financings. In addition, the Company received $12.8 million in cash in connection with the January 2018 acquisition of AA Biopharma Inc. The Company expects to continue to incur significant operating losses for the foreseeable future and may never become profitable. As a result, the Company will need to raise capital through equity offerings, debt financings other capital sources, including potential collaborations, licenses and other similar arrangements. 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Company’s consolidated financial statements have been prepared in conformity with accounting principles generally accepted in the United States of America (“GAAP”) and include all adjustments necessary for the fair presentation of the Company’s financial position for the periods presented.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200" w:right="20" w:firstLine="771"/>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expenses during the reporting period. The most significant estimates in the Company’s consolidated financial statements relate to accrued expenses, the valuation of preferred and common stock, the valuation of stock options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The accompanying interim consolidated balance sheet as of September 30, 2018, the consolidated statements of operations and cash flows for the nine months ended September 30, 2017 and 2018 and the consolidated statement of stockholders’ deficit for the nine months ended September 30, 2018 and the related consolidated footnote disclosures are unaudited. In management’s opinion, the unaudited interim financial statements have been prepared on the same basis as the audited financial statements and include all adjustments, which include only normal recurring adjustments, necessary for the fair presentation of the Company’s financial position as of September 30, 2018 and its results of operations and cash flows for the nine months ended September 30, 2017 and 2018 in accordance with GAAP. The results for the nine months ended September 30, 2018 are not necessarily indicative of the results expected for the full fiscal year or any other interim period.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225" w:lineRule="exact"/>
        <w:rPr>
          <w:sz w:val="20"/>
          <w:szCs w:val="20"/>
          <w:color w:val="auto"/>
        </w:rPr>
      </w:pPr>
    </w:p>
    <w:p>
      <w:pPr>
        <w:ind w:left="200" w:right="60" w:firstLine="771"/>
        <w:spacing w:after="0" w:line="312" w:lineRule="auto"/>
        <w:rPr>
          <w:sz w:val="20"/>
          <w:szCs w:val="20"/>
          <w:color w:val="auto"/>
        </w:rPr>
      </w:pPr>
      <w:r>
        <w:rPr>
          <w:rFonts w:ascii="Arial" w:cs="Arial" w:eastAsia="Arial" w:hAnsi="Arial"/>
          <w:sz w:val="16"/>
          <w:szCs w:val="16"/>
          <w:color w:val="auto"/>
        </w:rPr>
        <w:t>The unaudited pro forma balance sheet information as of September 30, 2018 assumes the conversion of all outstanding shares of convertible preferred stock into 137,220,799 shares of the Company’s common stock immediately prior to completion of the Company’s planned initial public offering (“IPO”). Shares of common stock issued in the IPO and any related net proceeds are excluded from the pro forma information.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200" w:right="320" w:firstLine="771"/>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to be cash equivalents. The carrying amounts reported in the consolidated balance sheets for cash and cash equivalents are valued at cost, which approximate their fair value.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The Company considers securities with original maturities of greater than 90 days to be marketable securities. These marketable securities consist of U.S. Treasury securities. Marketable securities are recorded at fair value and unrealized gains and losses are recorded within accumulated other comprehensive loss. The estimated fair value of the marketable securities is determined based on quoted market prices or rates for similar instruments. The Company evaluates securities with unrealized losses to determine whether such losses, if any, are other than temporary. Realized gains and losses are calculated using the specific identification method and recorded as interest income or expense. We do not generally intend to sell the investments and it is not more likely than not that we will be required to sell the investments before recovery of their amortized cost bases, which may be at maturity. The Company has determined that there were no other than temporary declines in fair values of its investments as of September 30, 2018. As of September 30, 2018, the Company held U.S. Treasury securities with an amortized cost of $115.2 million, an unrealized gain of $326,000, an unrealized loss of $91,000, a fair market value of $115.4 million and are scheduled to mature in less than twelve months. As of December 31, 2017, the Company did not hold any marketable securities.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Restricted cash serves as collateral for the Company’s corporate credit card program.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225" w:lineRule="exact"/>
        <w:rPr>
          <w:sz w:val="20"/>
          <w:szCs w:val="20"/>
          <w:color w:val="auto"/>
        </w:rPr>
      </w:pPr>
    </w:p>
    <w:p>
      <w:pPr>
        <w:ind w:left="200" w:right="240" w:firstLine="771"/>
        <w:spacing w:after="0" w:line="257" w:lineRule="auto"/>
        <w:rPr>
          <w:sz w:val="20"/>
          <w:szCs w:val="20"/>
          <w:color w:val="auto"/>
        </w:rPr>
      </w:pPr>
      <w:r>
        <w:rPr>
          <w:rFonts w:ascii="Arial" w:cs="Arial" w:eastAsia="Arial" w:hAnsi="Arial"/>
          <w:sz w:val="18"/>
          <w:szCs w:val="18"/>
          <w:color w:val="auto"/>
        </w:rPr>
        <w:t>Cash, cash equivalents and marketable securities are financial instruments that are potentially subject to concentrations of credit risk. The Company’s cash and cash equivalents are deposited in accounts at large financial institutions, and amounts may exceed federally insured limits. The Company believes it is not exposed to significant credit risk due to the financial strength of the depository institutions in which the cash and cash equivalents are held. The Company maintains its cash equivalents in U.S. Treasury securities with maturities less than three months and in money market funds that invest in U.S. Treasury securities.</w:t>
      </w:r>
    </w:p>
    <w:p>
      <w:pPr>
        <w:spacing w:after="0" w:line="188"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Company’s available for sale securities are also invested in U.S. Treasury securities. The Company has not recognized any losses from credit risks on such accounts during any of the periods presented. The Company believes it is not exposed to significant credit risk on its cash, cash equivalents and available for sale securities.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left="200" w:right="220" w:firstLine="771"/>
        <w:spacing w:after="0" w:line="264" w:lineRule="auto"/>
        <w:rPr>
          <w:sz w:val="20"/>
          <w:szCs w:val="20"/>
          <w:color w:val="auto"/>
        </w:rPr>
      </w:pPr>
      <w:r>
        <w:rPr>
          <w:rFonts w:ascii="Arial" w:cs="Arial" w:eastAsia="Arial" w:hAnsi="Arial"/>
          <w:sz w:val="18"/>
          <w:szCs w:val="18"/>
          <w:color w:val="auto"/>
        </w:rPr>
        <w:t>Property and equipment, net, which consists mainly of office equipment and leasehold improvements, are carried at cost less accumulated depreciation. Depreciation is computed over the estimated useful lives of the respective assets, generally three to seven years, using the straight-line method.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The Company records rent expense on a straight-line over the term of the lease. The difference between rent payments and straight-line rent expense is recorded as deferred rent.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Payments made prior to the receipt of goods or services to be used in research and development are capitalized until the goods or services are received.</w:t>
      </w:r>
    </w:p>
    <w:p>
      <w:pPr>
        <w:spacing w:after="0" w:line="187"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 Upfront costs, such as costs associated with setting up clinical trial sites for participation in the trials, are expensed immediately once incurred as research and development expenses.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These costs are included in general and administrative expenses.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 xml:space="preserve">Income taxes are recorded in accordance with Financial Accounting Standards Board (“FASB”) Standards Codification (“ASC”) No. 740,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(“ASC 740”), which provides for deferred taxes using an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24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88" w:lineRule="exact"/>
        <w:rPr>
          <w:sz w:val="20"/>
          <w:szCs w:val="20"/>
          <w:color w:val="auto"/>
        </w:rPr>
      </w:pPr>
    </w:p>
    <w:p>
      <w:pPr>
        <w:ind w:left="200" w:right="240" w:firstLine="771"/>
        <w:spacing w:after="0" w:line="259"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pacing w:after="0" w:line="187" w:lineRule="exact"/>
        <w:rPr>
          <w:sz w:val="20"/>
          <w:szCs w:val="20"/>
          <w:color w:val="auto"/>
        </w:rPr>
      </w:pPr>
    </w:p>
    <w:p>
      <w:pPr>
        <w:ind w:left="200" w:right="40" w:firstLine="771"/>
        <w:spacing w:after="0" w:line="253" w:lineRule="auto"/>
        <w:rPr>
          <w:sz w:val="20"/>
          <w:szCs w:val="20"/>
          <w:color w:val="auto"/>
        </w:rPr>
      </w:pPr>
      <w:r>
        <w:rPr>
          <w:rFonts w:ascii="Arial" w:cs="Arial" w:eastAsia="Arial" w:hAnsi="Arial"/>
          <w:sz w:val="18"/>
          <w:szCs w:val="18"/>
          <w:color w:val="auto"/>
        </w:rPr>
        <w:t>The provisional impact of the Tax Cuts and Jobs Act (“Tax Act”) is the Company’s current best estimate based on a preliminary review of the new law and is subject to revision based on its existing accounting for income tax policy as further information is gathered, and interpretation and analysis of the tax legislation evolves. The Securities and Exchange Commission has issued rules allowing for a measurement period of up to one year after the enactment date of the Tax Act to finalize the recording of the related tax impacts. Any future changes to the Company’s provisional estimated impact of the Tax Act will be included as an adjustment to the provision for income taxes. Deferred tax assets and liabilities reflect the future tax consequences of the differences between the financial reporting and tax bases of assets and liabilities using current enacted tax rates. Valuation allowances are recorded when the realizability of such deferred tax assets does not meet a more-likely-than-not threshold. For tax benefits to be recognized, a tax position must be more likely than not to be sustained upon examination by taxing authorities. The Company is subject to taxation in the United States and state jurisdictions. As of December 31, 2017, the Company’s tax years since inception are subject to examination by taxing authorities.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200" w:right="40" w:firstLine="771"/>
        <w:spacing w:after="0" w:line="271" w:lineRule="auto"/>
        <w:rPr>
          <w:sz w:val="20"/>
          <w:szCs w:val="20"/>
          <w:color w:val="auto"/>
        </w:rPr>
      </w:pPr>
      <w:r>
        <w:rPr>
          <w:rFonts w:ascii="Arial" w:cs="Arial" w:eastAsia="Arial" w:hAnsi="Arial"/>
          <w:sz w:val="17"/>
          <w:szCs w:val="17"/>
          <w:color w:val="auto"/>
        </w:rPr>
        <w:t>The Company expenses stock-based compensation to employees and non-employees over the requisite service period based on the estimated grant-date fair value of the awards. 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share-based compensation costs are recorded in the statements of operations based upon the underlying employees or non-employee’s roles within the Company.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assets and liabilities arising from a lease for both financing and operating leases, along with additional qualitative and quantitative disclosures. ASU 2016-02 is effective for fiscal periods beginning after December 15, 2018, with early adoption permitted. The Company is required to adopt this new guidance beginning in 2019 using the modified retrospective method and early adoption is permitted. Although the Company is in the early stages of evaluating the impact of adoption of ASU 2016-02 on its financial statements, the Company currently believes the most significant changes will be related to the recognition of lease liabilities on the Company’s consolidated balance sheets for real estate operating leases.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200" w:right="100" w:firstLine="771"/>
        <w:spacing w:after="0" w:line="285"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 Improvements to Nonemployee Share-Based Payment Accounting</w:t>
      </w:r>
      <w:r>
        <w:rPr>
          <w:rFonts w:ascii="Arial" w:cs="Arial" w:eastAsia="Arial" w:hAnsi="Arial"/>
          <w:sz w:val="16"/>
          <w:szCs w:val="16"/>
          <w:color w:val="auto"/>
        </w:rPr>
        <w:t>. The amendments in ASU 2018-07, expand the scope of Topic 718 to include share-based payment transactions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acquiring goods and services from nonemployees. An entity should apply the requirements of Topic 718 to nonemployee awards for specific guidance on inputs to an option pricing model and the period of time over which share-based payment awards vest and the pattern of cost recognition over that period. The amendments also clarify that Topic 718 does not apply to share-based payments used to effectively provide (i) financing to the issuer or</w:t>
      </w:r>
    </w:p>
    <w:p>
      <w:pPr>
        <w:spacing w:after="0" w:line="2" w:lineRule="exact"/>
        <w:rPr>
          <w:sz w:val="20"/>
          <w:szCs w:val="20"/>
          <w:color w:val="auto"/>
        </w:rPr>
      </w:pPr>
    </w:p>
    <w:p>
      <w:pPr>
        <w:ind w:left="200" w:right="160" w:firstLine="4"/>
        <w:spacing w:after="0" w:line="292" w:lineRule="auto"/>
        <w:tabs>
          <w:tab w:leader="none" w:pos="4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awards granted in conjunction with selling goods or services to customers as part of a contracted accounted for under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ASU 2018-07 is effective for the Company in January 2020, with early adoptions permitted, but no earlier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adoption date of Topic 606. The Company has elected to early adopt ASU 2018-07, full retrospective as of January 1, 2017. The Company has no revenues and therefore the adoption of Topic 606 did not have an impact on the Company’s financial statements. The adoption of ASU 2018-07 did not have a material impact on its consolidated financial statements and related disclosures, financial position, results of operations or cash flows.</w:t>
      </w:r>
    </w:p>
    <w:p>
      <w:pPr>
        <w:spacing w:after="0" w:line="163"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Statement—Reporting Comprehensive Income, (Topic 220): Reclassification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Tax Effects from Accumulated Other Comprehensive Income, </w:t>
      </w:r>
      <w:r>
        <w:rPr>
          <w:rFonts w:ascii="Arial" w:cs="Arial" w:eastAsia="Arial" w:hAnsi="Arial"/>
          <w:sz w:val="17"/>
          <w:szCs w:val="17"/>
          <w:color w:val="auto"/>
        </w:rPr>
        <w:t>which allows a reclassification from accumulated other comprehensive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earnings for stranded tax effects resulting from the newly enacted federal corporate income tax rate under the Tax Act. The amount of the reclassification would be the difference between the historical corporate income tax rate and the newly enacted 21% corporate income tax rate. The new standard is effective for fiscal years, including interim periods within those fiscal years, beginning after December 15, 2018 with early adoption in any interim period permitted. The Company has elected to early adopt ASU 2018-02, as of January 1, 2018. The adoption of ASU 2018-02 did not have a material impact on its consolidated financial statements and related disclosures.</w:t>
      </w:r>
    </w:p>
    <w:p>
      <w:pPr>
        <w:spacing w:after="0" w:line="178" w:lineRule="exact"/>
        <w:rPr>
          <w:sz w:val="20"/>
          <w:szCs w:val="20"/>
          <w:color w:val="auto"/>
        </w:rPr>
      </w:pPr>
    </w:p>
    <w:p>
      <w:pPr>
        <w:ind w:left="200" w:right="60" w:firstLine="771"/>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update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guidance is effective for fiscal periods beginning after December 15, 2017, including interim periods within those periods. The Company adopted ASU 2017-01 starting with the GB002 acquisition, which occurred prior to the effective date of ASU 2017-01 and the financial statement issuance date. The adoption of this guidance did not have a material impact on its consolidated financial statements and related disclosures.</w:t>
      </w:r>
    </w:p>
    <w:p>
      <w:pPr>
        <w:spacing w:after="0" w:line="189"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clarifies the presentation of restricted cash in the statements of cash flows. Under ASU 2016-18, restricted cash is included with cash and cash equivalents when reconciling the beginning-of-period and end-of-period total amounts shown on the statements of cash flows. The Company adopted ASU 2016-18 as of January 1, 2018. Cash, cash equivalents and restricted cash total as presented in the statements of cash flows consist of cash and cash equivalents of $32.1 million and restricted cash of $0.2 million.</w:t>
      </w:r>
    </w:p>
    <w:p>
      <w:pPr>
        <w:spacing w:after="0" w:line="188" w:lineRule="exact"/>
        <w:rPr>
          <w:sz w:val="20"/>
          <w:szCs w:val="20"/>
          <w:color w:val="auto"/>
        </w:rPr>
      </w:pPr>
    </w:p>
    <w:p>
      <w:pPr>
        <w:ind w:left="200" w:right="240" w:firstLine="771"/>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Stock Compensation Improvements to Employee Share-Based Payment Accounting</w:t>
      </w:r>
      <w:r>
        <w:rPr>
          <w:rFonts w:ascii="Arial" w:cs="Arial" w:eastAsia="Arial" w:hAnsi="Arial"/>
          <w:sz w:val="16"/>
          <w:szCs w:val="16"/>
          <w:color w:val="auto"/>
        </w:rPr>
        <w:t>, which simplifies several aspects of the accounting for share-based payment transactions, including the income tax consequences, classification of awards as either equity or liabilities, and classification on the statement of cash flows. ASU 2016-09 became effective for the Company on January 1, 2017. The adoption of this guidance did not have a material impact on its consolidated financial statements and related disclosures.</w:t>
      </w:r>
    </w:p>
    <w:p>
      <w:pPr>
        <w:spacing w:after="0" w:line="154"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created a single, principle-based revenue recognition model that will supersede and replace nearly all existing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U.S. GAAP revenue recognition guidance. Entities will recognize revenue in a manner that depicts the transfer of goods or services to customers at an amount that reflects the consideration to which the entity expects to be entitled to receive in exchange for those goods or services. The model provides that entities follow five steps: (i) identify the contract with a customer, (ii) identify the performance obligations in the contract, (iii) determine the transaction price, (iv) allocate the transaction price to the performance obligations, and (v) recognize revenue. For nonpublic business entities, the guidance becomes effective for annual reporting periods beginning after December 15, 2018. The Company has elected to early adopt ASU 2014-09, as of January 1, 2017, the adoption of this guidance did not have any impact on its consolidated financial statements and related disclosures.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200" w:right="420" w:firstLine="771"/>
        <w:spacing w:after="0" w:line="257" w:lineRule="auto"/>
        <w:rPr>
          <w:sz w:val="20"/>
          <w:szCs w:val="20"/>
          <w:color w:val="auto"/>
        </w:rPr>
      </w:pPr>
      <w:r>
        <w:rPr>
          <w:rFonts w:ascii="Arial" w:cs="Arial" w:eastAsia="Arial" w:hAnsi="Arial"/>
          <w:sz w:val="18"/>
          <w:szCs w:val="18"/>
          <w:color w:val="auto"/>
        </w:rPr>
        <w:t>Basic net loss per share of common stock is computed by dividing net loss attributable to common stockholders by the weighted average number of shares of common stock outstanding for the period. Diluted net loss per share excludes the potential impact of Series Seed Convertible Preferred Stock, Series A Convertible Preferred Stock, and Series B Convertible Preferred Stock, common stock options and unvested shares of restricted stock because their effect would be anti-dilutive due to the Company’s net loss. Since the Company had a net loss in each of the periods presented, basic and diluted net loss per common share are the same.</w:t>
      </w:r>
    </w:p>
    <w:p>
      <w:pPr>
        <w:spacing w:after="0" w:line="188"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share because to do so would be anti-dilutive: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4"/>
                <w:szCs w:val="14"/>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Shares issuable upon conversion of Series Seed Convertible Preferred Stock</w:t>
            </w: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Shares issuable upon conversion of Series A Convertible Preferred Stock</w:t>
            </w:r>
          </w:p>
        </w:tc>
        <w:tc>
          <w:tcPr>
            <w:tcW w:w="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45,714,286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issuable upon conversion of Series B Convertible Preferred Stock</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71,506,513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Shares issuable upon exercise of stock options</w:t>
            </w:r>
          </w:p>
        </w:tc>
        <w:tc>
          <w:tcPr>
            <w:tcW w:w="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9,469,500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shares under restricted stock grants</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5,874,420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35,098,238</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summarizes the Company’s unaudited pro forma net loss per share (in thousands except share and per share data):</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26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 2017</w:t>
            </w:r>
          </w:p>
        </w:tc>
        <w:tc>
          <w:tcPr>
            <w:tcW w:w="4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 and pro forma net loss</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(6,771)</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41,224,000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27,602,600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Pro forma adjustments to reflect assumed weighted-average effect of conversion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convertible preferred stock</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84,138,279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Shares used to compute pro forma net loss per share, basic and diluted</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41,224,000</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111,740,879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loss per share, basic and diluted</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(0.16)</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5320"/>
              <w:spacing w:after="0"/>
              <w:rPr>
                <w:sz w:val="20"/>
                <w:szCs w:val="20"/>
                <w:color w:val="auto"/>
              </w:rPr>
            </w:pPr>
            <w:r>
              <w:rPr>
                <w:rFonts w:ascii="Arial" w:cs="Arial" w:eastAsia="Arial" w:hAnsi="Arial"/>
                <w:sz w:val="18"/>
                <w:szCs w:val="18"/>
                <w:color w:val="auto"/>
              </w:rPr>
              <w:t>F-13</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3—Accrued Expenses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ind w:left="440"/>
              <w:spacing w:after="0"/>
              <w:rPr>
                <w:sz w:val="20"/>
                <w:szCs w:val="20"/>
                <w:color w:val="auto"/>
              </w:rPr>
            </w:pPr>
            <w:r>
              <w:rPr>
                <w:rFonts w:ascii="Arial" w:cs="Arial" w:eastAsia="Arial" w:hAnsi="Arial"/>
                <w:sz w:val="14"/>
                <w:szCs w:val="14"/>
                <w:b w:val="1"/>
                <w:bCs w:val="1"/>
                <w:color w:val="auto"/>
                <w:w w:val="98"/>
              </w:rPr>
              <w:t>December 31,</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2017</w:t>
            </w:r>
          </w:p>
        </w:tc>
        <w:tc>
          <w:tcPr>
            <w:tcW w:w="7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2,739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Accrued legal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w w:val="86"/>
              </w:rPr>
              <w:t>103</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79"/>
              </w:rPr>
              <w:t>103</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3,413</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4—Fair Value Measurements</w:t>
      </w:r>
    </w:p>
    <w:p>
      <w:pPr>
        <w:spacing w:after="0" w:line="229"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Level 3: Unobservable inputs in which there is little or no market data, which require the reporting entity to develop its own assumptions.</w:t>
      </w:r>
    </w:p>
    <w:p>
      <w:pPr>
        <w:spacing w:after="0" w:line="248"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As of December 31, 2016, and 2017, the carrying amounts of the Company’s financial instruments, which include cash, accounts payable and accrued expenses, approximate fair values because of their short maturities. Included in marketable securities as of September 30, 2018 are U.S. Treasury Securities with a carrying value and fair value of $115.4 million based upon a Level 1 fair value assessment. The carrying amounts for the Company’s other financial instruments approximate fair values as of September 30, 2018.</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of December 31, 2016, December 31, 2017, and September 30, 2018, the Company did not have any Level 2 or Level 3 securities.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5—Convertible Note Financing</w:t>
      </w:r>
    </w:p>
    <w:p>
      <w:pPr>
        <w:spacing w:after="0" w:line="229" w:lineRule="exact"/>
        <w:rPr>
          <w:sz w:val="20"/>
          <w:szCs w:val="20"/>
          <w:color w:val="auto"/>
        </w:rPr>
      </w:pPr>
    </w:p>
    <w:p>
      <w:pPr>
        <w:ind w:left="200" w:right="40" w:firstLine="771"/>
        <w:spacing w:after="0" w:line="254" w:lineRule="auto"/>
        <w:rPr>
          <w:sz w:val="20"/>
          <w:szCs w:val="20"/>
          <w:color w:val="auto"/>
        </w:rPr>
      </w:pPr>
      <w:r>
        <w:rPr>
          <w:rFonts w:ascii="Arial" w:cs="Arial" w:eastAsia="Arial" w:hAnsi="Arial"/>
          <w:sz w:val="18"/>
          <w:szCs w:val="18"/>
          <w:color w:val="auto"/>
        </w:rPr>
        <w:t>On October 2, 2017, the Company issued a convertible promissory note (the “Note”) in an amount of $6.0 million to an investor. The Note accrued interest at 8% per year and had a maturity date of October 2, 2018. The Note was subject to an automatic conversion upon a qualified equity financing defined as a raise of $40.0 million, excluding the conversion of the Note and other indebtedness. The conversion was equal to the outstanding principal amount of the Note plus all accrued and previously unpaid interest thereon, divided by the lowest price per share paid by investor for qualified equity financing. The carrying value of the Note for the year ended December 31, 2017 was approximately $6.1 million which approximated the fair value of the Note which was determined using Level 3 inputs. On January 4, 2018, the Note converted into 3,499,209 shares of Series A Convertible Preferred Stock. For the year ended December 31, 2017 and for the nine months ended September 30, 2018, the Company recorded aggregate interest expense of $0.1 million.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60"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6—Asset Acquisitions</w:t>
      </w:r>
    </w:p>
    <w:p>
      <w:pPr>
        <w:spacing w:after="0" w:line="229"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 xml:space="preserve">The following purchased assets were accounted for as asset acquisitions pursuant to ASU 2017-01,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as substantially all of the fair value of the assets acquired were concentrated in a group of similar assets,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assets did not have outputs or employees. Because the assets had not yet received regulatory approval, the fair value attributable to these assets was recorded as in process research and development (“IPR&amp;D”) expenses in the Company’s consolidated statement of operations for the year ended December 31, 2017 and for the nine months ended September 30, 2018.</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 of License from Pulmokine, Inc. (GB002)</w:t>
      </w:r>
    </w:p>
    <w:p>
      <w:pPr>
        <w:spacing w:after="0" w:line="225" w:lineRule="exact"/>
        <w:rPr>
          <w:sz w:val="20"/>
          <w:szCs w:val="20"/>
          <w:color w:val="auto"/>
        </w:rPr>
      </w:pPr>
    </w:p>
    <w:p>
      <w:pPr>
        <w:ind w:left="200" w:firstLine="771"/>
        <w:spacing w:after="0" w:line="268" w:lineRule="auto"/>
        <w:rPr>
          <w:sz w:val="20"/>
          <w:szCs w:val="20"/>
          <w:color w:val="auto"/>
        </w:rPr>
      </w:pPr>
      <w:r>
        <w:rPr>
          <w:rFonts w:ascii="Arial" w:cs="Arial" w:eastAsia="Arial" w:hAnsi="Arial"/>
          <w:sz w:val="17"/>
          <w:szCs w:val="17"/>
          <w:color w:val="auto"/>
        </w:rPr>
        <w:t>On October 2, 2017, the Company, entered into a license agreement with Pulmokine, Inc. under which it was granted an exclusive worldwide license and sublicense to certain intellectual property rights owned or controlled by Pulmokine to develop and commercialize GB002 and certain backup compounds for the treatment, prevention and diagnosis of any and all disease or conditions. The Company also has the right to sublicense its rights under the license agreement, subject to certain conditions. The assets acquired are in the early stages of the FDA approval process, and the Company intends to further develop the assets acquired through potential FDA approval as evidenced by the milestone arrangement in the contract. The development activities cannot be performed without significant cost and effort by the Company. The agreement will remain in effect from the effective date, unless terminated earlier, until, on a licensed product-by-licensed product and country-by-country basis, the later of ten years from the date of first commercial sale or when there is no longer a valid patent claim covering such licensed product or specified regulatory exclusivity for the licensed product in such country. The Company is obligated to make future development and regulatory milestone payments of up to $63.0 million, commercial milestone payments of up to $45.0 million, and sales milestone payments of up to $190.0 million. The Company is also obligated to pay tiered royalties on sales for each licensed product, at percentages ranging from the mid-single digits to the high single-digits. The Company made an upfront payment in the year ended December 31, 2017, recorded as IPR&amp;D of $5.5 million. As of September 30, 2018, no milestones had been accrued as there were no potential milestones yet considered probable.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AA Biopharma Inc. Acquisition (GB001)</w:t>
      </w:r>
    </w:p>
    <w:p>
      <w:pPr>
        <w:spacing w:after="0" w:line="225"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On January 4, 2018, the Company acquired AA Biopharma Inc. pursuant to a merger agreement, and with the acquisition acquired the rights to GB001 and certain backup compounds. In connection with the merger agreement, the Company issued an aggregate of 20,000,000 shares of Series Seed Convertible Preferred Stock and 4,955,752 shares of Common Stock to the AA Biopharma shareholders. The Company recorded IPR&amp;D of $19.3 million in connection with the acquisition of AA Biopharma.</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 of License from Aerpio Pharmaceuticals, Inc. (GB004)</w:t>
      </w:r>
    </w:p>
    <w:p>
      <w:pPr>
        <w:spacing w:after="0" w:line="225" w:lineRule="exact"/>
        <w:rPr>
          <w:sz w:val="20"/>
          <w:szCs w:val="20"/>
          <w:color w:val="auto"/>
        </w:rPr>
      </w:pPr>
    </w:p>
    <w:p>
      <w:pPr>
        <w:ind w:left="200" w:right="120" w:firstLine="771"/>
        <w:spacing w:after="0" w:line="290" w:lineRule="auto"/>
        <w:rPr>
          <w:sz w:val="20"/>
          <w:szCs w:val="20"/>
          <w:color w:val="auto"/>
        </w:rPr>
      </w:pPr>
      <w:r>
        <w:rPr>
          <w:rFonts w:ascii="Arial" w:cs="Arial" w:eastAsia="Arial" w:hAnsi="Arial"/>
          <w:sz w:val="16"/>
          <w:szCs w:val="16"/>
          <w:color w:val="auto"/>
        </w:rPr>
        <w:t>On June 24, 2018, the Company entered into a license agreement with Aerpio Pharmaceuticals, Inc. (“Aerpio”) under which the Company was granted an exclusive worldwide license and sublicense to certain intellectual property rights owned or controlled by Aerpio to develop and commercialize GB004, and certain other related compounds for all applications. The Company also has the right to sublicense its rights under the license agreement, subject to certain conditions. The Company is obligated to make future development and regulatory milestone payments of up to $55.0 million, commercial milestone payments of up to $85.0 million and sales milestone payments of up to $260.0 million. The Company is also obligated to pay tiered royalties on sales for each licensed product, at percentages ranging from a high single-digit to mid-teens, subject to certain customary reductions. The Company made an upfront payment of $20.0 million, which represented the purchase consideration for an asset acquisition. As of September 30, 2018, no milestones had been accrued as there were no potential milestones yet considered probable.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Adhaere Pharmaceuticals, Inc. Acquisition (GB1275)</w:t>
      </w:r>
    </w:p>
    <w:p>
      <w:pPr>
        <w:spacing w:after="0" w:line="225" w:lineRule="exact"/>
        <w:rPr>
          <w:sz w:val="20"/>
          <w:szCs w:val="20"/>
          <w:color w:val="auto"/>
        </w:rPr>
      </w:pPr>
    </w:p>
    <w:p>
      <w:pPr>
        <w:ind w:left="200" w:right="120" w:firstLine="771"/>
        <w:spacing w:after="0" w:line="297" w:lineRule="auto"/>
        <w:rPr>
          <w:sz w:val="20"/>
          <w:szCs w:val="20"/>
          <w:color w:val="auto"/>
        </w:rPr>
      </w:pPr>
      <w:r>
        <w:rPr>
          <w:rFonts w:ascii="Arial" w:cs="Arial" w:eastAsia="Arial" w:hAnsi="Arial"/>
          <w:sz w:val="16"/>
          <w:szCs w:val="16"/>
          <w:color w:val="auto"/>
        </w:rPr>
        <w:t>On September 21, 2018, the Company acquired Adhaere Pharmaceuticals, Inc. pursuant to a merger agreement for an upfront payment of $7.5 million in cash, and with the acquisition acquired the rights to GB1275 and certain backup compounds. The Company is obligated to make future regulatory, development and sales milestones of up to $62.0 million and pay tiered royalties on worldwide net sales, at percentages ranging from low to mid-single digits, subject to customary reductions. As of September 30, 2018, no milestones had been accrued as there were no potential milestones yet considered probable. The Company recorded IPR&amp;D of $7.5 million in connection with the acquisition of Adhaere.</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recorded the following IPR&amp;D expense on the consolidated statements of operations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GB002</w:t>
            </w: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5,500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GB001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19,148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GB004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GB1275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preclinical programs</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IPR&amp;D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5,500</w:t>
            </w:r>
          </w:p>
        </w:tc>
        <w:tc>
          <w:tcPr>
            <w:tcW w:w="28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49,659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7—Income Taxes</w:t>
      </w:r>
    </w:p>
    <w:p>
      <w:pPr>
        <w:spacing w:after="0" w:line="229" w:lineRule="exact"/>
        <w:rPr>
          <w:sz w:val="20"/>
          <w:szCs w:val="20"/>
          <w:color w:val="auto"/>
        </w:rPr>
      </w:pPr>
    </w:p>
    <w:p>
      <w:pPr>
        <w:ind w:left="200" w:right="80" w:firstLine="771"/>
        <w:spacing w:after="0" w:line="270" w:lineRule="auto"/>
        <w:rPr>
          <w:sz w:val="20"/>
          <w:szCs w:val="20"/>
          <w:color w:val="auto"/>
        </w:rPr>
      </w:pPr>
      <w:r>
        <w:rPr>
          <w:rFonts w:ascii="Arial" w:cs="Arial" w:eastAsia="Arial" w:hAnsi="Arial"/>
          <w:sz w:val="17"/>
          <w:szCs w:val="17"/>
          <w:color w:val="auto"/>
        </w:rPr>
        <w:t>No provision for federal or state income taxes has been recorded for the years ended December 31, 2016 and 2017. The difference between the Company’s effective tax rate of 0% and the U.S. federal statutory tax rate of 34% is largely due to the Company’s net operating losses and the effect of the federal corporate rate change beginning January 1, 2018, which are offset by the corresponding valuation allowance. Deferred income taxes reflect the net tax effects of temporary differences between the carrying amount of assets and liabilities for financial reporting purposes and the amounts used for income tax purposes. Significant components of the Company’s deferred tax assets and liabilities as of December 31, 2016 and 2017 are shown below. The Company has established a valuation allowance against net deferred tax assets due to the uncertainty that such assets will be realized. The Company periodically evaluates the recoverability of the deferred assets. At such time as it is determined that it is more likely than not that the deferred tax asset will be realized, the valuation allowance will be reduced. The change in the valuation allowance for the year ended December 31, 2017 was an increase of $1.8 million.</w:t>
      </w:r>
    </w:p>
    <w:p>
      <w:pPr>
        <w:spacing w:after="0" w:line="200" w:lineRule="exact"/>
        <w:rPr>
          <w:sz w:val="20"/>
          <w:szCs w:val="20"/>
          <w:color w:val="auto"/>
        </w:rPr>
      </w:pPr>
    </w:p>
    <w:tbl>
      <w:tblPr>
        <w:tblLayout w:type="fixed"/>
        <w:tblInd w:w="26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w w:val="89"/>
              </w:rPr>
              <w:t>2016</w:t>
            </w: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vMerge w:val="continue"/>
          </w:tcPr>
          <w:p>
            <w:pPr>
              <w:spacing w:after="0"/>
              <w:rPr>
                <w:sz w:val="12"/>
                <w:szCs w:val="12"/>
                <w:color w:val="auto"/>
              </w:rPr>
            </w:pPr>
          </w:p>
        </w:tc>
        <w:tc>
          <w:tcPr>
            <w:tcW w:w="5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37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state income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13"/>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(1,895)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771"/>
        <w:spacing w:after="0" w:line="277" w:lineRule="auto"/>
        <w:rPr>
          <w:sz w:val="20"/>
          <w:szCs w:val="20"/>
          <w:color w:val="auto"/>
        </w:rPr>
      </w:pPr>
      <w:r>
        <w:rPr>
          <w:rFonts w:ascii="Arial" w:cs="Arial" w:eastAsia="Arial" w:hAnsi="Arial"/>
          <w:sz w:val="18"/>
          <w:szCs w:val="18"/>
          <w:color w:val="auto"/>
        </w:rPr>
        <w:t>At December 31, 2017, the Company has federal and California net operating losses (“NOL”) carryforwards of approximately $1.1 million and $1.1 million, respectively. The federal and state NOL carryforwards begin to expire in 2036.</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The NOL carryforward may be subject to an annual limitation under Section 382 and 383 of the Internal Revenue Code of 1986, and similar state provisions if the Company experienced one or more ownership changes which would limit the amount of NOL and tax credit carryforwards that can be utilized to offset future taxable income and tax respectively. In general, an ownership change as defined by Section 382 and 383, results from the transactions increasing ownership of certain stockholders or public groups in the stock of the corporation of more than 50 percentage points over a three-year period. The Company has not completed a Section 382 and 383 analysis to assess whether an ownership change has occurred or whether there have been multiple ownership changes since the Company’s formation due to the complexity and cost associated with such study and the fact there may be additional such ownership changes in the future. If a change in ownership were to have occurred or occurs in the future, the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the Company’s effective tax rate.</w:t>
      </w:r>
    </w:p>
    <w:p>
      <w:pPr>
        <w:spacing w:after="0" w:line="178" w:lineRule="exact"/>
        <w:rPr>
          <w:sz w:val="20"/>
          <w:szCs w:val="20"/>
          <w:color w:val="auto"/>
        </w:rPr>
      </w:pPr>
    </w:p>
    <w:p>
      <w:pPr>
        <w:ind w:left="200" w:right="160" w:firstLine="771"/>
        <w:spacing w:after="0" w:line="312" w:lineRule="auto"/>
        <w:rPr>
          <w:sz w:val="20"/>
          <w:szCs w:val="20"/>
          <w:color w:val="auto"/>
        </w:rPr>
      </w:pPr>
      <w:r>
        <w:rPr>
          <w:rFonts w:ascii="Arial" w:cs="Arial" w:eastAsia="Arial" w:hAnsi="Arial"/>
          <w:sz w:val="16"/>
          <w:szCs w:val="16"/>
          <w:color w:val="auto"/>
        </w:rPr>
        <w:t>The Company files income tax returns in the United States and California. Due to the Company’s losses incurred, the Company is subject to the income tax examination by authorities since inception. The Company’s policy is to recognize interest expense and penalties related to income tax matters as tax expense. As of December 31, 2017, there were no significant accruals for interest related to unrecognized tax benefits or tax penalties.</w:t>
      </w:r>
    </w:p>
    <w:p>
      <w:pPr>
        <w:spacing w:after="0" w:line="147" w:lineRule="exact"/>
        <w:rPr>
          <w:sz w:val="20"/>
          <w:szCs w:val="20"/>
          <w:color w:val="auto"/>
        </w:rPr>
      </w:pPr>
    </w:p>
    <w:p>
      <w:pPr>
        <w:jc w:val="both"/>
        <w:ind w:left="200" w:right="220" w:firstLine="771"/>
        <w:spacing w:after="0" w:line="264" w:lineRule="auto"/>
        <w:rPr>
          <w:sz w:val="20"/>
          <w:szCs w:val="20"/>
          <w:color w:val="auto"/>
        </w:rPr>
      </w:pPr>
      <w:r>
        <w:rPr>
          <w:rFonts w:ascii="Arial" w:cs="Arial" w:eastAsia="Arial" w:hAnsi="Arial"/>
          <w:sz w:val="18"/>
          <w:szCs w:val="18"/>
          <w:color w:val="auto"/>
        </w:rPr>
        <w:t>On December 22, 2017, the President of the United States signed into law the Tax Act. The Tax Act amends the Internal Revenue Code to reduce tax rates and modify policies, credits, and deductions for individuals and businesses. For businesses, the Tax Act reduces the corporate tax rate from a maximum 35% to a flat 21% rate. The rate reduction is effective on January 1, 2018.</w:t>
      </w:r>
    </w:p>
    <w:p>
      <w:pPr>
        <w:spacing w:after="0" w:line="181" w:lineRule="exact"/>
        <w:rPr>
          <w:sz w:val="20"/>
          <w:szCs w:val="20"/>
          <w:color w:val="auto"/>
        </w:rPr>
      </w:pPr>
    </w:p>
    <w:p>
      <w:pPr>
        <w:jc w:val="both"/>
        <w:ind w:left="200" w:right="20" w:firstLine="771"/>
        <w:spacing w:after="0" w:line="286" w:lineRule="auto"/>
        <w:rPr>
          <w:sz w:val="20"/>
          <w:szCs w:val="20"/>
          <w:color w:val="auto"/>
        </w:rPr>
      </w:pPr>
      <w:r>
        <w:rPr>
          <w:rFonts w:ascii="Arial" w:cs="Arial" w:eastAsia="Arial" w:hAnsi="Arial"/>
          <w:sz w:val="17"/>
          <w:szCs w:val="17"/>
          <w:color w:val="auto"/>
        </w:rPr>
        <w:t>As a result of the rate reduction, the Company has reduced the deferred tax asset balance as of December 31, 2017 by $0.8 million. Due to the Company’s full valuation allowance position, there was no net impact on the Company’s income tax provision at December 31, 2017, as the reduction in the deferred tax asset balance was fully offset by a corresponding decrease in the valuation allowance.</w:t>
      </w:r>
    </w:p>
    <w:p>
      <w:pPr>
        <w:spacing w:after="0" w:line="166" w:lineRule="exact"/>
        <w:rPr>
          <w:sz w:val="20"/>
          <w:szCs w:val="20"/>
          <w:color w:val="auto"/>
        </w:rPr>
      </w:pPr>
    </w:p>
    <w:p>
      <w:pPr>
        <w:ind w:left="200" w:right="120" w:firstLine="771"/>
        <w:spacing w:after="0" w:line="293" w:lineRule="auto"/>
        <w:rPr>
          <w:sz w:val="20"/>
          <w:szCs w:val="20"/>
          <w:color w:val="auto"/>
        </w:rPr>
      </w:pPr>
      <w:r>
        <w:rPr>
          <w:rFonts w:ascii="Arial" w:cs="Arial" w:eastAsia="Arial" w:hAnsi="Arial"/>
          <w:sz w:val="16"/>
          <w:szCs w:val="16"/>
          <w:color w:val="auto"/>
        </w:rPr>
        <w:t>In conjunction with the Tax Act, the SEC staff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Act. There was no net impact on the Company’s consolidated financial statements for the year ended December 31, 2017 as the corresponding adjustment was made to the valuation allowance.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Tax Act.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8—Convertible Preferred Stock and Stockholders’ Deficit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Seed Convertible Preferred Stock</w:t>
      </w:r>
    </w:p>
    <w:p>
      <w:pPr>
        <w:spacing w:after="0" w:line="225"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On January 4, 2018, the Company issued an aggregate of 20,000,000 shares of Series Seed Convertible Preferred Stock in connection with the merger agreement with AA Biopharma Inc. (See Note 6).</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left="200" w:right="280" w:firstLine="771"/>
        <w:spacing w:after="0" w:line="264" w:lineRule="auto"/>
        <w:rPr>
          <w:sz w:val="20"/>
          <w:szCs w:val="20"/>
          <w:color w:val="auto"/>
        </w:rPr>
      </w:pPr>
      <w:r>
        <w:rPr>
          <w:rFonts w:ascii="Arial" w:cs="Arial" w:eastAsia="Arial" w:hAnsi="Arial"/>
          <w:sz w:val="18"/>
          <w:szCs w:val="18"/>
          <w:color w:val="auto"/>
        </w:rPr>
        <w:t>In January and March 2018, the Company issued an aggregate of 45,714,286 shares of Series A Convertible Preferred Stock at $1.75 per share for approximately $73.9 million in cash and the conversion of approximately $6.1 million in principal and accrued interest under the Note (See Note 5).</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ind w:left="200" w:right="320" w:firstLine="771"/>
        <w:spacing w:after="0" w:line="277" w:lineRule="auto"/>
        <w:rPr>
          <w:sz w:val="20"/>
          <w:szCs w:val="20"/>
          <w:color w:val="auto"/>
        </w:rPr>
      </w:pPr>
      <w:r>
        <w:rPr>
          <w:rFonts w:ascii="Arial" w:cs="Arial" w:eastAsia="Arial" w:hAnsi="Arial"/>
          <w:sz w:val="18"/>
          <w:szCs w:val="18"/>
          <w:color w:val="auto"/>
        </w:rPr>
        <w:t>On July 20 2018, the Company issued an aggregate of 71,506,513 shares of Series B Convertible Preferred Stock at $3.2167 per share for approximately $230.0 million in gross proceeds.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Holders of Series Seed Convertible Preferred Stock, Series A Convertible Preferred Stock and Series B Convertible Preferred Stock (collectively, “Series Convertible Preferred Stock”), in preference to the holders of common stock, shall be entitled to receive, but only out of funds that are legally available therefor, cash dividends at the annual per share rate of 6.0% per annum (based on the original issue price). Such dividends shall be payable only when, as and if declared by the Company’s board of directors and shall be non-cumulative. No dividends have been declared as of September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200" w:firstLine="771"/>
        <w:spacing w:after="0" w:line="289" w:lineRule="auto"/>
        <w:rPr>
          <w:sz w:val="20"/>
          <w:szCs w:val="20"/>
          <w:color w:val="auto"/>
        </w:rPr>
      </w:pPr>
      <w:r>
        <w:rPr>
          <w:rFonts w:ascii="Arial" w:cs="Arial" w:eastAsia="Arial" w:hAnsi="Arial"/>
          <w:sz w:val="16"/>
          <w:szCs w:val="16"/>
          <w:color w:val="auto"/>
        </w:rPr>
        <w:t>Holders of Series B Convertible Preferred Stock are entitled to receive a liquidation preference (the “Series B Liquidation Amount”) prior to any distribution to the holders of Series Seed Convertible Preferred Stock, Series A Convertible Preferred Stock and common stock in the amount per share equal to the greater of (i) $3.2167, plus all declared and unpaid dividends, or (ii) the amount the holders would receive if the Series B Convertible Preferred Stock were converted into common stock prior to such liquidation event. After payment of the full Series B Liquidation Amount, holders of shares of Series Seed Convertible Preferred Stock and Series A Convertible Preferred Stock are entitled to receive a liquidation preference prior to any distribution to the holders of common stock in the amount per share equal to the greater of (i) $1.00 per share with respect to the Series Seed Convertible Preferred Stock and $1.75 per share with respect to the Series A Convertible Preferred Stock, plus all declared and unpaid dividends, or (ii) the amount the holders would receive if the Series Convertible Preferred Stock were converted into common stock prior to such liquidation event. Thereafter, the remaining assets of the Company legally available for distribution, if any, shall be distributed ratably to the holders of the common stock.</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200" w:right="60" w:firstLine="771"/>
        <w:spacing w:after="0" w:line="272" w:lineRule="auto"/>
        <w:rPr>
          <w:sz w:val="20"/>
          <w:szCs w:val="20"/>
          <w:color w:val="auto"/>
        </w:rPr>
      </w:pPr>
      <w:r>
        <w:rPr>
          <w:rFonts w:ascii="Arial" w:cs="Arial" w:eastAsia="Arial" w:hAnsi="Arial"/>
          <w:sz w:val="17"/>
          <w:szCs w:val="17"/>
          <w:color w:val="auto"/>
        </w:rPr>
        <w:t>The shares of Series Convertible Preferred Stock are convertible into an equal number of shares of common stock, at the option of the holder, subject to certain anti-dilution adjustments. Each share of Series Convertible Preferred Stock is automatically converted into common stock (i) upon the closing of a firm-commitment underwritten public offering pursuant to an effective registration statement under the Securities Act of 1933, as amended, resulting in at least $100 million of gross proceeds to the Company, or if such offering is otherwise approved by vote or written consent of at least 65% of the outstanding shares of the Series Convertible Preferred Stock, or (ii) the date and time, or the occurrence of an event, specified by vote or written consent of each of the holders of (a) at least 65% of the outstanding shares of the Series Convertible Preferred Stock and (b) at least 65% of the outstanding shares of Series B Convertible Preferred Stock</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200" w:right="320" w:firstLine="771"/>
        <w:spacing w:after="0" w:line="277" w:lineRule="auto"/>
        <w:rPr>
          <w:sz w:val="20"/>
          <w:szCs w:val="20"/>
          <w:color w:val="auto"/>
        </w:rPr>
      </w:pPr>
      <w:r>
        <w:rPr>
          <w:rFonts w:ascii="Arial" w:cs="Arial" w:eastAsia="Arial" w:hAnsi="Arial"/>
          <w:sz w:val="18"/>
          <w:szCs w:val="18"/>
          <w:color w:val="auto"/>
        </w:rPr>
        <w:t>The holder of each share of Series Convertible Preferred Stock is entitled to one vote for each share of common stock into which it would convert and to vote as one class with the common stockholders on all matters.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Presentation of Convertible Preferred Stock</w:t>
      </w:r>
    </w:p>
    <w:p>
      <w:pPr>
        <w:spacing w:after="0" w:line="225"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Series Convertible Preferred is classified outside of stockholders’ equity (deficit) because the shares contain certain redemption features that are not solely within the control of the Company. The Company is not adjusting the carrying value of the Series Convertible Preferred as it is uncertain whether or when a redemption event will occur.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On December 3, 2015, the Company issued 41,224,000 shares of common stock as founder shares for services rendered to the Company, valued at $0.0001 par value per share, for a total of approximately $4,100. On January 4, 2018, incremental vesting conditions were placed on the previously issued founder shares. Fifty percent of the previously issued founder shares vested on January 4, 2018, and the remaining founder shares are subject to vesting restrictions over a period of five years.</w:t>
      </w:r>
    </w:p>
    <w:p>
      <w:pPr>
        <w:spacing w:after="0" w:line="187"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color w:val="auto"/>
        </w:rPr>
        <w:t>Pursuant to the employment agreements with the Company’s founders executed January 4, 2018, the Company provided for certain potential additional issuances of common stock (the “anti-dilution shares”) to each of the founders to ensure the total number of shares of common stock held by them and their affiliates (inclusive of any shares subject to equity awards granted by the Company and the Founders’ Equity) would represent 15% of the Company’s fully-diluted capitalization until such time as the Company raised $300 million in equity capital, including the capital raised in the Series A financing.</w:t>
      </w:r>
    </w:p>
    <w:p>
      <w:pPr>
        <w:spacing w:after="0" w:line="188" w:lineRule="exact"/>
        <w:rPr>
          <w:sz w:val="20"/>
          <w:szCs w:val="20"/>
          <w:color w:val="auto"/>
        </w:rPr>
      </w:pPr>
    </w:p>
    <w:p>
      <w:pPr>
        <w:ind w:left="200" w:right="220" w:firstLine="771"/>
        <w:spacing w:after="0" w:line="257" w:lineRule="auto"/>
        <w:rPr>
          <w:sz w:val="20"/>
          <w:szCs w:val="20"/>
          <w:color w:val="auto"/>
        </w:rPr>
      </w:pPr>
      <w:r>
        <w:rPr>
          <w:rFonts w:ascii="Arial" w:cs="Arial" w:eastAsia="Arial" w:hAnsi="Arial"/>
          <w:sz w:val="18"/>
          <w:szCs w:val="18"/>
          <w:color w:val="auto"/>
        </w:rPr>
        <w:t>In furtherance of this obligation, on May 21, 2018, the Company issued 1,131,962 shares of common stock to the founders for services rendered to the Company, valued at $0.58 per share with an additional 1,131,962 shares of restricted stock subject to the same vesting restrictions and vesting period as the founder shares. In addition, on September 6, 2018, the Company issued 8,077,604 shares of common stock to the founders for services rendered to the Company, valued at $2.14 per share, with an additional 8,077,604 shares of restricted stock subject to the same vesting restrictions and vesting period as the founder shares.</w:t>
      </w:r>
    </w:p>
    <w:p>
      <w:pPr>
        <w:spacing w:after="0" w:line="188"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Each share of common stock is entitled to one voting right. Common stock owners are entitled to dividends when funds are legally available and declared by the Board.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of Common Stock Subject to Repurchase</w:t>
      </w:r>
    </w:p>
    <w:p>
      <w:pPr>
        <w:spacing w:after="0" w:line="225" w:lineRule="exact"/>
        <w:rPr>
          <w:sz w:val="20"/>
          <w:szCs w:val="20"/>
          <w:color w:val="auto"/>
        </w:rPr>
      </w:pPr>
    </w:p>
    <w:p>
      <w:pPr>
        <w:ind w:left="200" w:firstLine="771"/>
        <w:spacing w:after="0" w:line="284" w:lineRule="auto"/>
        <w:rPr>
          <w:sz w:val="20"/>
          <w:szCs w:val="20"/>
          <w:color w:val="auto"/>
        </w:rPr>
      </w:pPr>
      <w:r>
        <w:rPr>
          <w:rFonts w:ascii="Arial" w:cs="Arial" w:eastAsia="Arial" w:hAnsi="Arial"/>
          <w:sz w:val="16"/>
          <w:szCs w:val="16"/>
          <w:color w:val="auto"/>
        </w:rPr>
        <w:t>In November 2017, in connection with the issuance of the Series A Convertible Preferred Stock, certain employees entered into stock restriction agreements, whereby 5,874,420 shares are subject to forfeiture by the Company upon the stockholder’s termination of employment or service to the Company. In January 2018, the Company’s founders entered into stock restriction agreements, whereby 20,612,000 of previously unrestricted shares of common stock were subject to service vesting conditions. These shares are also subject to forfeiture by the Company upon the stockholders’ termination of employment or service to the Company. Any shares subject to repurchase by the Company are not deemed, for accounting purposes, to be outstanding until those shares vest. As such, the Company recognizes the measurement date fair value of the restricted stock over the vesting period as compensation expense. For the years ended December 31, 2016, December 31, 2017 and September 30, 2018, 0 shares, 5,874,420 shares and</w:t>
      </w:r>
    </w:p>
    <w:p>
      <w:pPr>
        <w:spacing w:after="0" w:line="3"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35,098,238 shares of common stock, respectively, were subject to repurchase by the Company. The unvested stock liability related to these awards is immaterial to all periods presented.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9—Stock-Based Compensation</w:t>
      </w:r>
    </w:p>
    <w:p>
      <w:pPr>
        <w:spacing w:after="0" w:line="229" w:lineRule="exact"/>
        <w:rPr>
          <w:sz w:val="20"/>
          <w:szCs w:val="20"/>
          <w:color w:val="auto"/>
        </w:rPr>
      </w:pPr>
    </w:p>
    <w:p>
      <w:pPr>
        <w:ind w:left="200" w:right="140" w:firstLine="771"/>
        <w:spacing w:after="0" w:line="286" w:lineRule="auto"/>
        <w:rPr>
          <w:sz w:val="20"/>
          <w:szCs w:val="20"/>
          <w:color w:val="auto"/>
        </w:rPr>
      </w:pPr>
      <w:r>
        <w:rPr>
          <w:rFonts w:ascii="Arial" w:cs="Arial" w:eastAsia="Arial" w:hAnsi="Arial"/>
          <w:sz w:val="17"/>
          <w:szCs w:val="17"/>
          <w:color w:val="auto"/>
        </w:rPr>
        <w:t>The Company’s 2017 Equity Incentive Plan (the “Plan”) permits the granting of incentive stock options, non-statutory stock options, restricted stock, restricted stock units and other stock-based awards. As of December 31, 2016, December 31, 2017, and September 30, 2018, 0 shares, 5,889,357 shares, and 17,121,225 shares of common stock were authorized for issuance under the Plan, respectively.</w:t>
      </w:r>
    </w:p>
    <w:p>
      <w:pPr>
        <w:spacing w:after="0" w:line="166"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At December 31, 2017 and September 30, 2018, 5,874,420 and 14,746,172 shares outstanding have been awarded and 14,937 and 2,375,053 shares, respectively, remain available for issuance under the Plan.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200" w:right="480" w:firstLine="771"/>
        <w:spacing w:after="0" w:line="277"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is a private company and lacks company-specific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historical and implied volatility information. Therefore, it estimates its expected volatility based on the historical volatility of a publicly traded set of peer companies. Due to the lack of historical exercise history, the expected term of the Company’s stock options for employees has been determined utilizing the “simplified” method for awards.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78" w:lineRule="exact"/>
        <w:rPr>
          <w:sz w:val="20"/>
          <w:szCs w:val="20"/>
          <w:color w:val="auto"/>
        </w:rPr>
      </w:pPr>
    </w:p>
    <w:p>
      <w:pPr>
        <w:ind w:left="200" w:right="100" w:firstLine="771"/>
        <w:spacing w:after="0" w:line="342" w:lineRule="auto"/>
        <w:rPr>
          <w:sz w:val="20"/>
          <w:szCs w:val="20"/>
          <w:color w:val="auto"/>
        </w:rPr>
      </w:pPr>
      <w:r>
        <w:rPr>
          <w:rFonts w:ascii="Arial" w:cs="Arial" w:eastAsia="Arial" w:hAnsi="Arial"/>
          <w:sz w:val="16"/>
          <w:szCs w:val="16"/>
          <w:color w:val="auto"/>
        </w:rPr>
        <w:t>The grant date fair value of stock option awards is determined using the Black-Scholes option-pricing model. No stock options were granted for the years ended December 31, 2016 and 2017. The following assumptions were used to estimate the fair value of stock option awards:</w:t>
      </w:r>
    </w:p>
    <w:p>
      <w:pPr>
        <w:spacing w:after="0" w:line="130"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43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3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940" w:type="dxa"/>
            <w:vAlign w:val="bottom"/>
          </w:tcPr>
          <w:p>
            <w:pPr>
              <w:ind w:left="40"/>
              <w:spacing w:after="0"/>
              <w:rPr>
                <w:sz w:val="20"/>
                <w:szCs w:val="20"/>
                <w:color w:val="auto"/>
              </w:rPr>
            </w:pPr>
            <w:r>
              <w:rPr>
                <w:rFonts w:ascii="Arial" w:cs="Arial" w:eastAsia="Arial" w:hAnsi="Arial"/>
                <w:sz w:val="18"/>
                <w:szCs w:val="18"/>
                <w:color w:val="auto"/>
              </w:rPr>
              <w:t>- 6.1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- 77.62%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940" w:type="dxa"/>
            <w:vAlign w:val="bottom"/>
          </w:tcPr>
          <w:p>
            <w:pPr>
              <w:ind w:left="40"/>
              <w:spacing w:after="0"/>
              <w:rPr>
                <w:sz w:val="20"/>
                <w:szCs w:val="20"/>
                <w:color w:val="auto"/>
              </w:rPr>
            </w:pPr>
            <w:r>
              <w:rPr>
                <w:rFonts w:ascii="Arial" w:cs="Arial" w:eastAsia="Arial" w:hAnsi="Arial"/>
                <w:sz w:val="18"/>
                <w:szCs w:val="18"/>
                <w:color w:val="auto"/>
              </w:rPr>
              <w:t>- 2.96%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Life (in</w:t>
            </w: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9,587,500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5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Outstanding as of September 30,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9,469,500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155,833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771"/>
        <w:spacing w:after="0" w:line="279" w:lineRule="auto"/>
        <w:rPr>
          <w:sz w:val="20"/>
          <w:szCs w:val="20"/>
          <w:color w:val="auto"/>
        </w:rPr>
      </w:pPr>
      <w:r>
        <w:rPr>
          <w:rFonts w:ascii="Arial" w:cs="Arial" w:eastAsia="Arial" w:hAnsi="Arial"/>
          <w:sz w:val="17"/>
          <w:szCs w:val="17"/>
          <w:color w:val="auto"/>
        </w:rPr>
        <w:t>The aggregate intrinsic value in the above table is calculated as the difference between fair value of the Company’s common stock price and the exercise price of the stock options. The weighted-average grant date fair value per share for the stock option grants during the nine months ended September 30, 2018 was $0.43. At September 30, 2018, the total unrecognized compensation related to unvested stock option awards granted was $3.7 million, which the Company expects to recognize over a weighted-average period of approximately 3.6 years.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summary of the Company’s restricted stock activity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Number of Shares</w:t>
            </w:r>
          </w:p>
        </w:tc>
        <w:tc>
          <w:tcPr>
            <w:tcW w:w="480" w:type="dxa"/>
            <w:vAlign w:val="bottom"/>
          </w:tcPr>
          <w:p>
            <w:pPr>
              <w:spacing w:after="0"/>
              <w:rPr>
                <w:sz w:val="14"/>
                <w:szCs w:val="14"/>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140" w:type="dxa"/>
            <w:vAlign w:val="bottom"/>
            <w:gridSpan w:val="4"/>
          </w:tcPr>
          <w:p>
            <w:pPr>
              <w:ind w:left="48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2016</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5,874,420</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5,874,420</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39,056,132</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(597,748)</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(9,234,566)</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2018</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35,098,238</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At September 30, 2018, the total unrecognized compensation related to unvested restricted stock awards granted was $28.2 million, which the Company expects to recognize over a weighted-average period of approximately 4.0 years.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Stock-based compensation expense has been reported in the Company’s consolidated statements of operations as follows (in thousands):</w:t>
      </w:r>
    </w:p>
    <w:p>
      <w:pPr>
        <w:spacing w:after="0" w:line="25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Nine Months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ind w:left="24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ind w:left="1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For the nine months ended September 30, 2018, $17.3 million of the stock-based compensation expense related to the issuance of the anti-dilution shares.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10—Property and Equipment, Net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property and equipment, net consisted of the following (in thousands):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Estimated Useful</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6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040" w:type="dxa"/>
            <w:vAlign w:val="bottom"/>
            <w:tcBorders>
              <w:top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9"/>
              </w:rPr>
              <w:t>3</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Computer Equipment</w:t>
            </w:r>
          </w:p>
        </w:tc>
        <w:tc>
          <w:tcPr>
            <w:tcW w:w="1040" w:type="dxa"/>
            <w:vAlign w:val="bottom"/>
          </w:tcPr>
          <w:p>
            <w:pPr>
              <w:jc w:val="center"/>
              <w:ind w:left="54"/>
              <w:spacing w:after="0"/>
              <w:rPr>
                <w:sz w:val="20"/>
                <w:szCs w:val="20"/>
                <w:color w:val="auto"/>
              </w:rPr>
            </w:pPr>
            <w:r>
              <w:rPr>
                <w:rFonts w:ascii="Arial" w:cs="Arial" w:eastAsia="Arial" w:hAnsi="Arial"/>
                <w:sz w:val="18"/>
                <w:szCs w:val="18"/>
                <w:color w:val="auto"/>
                <w:w w:val="99"/>
              </w:rPr>
              <w:t>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9"/>
              </w:rPr>
              <w:t>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Lab Equipment</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2"/>
              </w:rPr>
              <w:t>2-5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2"/>
              </w:rPr>
              <w:t>6-7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F-21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342" w:lineRule="auto"/>
        <w:rPr>
          <w:sz w:val="20"/>
          <w:szCs w:val="20"/>
          <w:color w:val="auto"/>
        </w:rPr>
      </w:pPr>
      <w:r>
        <w:rPr>
          <w:rFonts w:ascii="Arial" w:cs="Arial" w:eastAsia="Arial" w:hAnsi="Arial"/>
          <w:sz w:val="16"/>
          <w:szCs w:val="16"/>
          <w:color w:val="auto"/>
        </w:rPr>
        <w:t>No depreciation expense was recorded for the years ended December 31, 2016 and 2017. Depreciation expense for the nine months ended September 30, 2018 was approximately $163,000 and was recorded in general and administrative expense in the Consolidated Statements of Operations.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Office Lease</w:t>
      </w:r>
    </w:p>
    <w:p>
      <w:pPr>
        <w:spacing w:after="0" w:line="225" w:lineRule="exact"/>
        <w:rPr>
          <w:sz w:val="20"/>
          <w:szCs w:val="20"/>
          <w:color w:val="auto"/>
        </w:rPr>
      </w:pPr>
    </w:p>
    <w:p>
      <w:pPr>
        <w:ind w:left="200" w:right="260" w:firstLine="771"/>
        <w:spacing w:after="0" w:line="273" w:lineRule="auto"/>
        <w:rPr>
          <w:sz w:val="20"/>
          <w:szCs w:val="20"/>
          <w:color w:val="auto"/>
        </w:rPr>
      </w:pPr>
      <w:r>
        <w:rPr>
          <w:rFonts w:ascii="Arial" w:cs="Arial" w:eastAsia="Arial" w:hAnsi="Arial"/>
          <w:sz w:val="17"/>
          <w:szCs w:val="17"/>
          <w:color w:val="auto"/>
        </w:rPr>
        <w:t>The Company subleases certain office and laboratory space under a non-cancelable operating lease expiring in January 2025 for the initial leased space and December 2022 for expansion space leased pursuant to an amendment to the lease agreement entered into in August 2018. with an option to extend for the entire premises through the expiration of the initial terms of the master lease. The sub-lease is subject to charges for common area maintenance and other costs, and base rent is subject to an annual increase in 3% of each subsequent year. The sublease did not commence until January 15, 2018, therefore there was no rent expense for the years ending December 31, 2016 and 2017. For the nine months ended September 30, 2018, the Company recorded approximately $1.1 million in rent expense.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Future minimum payments under the non-cancelable operating lease as of September 30, 2018 were as follows (in thousands):</w:t>
      </w:r>
    </w:p>
    <w:p>
      <w:pPr>
        <w:spacing w:after="0" w:line="26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Years ended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2,997</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3,176</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15,854</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200" w:right="240" w:firstLine="771"/>
        <w:spacing w:after="0" w:line="308" w:lineRule="auto"/>
        <w:rPr>
          <w:sz w:val="20"/>
          <w:szCs w:val="20"/>
          <w:color w:val="auto"/>
        </w:rPr>
      </w:pPr>
      <w:r>
        <w:rPr>
          <w:rFonts w:ascii="Arial" w:cs="Arial" w:eastAsia="Arial" w:hAnsi="Arial"/>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12—Subsequent Events</w:t>
      </w:r>
    </w:p>
    <w:p>
      <w:pPr>
        <w:spacing w:after="0" w:line="121" w:lineRule="exact"/>
        <w:rPr>
          <w:sz w:val="20"/>
          <w:szCs w:val="20"/>
          <w:color w:val="auto"/>
        </w:rPr>
      </w:pPr>
    </w:p>
    <w:p>
      <w:pPr>
        <w:ind w:left="200" w:right="260" w:firstLine="771"/>
        <w:spacing w:after="0" w:line="297" w:lineRule="auto"/>
        <w:rPr>
          <w:sz w:val="20"/>
          <w:szCs w:val="20"/>
          <w:color w:val="auto"/>
        </w:rPr>
      </w:pPr>
      <w:r>
        <w:rPr>
          <w:rFonts w:ascii="Arial" w:cs="Arial" w:eastAsia="Arial" w:hAnsi="Arial"/>
          <w:sz w:val="16"/>
          <w:szCs w:val="16"/>
          <w:color w:val="auto"/>
        </w:rPr>
        <w:t>For purposes of the financial statements as of December 31, 2017 and the year then ended, the Company evaluated subsequent events for recognition and measurement purposes through October 11, 2018, the date the financial statements were issued. The Company has further evaluated subsequent events for recognition and remeasurement purposes of the interim financial statements as of September 30, 2018, and for the nine months then ended, through November 29, 2018 and for disclosure purposes, through December 21, 2018. Except as described elsewhere in these financial statements, the Company has concluded that no events or transactions have occurred that require disclosure.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Through and including , 2018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2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178435</wp:posOffset>
            </wp:positionV>
            <wp:extent cx="2229485" cy="11150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2948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1041400</wp:posOffset>
            </wp:positionV>
            <wp:extent cx="21697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85725</wp:posOffset>
            </wp:positionV>
            <wp:extent cx="21697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Leerink Partners</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394970</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13.Other Expenses of Issuance and Distribution.</w:t>
      </w:r>
    </w:p>
    <w:p>
      <w:pPr>
        <w:spacing w:after="0" w:line="229" w:lineRule="exact"/>
        <w:rPr>
          <w:sz w:val="20"/>
          <w:szCs w:val="20"/>
          <w:color w:val="auto"/>
        </w:rPr>
      </w:pPr>
    </w:p>
    <w:p>
      <w:pPr>
        <w:ind w:left="200" w:right="180" w:firstLine="771"/>
        <w:spacing w:after="0" w:line="286" w:lineRule="auto"/>
        <w:rPr>
          <w:sz w:val="20"/>
          <w:szCs w:val="20"/>
          <w:color w:val="auto"/>
        </w:rPr>
      </w:pPr>
      <w:r>
        <w:rPr>
          <w:rFonts w:ascii="Arial" w:cs="Arial" w:eastAsia="Arial" w:hAnsi="Arial"/>
          <w:sz w:val="17"/>
          <w:szCs w:val="17"/>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Nasdaq Global Select Market listing fee.</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Amount paid or</w:t>
            </w:r>
          </w:p>
        </w:tc>
      </w:tr>
      <w:tr>
        <w:trPr>
          <w:trHeight w:val="17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 be paid</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40,175</w:t>
            </w:r>
          </w:p>
        </w:tc>
      </w:tr>
    </w:tbl>
    <w:p>
      <w:pPr>
        <w:spacing w:after="0" w:line="9"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Miscellaneous</w:t>
            </w:r>
          </w:p>
        </w:tc>
        <w:tc>
          <w:tcPr>
            <w:tcW w:w="19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14.Indemnification of Directors and Officers.</w:t>
      </w:r>
    </w:p>
    <w:p>
      <w:pPr>
        <w:spacing w:after="0" w:line="229"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78"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771"/>
        <w:spacing w:after="0" w:line="267"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closing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8"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15.Recent Sales of Unregistered Securities.</w:t>
      </w:r>
    </w:p>
    <w:p>
      <w:pPr>
        <w:spacing w:after="0" w:line="229" w:lineRule="exact"/>
        <w:rPr>
          <w:sz w:val="20"/>
          <w:szCs w:val="20"/>
          <w:color w:val="auto"/>
        </w:rPr>
      </w:pPr>
    </w:p>
    <w:p>
      <w:pPr>
        <w:ind w:left="200" w:right="500" w:firstLine="771"/>
        <w:spacing w:after="0" w:line="264" w:lineRule="auto"/>
        <w:rPr>
          <w:sz w:val="20"/>
          <w:szCs w:val="20"/>
          <w:color w:val="auto"/>
        </w:rPr>
      </w:pPr>
      <w:r>
        <w:rPr>
          <w:rFonts w:ascii="Arial" w:cs="Arial" w:eastAsia="Arial" w:hAnsi="Arial"/>
          <w:sz w:val="18"/>
          <w:szCs w:val="18"/>
          <w:color w:val="auto"/>
        </w:rPr>
        <w:t>Set forth below is information regarding unregistered securities issued by us since October 26, 2015. Also included is the consideration received by us for such securities and information relating to the section of the Securities Act, or rule of the SEC, under which exemption from registration was claimed.</w:t>
      </w:r>
    </w:p>
    <w:p>
      <w:pPr>
        <w:spacing w:after="0" w:line="208" w:lineRule="exact"/>
        <w:rPr>
          <w:sz w:val="20"/>
          <w:szCs w:val="20"/>
          <w:color w:val="auto"/>
        </w:rPr>
      </w:pPr>
    </w:p>
    <w:p>
      <w:pPr>
        <w:ind w:left="1520" w:hanging="546"/>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Issuances of Capital Stock and Convertible Promissory Notes</w:t>
      </w:r>
    </w:p>
    <w:p>
      <w:pPr>
        <w:spacing w:after="0" w:line="252" w:lineRule="exact"/>
        <w:rPr>
          <w:rFonts w:ascii="Arial" w:cs="Arial" w:eastAsia="Arial" w:hAnsi="Arial"/>
          <w:sz w:val="18"/>
          <w:szCs w:val="18"/>
          <w:color w:val="auto"/>
        </w:rPr>
      </w:pPr>
    </w:p>
    <w:p>
      <w:pPr>
        <w:ind w:left="1940" w:hanging="426"/>
        <w:spacing w:after="0" w:line="277" w:lineRule="auto"/>
        <w:tabs>
          <w:tab w:leader="none" w:pos="1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December 2015, we issued and sold 41,224,000 shares of common stock to our founders at purchase price of $0.001 per share for aggregate consideration of approximately $41,224.</w:t>
      </w:r>
    </w:p>
    <w:p>
      <w:pPr>
        <w:spacing w:after="0" w:line="197" w:lineRule="exact"/>
        <w:rPr>
          <w:rFonts w:ascii="Arial" w:cs="Arial" w:eastAsia="Arial" w:hAnsi="Arial"/>
          <w:sz w:val="18"/>
          <w:szCs w:val="18"/>
          <w:color w:val="auto"/>
        </w:rPr>
      </w:pPr>
    </w:p>
    <w:p>
      <w:pPr>
        <w:jc w:val="both"/>
        <w:ind w:left="1940" w:right="20" w:hanging="426"/>
        <w:spacing w:after="0" w:line="264" w:lineRule="auto"/>
        <w:tabs>
          <w:tab w:leader="none" w:pos="19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October 2017, we issued and sold to an investor a convertible promissory note, or the Note, in the aggregate principal amount of $6,000,000. The Note, including interest thereon, converted into 3,499,209 shares of our Series A convertible preferred stock in January 2018.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right="420" w:hanging="426"/>
        <w:spacing w:after="0" w:line="277" w:lineRule="auto"/>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December 2017, we issued 4,955,752 shares of our common stock and 20,000,000 shares of our Series Seed convertible preferred stock to investors pursuant to a merger agreement.</w:t>
      </w:r>
    </w:p>
    <w:p>
      <w:pPr>
        <w:spacing w:after="0" w:line="197" w:lineRule="exact"/>
        <w:rPr>
          <w:rFonts w:ascii="Arial" w:cs="Arial" w:eastAsia="Arial" w:hAnsi="Arial"/>
          <w:sz w:val="18"/>
          <w:szCs w:val="18"/>
          <w:color w:val="auto"/>
        </w:rPr>
      </w:pPr>
    </w:p>
    <w:p>
      <w:pPr>
        <w:ind w:left="1940" w:right="480" w:hanging="426"/>
        <w:spacing w:after="0" w:line="264" w:lineRule="auto"/>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January and March 2018, we issued an aggregate of 45,714,286 shares of our Series A convertible preferred stock to investors at a purchase price of $1.75 per share, for aggregate consideration of approximately $80.0 million, including the conversion of the Note.</w:t>
      </w:r>
    </w:p>
    <w:p>
      <w:pPr>
        <w:spacing w:after="0" w:line="208" w:lineRule="exact"/>
        <w:rPr>
          <w:rFonts w:ascii="Arial" w:cs="Arial" w:eastAsia="Arial" w:hAnsi="Arial"/>
          <w:sz w:val="18"/>
          <w:szCs w:val="18"/>
          <w:color w:val="auto"/>
        </w:rPr>
      </w:pPr>
    </w:p>
    <w:p>
      <w:pPr>
        <w:ind w:left="1940" w:right="860" w:hanging="426"/>
        <w:spacing w:after="0" w:line="277" w:lineRule="auto"/>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May 2018, we issued 2,263,924 shares of common stock to our founders at a purchase price of $0.58 per share, in consideration for services rendered for aggregate consideration of $1.3 million.</w:t>
      </w:r>
    </w:p>
    <w:p>
      <w:pPr>
        <w:spacing w:after="0" w:line="197" w:lineRule="exact"/>
        <w:rPr>
          <w:rFonts w:ascii="Arial" w:cs="Arial" w:eastAsia="Arial" w:hAnsi="Arial"/>
          <w:sz w:val="18"/>
          <w:szCs w:val="18"/>
          <w:color w:val="auto"/>
        </w:rPr>
      </w:pPr>
    </w:p>
    <w:p>
      <w:pPr>
        <w:ind w:left="1940" w:right="80" w:hanging="426"/>
        <w:spacing w:after="0" w:line="277" w:lineRule="auto"/>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July 2018, we issued an aggregate of 71,506,513 shares of our Series B convertible preferred stock to investors at a purchase price of $3.2167 per share, for aggregate consideration of approximately $230.0 million.</w:t>
      </w:r>
    </w:p>
    <w:p>
      <w:pPr>
        <w:spacing w:after="0" w:line="197" w:lineRule="exact"/>
        <w:rPr>
          <w:rFonts w:ascii="Arial" w:cs="Arial" w:eastAsia="Arial" w:hAnsi="Arial"/>
          <w:sz w:val="18"/>
          <w:szCs w:val="18"/>
          <w:color w:val="auto"/>
        </w:rPr>
      </w:pPr>
    </w:p>
    <w:p>
      <w:pPr>
        <w:ind w:left="1940" w:right="340" w:hanging="426"/>
        <w:spacing w:after="0" w:line="277" w:lineRule="auto"/>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September 2018, we issued 16,155,208 shares of common stock to our founders at a purchase price of $1.02 per share, in consideration for services rendered for aggregate consideration of $16.5 million.</w:t>
      </w:r>
    </w:p>
    <w:p>
      <w:pPr>
        <w:spacing w:after="0" w:line="170" w:lineRule="exact"/>
        <w:rPr>
          <w:sz w:val="20"/>
          <w:szCs w:val="20"/>
          <w:color w:val="auto"/>
        </w:rPr>
      </w:pPr>
    </w:p>
    <w:p>
      <w:pPr>
        <w:ind w:left="200" w:right="60" w:firstLine="771"/>
        <w:spacing w:after="0" w:line="271"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206" w:lineRule="exact"/>
        <w:rPr>
          <w:sz w:val="20"/>
          <w:szCs w:val="20"/>
          <w:color w:val="auto"/>
        </w:rPr>
      </w:pPr>
    </w:p>
    <w:p>
      <w:pPr>
        <w:ind w:left="1520" w:hanging="546"/>
        <w:spacing w:after="0"/>
        <w:tabs>
          <w:tab w:leader="none" w:pos="1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Grants of Stock Options and Restricted Stock</w:t>
      </w:r>
    </w:p>
    <w:p>
      <w:pPr>
        <w:spacing w:after="0" w:line="252" w:lineRule="exact"/>
        <w:rPr>
          <w:rFonts w:ascii="Arial" w:cs="Arial" w:eastAsia="Arial" w:hAnsi="Arial"/>
          <w:sz w:val="18"/>
          <w:szCs w:val="18"/>
          <w:color w:val="auto"/>
        </w:rPr>
      </w:pPr>
    </w:p>
    <w:p>
      <w:pPr>
        <w:jc w:val="both"/>
        <w:ind w:left="1940" w:right="20" w:hanging="426"/>
        <w:spacing w:after="0" w:line="259" w:lineRule="auto"/>
        <w:tabs>
          <w:tab w:leader="none" w:pos="19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From October 2015 through December 15, 2018, we granted stock options to purchase an aggregate of 23,146,400 shares of our common stock at a weighted-average exercise price of $1.66 per share, to certain of our employees, consultants and directors in connection with services provided to us by such persons. 163,000 of these options have been canceled and none of these options have been exercised through December 15, 2018.</w:t>
      </w:r>
    </w:p>
    <w:p>
      <w:pPr>
        <w:spacing w:after="0" w:line="213" w:lineRule="exact"/>
        <w:rPr>
          <w:rFonts w:ascii="Arial" w:cs="Arial" w:eastAsia="Arial" w:hAnsi="Arial"/>
          <w:sz w:val="18"/>
          <w:szCs w:val="18"/>
          <w:color w:val="auto"/>
        </w:rPr>
      </w:pPr>
    </w:p>
    <w:p>
      <w:pPr>
        <w:ind w:left="1940" w:right="140" w:hanging="426"/>
        <w:spacing w:after="0" w:line="312" w:lineRule="auto"/>
        <w:tabs>
          <w:tab w:leader="none" w:pos="19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From October 2015 through December 15, 2018, we granted an aggregate of 5,874,420 shares of our restricted common stock, 572,748 of which have been cancelled, to certain of our employees, consultants and directors pursuant to restricted stock agreements in connection with services provided to us by such persons, at a purchase price of $0.0049 per share.</w:t>
      </w:r>
    </w:p>
    <w:p>
      <w:pPr>
        <w:spacing w:after="0" w:line="147" w:lineRule="exact"/>
        <w:rPr>
          <w:sz w:val="20"/>
          <w:szCs w:val="20"/>
          <w:color w:val="auto"/>
        </w:rPr>
      </w:pPr>
    </w:p>
    <w:p>
      <w:pPr>
        <w:ind w:left="200" w:firstLine="771"/>
        <w:spacing w:after="0" w:line="276" w:lineRule="auto"/>
        <w:rPr>
          <w:sz w:val="20"/>
          <w:szCs w:val="20"/>
          <w:color w:val="auto"/>
        </w:rPr>
      </w:pPr>
      <w:r>
        <w:rPr>
          <w:rFonts w:ascii="Arial" w:cs="Arial" w:eastAsia="Arial" w:hAnsi="Arial"/>
          <w:sz w:val="17"/>
          <w:szCs w:val="17"/>
          <w:color w:val="auto"/>
        </w:rPr>
        <w:t>The restricted stock,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16.Exhibits and Financial Statement Schedules.</w:t>
      </w:r>
    </w:p>
    <w:p>
      <w:pPr>
        <w:spacing w:after="0" w:line="252" w:lineRule="exact"/>
        <w:rPr>
          <w:sz w:val="20"/>
          <w:szCs w:val="20"/>
          <w:color w:val="auto"/>
        </w:rPr>
      </w:pPr>
    </w:p>
    <w:p>
      <w:pPr>
        <w:ind w:left="1520" w:hanging="546"/>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p>
    <w:p>
      <w:pPr>
        <w:spacing w:after="0" w:line="252" w:lineRule="exact"/>
        <w:rPr>
          <w:rFonts w:ascii="Arial" w:cs="Arial" w:eastAsia="Arial" w:hAnsi="Arial"/>
          <w:sz w:val="18"/>
          <w:szCs w:val="18"/>
          <w:color w:val="auto"/>
        </w:rPr>
      </w:pPr>
    </w:p>
    <w:p>
      <w:pPr>
        <w:ind w:left="1520" w:right="520" w:hanging="546"/>
        <w:spacing w:after="0" w:line="282" w:lineRule="auto"/>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is not applicable or is shown in the consolidated financial statements or notes thereto.</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17.Undertakings.</w:t>
      </w:r>
    </w:p>
    <w:p>
      <w:pPr>
        <w:spacing w:after="0" w:line="229" w:lineRule="exact"/>
        <w:rPr>
          <w:sz w:val="20"/>
          <w:szCs w:val="20"/>
          <w:color w:val="auto"/>
        </w:rPr>
      </w:pPr>
    </w:p>
    <w:p>
      <w:pPr>
        <w:ind w:left="200" w:firstLine="77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47" w:lineRule="exact"/>
        <w:rPr>
          <w:sz w:val="20"/>
          <w:szCs w:val="20"/>
          <w:color w:val="auto"/>
        </w:rPr>
      </w:pPr>
    </w:p>
    <w:p>
      <w:pPr>
        <w:ind w:left="200" w:right="80" w:firstLine="77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520" w:right="20" w:hanging="546"/>
        <w:spacing w:after="0" w:line="259" w:lineRule="auto"/>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520" w:right="580" w:hanging="546"/>
        <w:spacing w:after="0" w:line="264" w:lineRule="auto"/>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gridSpan w:val="20"/>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2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c>
          <w:tcPr>
            <w:tcW w:w="1360" w:type="dxa"/>
            <w:vAlign w:val="bottom"/>
            <w:tcBorders>
              <w:top w:val="single" w:sz="8" w:color="auto"/>
            </w:tcBorders>
            <w:gridSpan w:val="4"/>
          </w:tcPr>
          <w:p>
            <w:pPr>
              <w:spacing w:after="0"/>
              <w:rPr>
                <w:sz w:val="24"/>
                <w:szCs w:val="24"/>
                <w:color w:val="auto"/>
              </w:rPr>
            </w:pPr>
          </w:p>
        </w:tc>
        <w:tc>
          <w:tcPr>
            <w:tcW w:w="40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Amended and Restated Certificate of Incorporation, as amended (currently in effect)</w:t>
            </w:r>
          </w:p>
        </w:tc>
        <w:tc>
          <w:tcPr>
            <w:tcW w:w="3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Bylaws (currently in effect)</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auto"/>
                <w:w w:val="99"/>
              </w:rPr>
              <w:t>Form of Amended and Restated Certificate of Incorporation (to be effective immediately prior to the closing of this offering)</w:t>
            </w:r>
          </w:p>
        </w:tc>
        <w:tc>
          <w:tcPr>
            <w:tcW w:w="0" w:type="dxa"/>
            <w:vAlign w:val="bottom"/>
          </w:tcPr>
          <w:p>
            <w:pPr>
              <w:spacing w:after="0"/>
              <w:rPr>
                <w:sz w:val="1"/>
                <w:szCs w:val="1"/>
                <w:color w:val="auto"/>
              </w:rPr>
            </w:pPr>
          </w:p>
        </w:tc>
      </w:tr>
      <w:tr>
        <w:trPr>
          <w:trHeight w:val="32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auto"/>
              </w:rPr>
              <w:t>Form of Amended and Restated Bylaws (to be effective immediately prior to the closing of this offering)</w:t>
            </w:r>
          </w:p>
        </w:tc>
        <w:tc>
          <w:tcPr>
            <w:tcW w:w="0" w:type="dxa"/>
            <w:vAlign w:val="bottom"/>
          </w:tcPr>
          <w:p>
            <w:pPr>
              <w:spacing w:after="0"/>
              <w:rPr>
                <w:sz w:val="1"/>
                <w:szCs w:val="1"/>
                <w:color w:val="auto"/>
              </w:rPr>
            </w:pPr>
          </w:p>
        </w:tc>
      </w:tr>
      <w:tr>
        <w:trPr>
          <w:trHeight w:val="32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auto"/>
              </w:rPr>
              <w:t>Specimen stock certificate evidencing the shares of common stock</w:t>
            </w:r>
          </w:p>
        </w:tc>
        <w:tc>
          <w:tcPr>
            <w:tcW w:w="0" w:type="dxa"/>
            <w:vAlign w:val="bottom"/>
          </w:tcPr>
          <w:p>
            <w:pPr>
              <w:spacing w:after="0"/>
              <w:rPr>
                <w:sz w:val="1"/>
                <w:szCs w:val="1"/>
                <w:color w:val="auto"/>
              </w:rPr>
            </w:pPr>
          </w:p>
        </w:tc>
      </w:tr>
      <w:tr>
        <w:trPr>
          <w:trHeight w:val="284"/>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w w:val="90"/>
              </w:rPr>
              <w:t>Amended and Restated Investors’ Rights Agreement, dated July 20, 2018, by and among the Registrant and certain of its stockholders</w:t>
            </w:r>
          </w:p>
        </w:tc>
        <w:tc>
          <w:tcPr>
            <w:tcW w:w="0" w:type="dxa"/>
            <w:vAlign w:val="bottom"/>
          </w:tcPr>
          <w:p>
            <w:pPr>
              <w:spacing w:after="0"/>
              <w:rPr>
                <w:sz w:val="1"/>
                <w:szCs w:val="1"/>
                <w:color w:val="auto"/>
              </w:rPr>
            </w:pPr>
          </w:p>
        </w:tc>
      </w:tr>
      <w:tr>
        <w:trPr>
          <w:trHeight w:val="345"/>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64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auto"/>
              </w:rPr>
              <w:t>Opinion of Latham &amp; Watkins LLP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Gossamer Bio, Inc. 2017 Equity Incentive Plan, as amended</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w w:val="94"/>
              </w:rPr>
              <w:t>Form of stock option grant notice and stock option agreement under Gossamer Bio, Inc. 2017 Equity Incentive Plan, as amended</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6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Form of restricted stock grant notice and restricted stock agreement under Gossamer Bio, Inc. 2017 Equity Incentive Plan, as amended</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55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Form of Founder restricted stock grant notice and restricted stock agreement</w:t>
            </w:r>
          </w:p>
        </w:tc>
        <w:tc>
          <w:tcPr>
            <w:tcW w:w="41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89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Gossamer Bio, Inc. 2019 Incentive Award Plan and form of stock option grant notice and stock option agreement thereunder</w:t>
            </w:r>
          </w:p>
        </w:tc>
        <w:tc>
          <w:tcPr>
            <w:tcW w:w="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40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Gossamer Bio, Inc. 2019 Employee Stock Purchase Plan</w:t>
            </w:r>
          </w:p>
        </w:tc>
        <w:tc>
          <w:tcPr>
            <w:tcW w:w="5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Gossamer Bio, Inc. Non-Employee Director Compensation Program</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Employment Letter, dated January 4, 2018, by and between Sheila Gujrathi, M.D. and the Registrant</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72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w w:val="93"/>
              </w:rPr>
              <w:t>Employment Letter, dated January 4, 2018, by and between Faheem Hasnain and the Registrant</w:t>
            </w:r>
          </w:p>
        </w:tc>
        <w:tc>
          <w:tcPr>
            <w:tcW w:w="2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26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10.10#</w:t>
            </w:r>
          </w:p>
        </w:tc>
        <w:tc>
          <w:tcPr>
            <w:tcW w:w="560" w:type="dxa"/>
            <w:vAlign w:val="bottom"/>
          </w:tcPr>
          <w:p>
            <w:pPr>
              <w:spacing w:after="0"/>
              <w:rPr>
                <w:sz w:val="24"/>
                <w:szCs w:val="24"/>
                <w:color w:val="auto"/>
              </w:rPr>
            </w:pPr>
          </w:p>
        </w:tc>
        <w:tc>
          <w:tcPr>
            <w:tcW w:w="6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Employment Letter, dated December 4, 2018, by and between Bryan Giraudo and the Registrant</w:t>
            </w:r>
          </w:p>
        </w:tc>
        <w:tc>
          <w:tcPr>
            <w:tcW w:w="27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10.11#</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rPr>
              <w:t>Employment Letter, dated December 4, 2018, by and between Christian Waage and the Registrant</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420" w:type="dxa"/>
            <w:vAlign w:val="bottom"/>
            <w:gridSpan w:val="10"/>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560" w:type="dxa"/>
            <w:vAlign w:val="bottom"/>
          </w:tcPr>
          <w:p>
            <w:pPr>
              <w:spacing w:after="0"/>
              <w:rPr>
                <w:sz w:val="24"/>
                <w:szCs w:val="24"/>
                <w:color w:val="auto"/>
              </w:rPr>
            </w:pPr>
          </w:p>
        </w:tc>
        <w:tc>
          <w:tcPr>
            <w:tcW w:w="7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Employment Letter, dated December 4, 2018, by and between Jakob Dupont, M.D. and the Registrant</w:t>
            </w:r>
          </w:p>
        </w:tc>
        <w:tc>
          <w:tcPr>
            <w:tcW w:w="2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560" w:type="dxa"/>
            <w:vAlign w:val="bottom"/>
          </w:tcPr>
          <w:p>
            <w:pPr>
              <w:spacing w:after="0"/>
              <w:rPr>
                <w:sz w:val="24"/>
                <w:szCs w:val="24"/>
                <w:color w:val="auto"/>
              </w:rPr>
            </w:pPr>
          </w:p>
        </w:tc>
        <w:tc>
          <w:tcPr>
            <w:tcW w:w="75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Employment Letter, dated December 4, 2018, by and between Luisa Salter-Cid, Ph.D. and the Registrant</w:t>
            </w:r>
          </w:p>
        </w:tc>
        <w:tc>
          <w:tcPr>
            <w:tcW w:w="2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10.14#</w:t>
            </w:r>
          </w:p>
        </w:tc>
        <w:tc>
          <w:tcPr>
            <w:tcW w:w="560" w:type="dxa"/>
            <w:vAlign w:val="bottom"/>
          </w:tcPr>
          <w:p>
            <w:pPr>
              <w:spacing w:after="0"/>
              <w:rPr>
                <w:sz w:val="24"/>
                <w:szCs w:val="24"/>
                <w:color w:val="auto"/>
              </w:rPr>
            </w:pPr>
          </w:p>
        </w:tc>
        <w:tc>
          <w:tcPr>
            <w:tcW w:w="26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Form of Indemnification Agreement</w:t>
            </w:r>
          </w:p>
        </w:tc>
        <w:tc>
          <w:tcPr>
            <w:tcW w:w="70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c>
          <w:tcPr>
            <w:tcW w:w="7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Sublease Agreement, dated December 29, 2017, by and between The Medicines Company and the Registrant</w:t>
            </w:r>
          </w:p>
        </w:tc>
        <w:tc>
          <w:tcPr>
            <w:tcW w:w="1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c>
          <w:tcPr>
            <w:tcW w:w="9680" w:type="dxa"/>
            <w:vAlign w:val="bottom"/>
            <w:gridSpan w:val="22"/>
          </w:tcPr>
          <w:p>
            <w:pPr>
              <w:spacing w:after="0"/>
              <w:rPr>
                <w:sz w:val="20"/>
                <w:szCs w:val="20"/>
                <w:color w:val="auto"/>
              </w:rPr>
            </w:pPr>
            <w:r>
              <w:rPr>
                <w:rFonts w:ascii="Arial" w:cs="Arial" w:eastAsia="Arial" w:hAnsi="Arial"/>
                <w:sz w:val="18"/>
                <w:szCs w:val="18"/>
                <w:color w:val="0000EE"/>
                <w:w w:val="95"/>
              </w:rPr>
              <w:t>First Amendment to Sublease Agreement, dated August 24, 2018, by and between The Medicines Company and the Registrant</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10.17†</w:t>
            </w:r>
          </w:p>
        </w:tc>
        <w:tc>
          <w:tcPr>
            <w:tcW w:w="560" w:type="dxa"/>
            <w:vAlign w:val="bottom"/>
          </w:tcPr>
          <w:p>
            <w:pPr>
              <w:spacing w:after="0"/>
              <w:rPr>
                <w:sz w:val="24"/>
                <w:szCs w:val="24"/>
                <w:color w:val="auto"/>
              </w:rPr>
            </w:pPr>
          </w:p>
        </w:tc>
        <w:tc>
          <w:tcPr>
            <w:tcW w:w="85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0"/>
              </w:rPr>
              <w:t>Exclusive License Agreement, dated October 2, 2017, by and between GB002, Inc., the Registrant and Pulmokine, Inc.</w:t>
            </w:r>
          </w:p>
        </w:tc>
        <w:tc>
          <w:tcPr>
            <w:tcW w:w="540" w:type="dxa"/>
            <w:vAlign w:val="bottom"/>
            <w:tcBorders>
              <w:top w:val="single" w:sz="8" w:color="0000EE"/>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gridSpan w:val="2"/>
          </w:tcPr>
          <w:p>
            <w:pPr>
              <w:spacing w:after="0"/>
              <w:rPr>
                <w:sz w:val="20"/>
                <w:szCs w:val="20"/>
                <w:color w:val="auto"/>
              </w:rPr>
            </w:pPr>
            <w:r>
              <w:rPr>
                <w:rFonts w:ascii="Arial" w:cs="Arial" w:eastAsia="Arial" w:hAnsi="Arial"/>
                <w:sz w:val="18"/>
                <w:szCs w:val="18"/>
                <w:color w:val="auto"/>
                <w:w w:val="98"/>
              </w:rPr>
              <w:t>10.18†</w:t>
            </w:r>
          </w:p>
        </w:tc>
        <w:tc>
          <w:tcPr>
            <w:tcW w:w="560" w:type="dxa"/>
            <w:vAlign w:val="bottom"/>
          </w:tcPr>
          <w:p>
            <w:pPr>
              <w:spacing w:after="0"/>
              <w:rPr>
                <w:sz w:val="24"/>
                <w:szCs w:val="24"/>
                <w:color w:val="auto"/>
              </w:rPr>
            </w:pPr>
          </w:p>
        </w:tc>
        <w:tc>
          <w:tcPr>
            <w:tcW w:w="75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License Agreement, dated June 24, 2018, by and between Aerpio Pharmaceuticals, Inc. and GB004,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80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Board Designation Letter Agreement, dated July 20, 2018, between the Registrant and HH Goss Holdings LLC</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0000EE"/>
              </w:rPr>
              <w:t>List of subsidiaries of the Registrant</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8000" w:type="dxa"/>
            <w:vAlign w:val="bottom"/>
            <w:gridSpan w:val="7"/>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345"/>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7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2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34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22">
              <w:r>
                <w:rPr>
                  <w:rFonts w:ascii="Arial" w:cs="Arial" w:eastAsia="Arial" w:hAnsi="Arial"/>
                  <w:sz w:val="18"/>
                  <w:szCs w:val="18"/>
                  <w:color w:val="0000EE"/>
                  <w:w w:val="90"/>
                </w:rPr>
                <w:t>Power of Attorney (included on signature page)</w:t>
              </w:r>
            </w:hyperlink>
          </w:p>
        </w:tc>
        <w:tc>
          <w:tcPr>
            <w:tcW w:w="4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7" w:lineRule="exact"/>
        <w:rPr>
          <w:sz w:val="20"/>
          <w:szCs w:val="20"/>
          <w:color w:val="auto"/>
        </w:rPr>
      </w:pPr>
    </w:p>
    <w:p>
      <w:pPr>
        <w:ind w:left="520" w:hanging="316"/>
        <w:spacing w:after="0"/>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be filed by amendment.</w:t>
      </w:r>
    </w:p>
    <w:p>
      <w:pPr>
        <w:ind w:left="520" w:hanging="316"/>
        <w:spacing w:after="0" w:line="221"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520" w:hanging="316"/>
        <w:spacing w:after="0"/>
        <w:tabs>
          <w:tab w:leader="none" w:pos="5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a request for confidential treatment pursuant to Rule 406 under the Securities Act of 1933.</w:t>
      </w:r>
    </w:p>
    <w:p>
      <w:pPr>
        <w:sectPr>
          <w:pgSz w:w="11900" w:h="16838" w:orient="portrait"/>
          <w:cols w:equalWidth="0" w:num="1">
            <w:col w:w="10220"/>
          </w:cols>
          <w:pgMar w:left="240" w:top="459" w:right="1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San Diego, State of California, on this 21</w:t>
      </w:r>
      <w:r>
        <w:rPr>
          <w:rFonts w:ascii="Arial" w:cs="Arial" w:eastAsia="Arial" w:hAnsi="Arial"/>
          <w:sz w:val="15"/>
          <w:szCs w:val="15"/>
          <w:color w:val="auto"/>
        </w:rPr>
        <w:t>st</w:t>
      </w:r>
      <w:r>
        <w:rPr>
          <w:rFonts w:ascii="Arial" w:cs="Arial" w:eastAsia="Arial" w:hAnsi="Arial"/>
          <w:sz w:val="18"/>
          <w:szCs w:val="18"/>
          <w:color w:val="auto"/>
        </w:rPr>
        <w:t xml:space="preserve"> day of December,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GOSSAMER BIO,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Chief Executive Officer and Director</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We, the undersigned officers and directors of Gossamer Bio, Inc., hereby severally constitute and appoint Sheila Gujrathi, M.D. and Bryan Giraudo,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2" w:lineRule="exact"/>
        <w:rPr>
          <w:sz w:val="20"/>
          <w:szCs w:val="20"/>
          <w:color w:val="auto"/>
        </w:rPr>
      </w:pPr>
    </w:p>
    <w:p>
      <w:pPr>
        <w:ind w:left="200" w:right="580" w:firstLine="77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760" w:type="dxa"/>
            <w:vAlign w:val="bottom"/>
            <w:gridSpan w:val="2"/>
          </w:tcPr>
          <w:p>
            <w:pPr>
              <w:ind w:left="2160"/>
              <w:spacing w:after="0"/>
              <w:rPr>
                <w:sz w:val="20"/>
                <w:szCs w:val="20"/>
                <w:color w:val="auto"/>
              </w:rPr>
            </w:pPr>
            <w:r>
              <w:rPr>
                <w:rFonts w:ascii="Arial" w:cs="Arial" w:eastAsia="Arial" w:hAnsi="Arial"/>
                <w:sz w:val="14"/>
                <w:szCs w:val="14"/>
                <w:b w:val="1"/>
                <w:bCs w:val="1"/>
                <w:color w:val="auto"/>
                <w:w w:val="89"/>
              </w:rPr>
              <w:t>Signature</w:t>
            </w:r>
          </w:p>
        </w:tc>
        <w:tc>
          <w:tcPr>
            <w:tcW w:w="2160" w:type="dxa"/>
            <w:vAlign w:val="bottom"/>
          </w:tcPr>
          <w:p>
            <w:pPr>
              <w:spacing w:after="0"/>
              <w:rPr>
                <w:sz w:val="14"/>
                <w:szCs w:val="14"/>
                <w:color w:val="auto"/>
              </w:rPr>
            </w:pPr>
          </w:p>
        </w:tc>
        <w:tc>
          <w:tcPr>
            <w:tcW w:w="390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Sheila Gujrathi</w:t>
            </w: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182"/>
        </w:trPr>
        <w:tc>
          <w:tcPr>
            <w:tcW w:w="2760" w:type="dxa"/>
            <w:vAlign w:val="bottom"/>
            <w:gridSpan w:val="2"/>
          </w:tcPr>
          <w:p>
            <w:pPr>
              <w:spacing w:after="0" w:line="182" w:lineRule="exact"/>
              <w:rPr>
                <w:sz w:val="20"/>
                <w:szCs w:val="20"/>
                <w:color w:val="auto"/>
              </w:rPr>
            </w:pPr>
            <w:r>
              <w:rPr>
                <w:rFonts w:ascii="Arial" w:cs="Arial" w:eastAsia="Arial" w:hAnsi="Arial"/>
                <w:sz w:val="18"/>
                <w:szCs w:val="18"/>
                <w:color w:val="auto"/>
              </w:rPr>
              <w:t>Sheila Gujrathi, M.D.</w:t>
            </w:r>
          </w:p>
        </w:tc>
        <w:tc>
          <w:tcPr>
            <w:tcW w:w="2160" w:type="dxa"/>
            <w:vAlign w:val="bottom"/>
          </w:tcPr>
          <w:p>
            <w:pPr>
              <w:spacing w:after="0"/>
              <w:rPr>
                <w:sz w:val="15"/>
                <w:szCs w:val="15"/>
                <w:color w:val="auto"/>
              </w:rPr>
            </w:pPr>
          </w:p>
        </w:tc>
        <w:tc>
          <w:tcPr>
            <w:tcW w:w="390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0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Bryan Giraudo</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Bryan Giraudo</w:t>
            </w:r>
          </w:p>
        </w:tc>
        <w:tc>
          <w:tcPr>
            <w:tcW w:w="2160" w:type="dxa"/>
            <w:vAlign w:val="bottom"/>
          </w:tcPr>
          <w:p>
            <w:pPr>
              <w:spacing w:after="0"/>
              <w:rPr>
                <w:sz w:val="19"/>
                <w:szCs w:val="19"/>
                <w:color w:val="auto"/>
              </w:rPr>
            </w:pPr>
          </w:p>
        </w:tc>
        <w:tc>
          <w:tcPr>
            <w:tcW w:w="390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Faheem Hasnain</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Executive Chairman of the Board of Directors</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Faheem Hasnain</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H. Bilenker</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Joshua H. Bilenker, M.D.</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Kristina Burow</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Kristina Burow</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Russell Cox</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Russell Cox</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Daniel</w:t>
            </w:r>
          </w:p>
        </w:tc>
        <w:tc>
          <w:tcPr>
            <w:tcW w:w="2160" w:type="dxa"/>
            <w:vAlign w:val="bottom"/>
            <w:tcBorders>
              <w:bottom w:val="single" w:sz="8" w:color="auto"/>
            </w:tcBorders>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December 21, 2018</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Thomas Daniel, M.D.</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160"/>
          </w:cols>
          <w:pgMar w:left="240" w:top="460"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360"/>
        <w:spacing w:after="0"/>
        <w:tabs>
          <w:tab w:leader="none" w:pos="6940" w:val="left"/>
          <w:tab w:leader="none" w:pos="100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Renée Galá</w:t>
            </w:r>
          </w:p>
        </w:tc>
        <w:tc>
          <w:tcPr>
            <w:tcW w:w="25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860"/>
              <w:spacing w:after="0"/>
              <w:rPr>
                <w:sz w:val="20"/>
                <w:szCs w:val="20"/>
                <w:color w:val="auto"/>
              </w:rPr>
            </w:pPr>
            <w:r>
              <w:rPr>
                <w:rFonts w:ascii="Arial" w:cs="Arial" w:eastAsia="Arial" w:hAnsi="Arial"/>
                <w:sz w:val="18"/>
                <w:szCs w:val="18"/>
                <w:color w:val="auto"/>
                <w:w w:val="87"/>
              </w:rPr>
              <w:t>December 21, 2018</w:t>
            </w:r>
          </w:p>
        </w:tc>
      </w:tr>
      <w:tr>
        <w:trPr>
          <w:trHeight w:val="224"/>
        </w:trPr>
        <w:tc>
          <w:tcPr>
            <w:tcW w:w="4920" w:type="dxa"/>
            <w:vAlign w:val="bottom"/>
          </w:tcPr>
          <w:p>
            <w:pPr>
              <w:spacing w:after="0"/>
              <w:rPr>
                <w:sz w:val="20"/>
                <w:szCs w:val="20"/>
                <w:color w:val="auto"/>
              </w:rPr>
            </w:pPr>
            <w:r>
              <w:rPr>
                <w:rFonts w:ascii="Arial" w:cs="Arial" w:eastAsia="Arial" w:hAnsi="Arial"/>
                <w:sz w:val="18"/>
                <w:szCs w:val="18"/>
                <w:color w:val="auto"/>
              </w:rPr>
              <w:t>Renée Galá</w:t>
            </w:r>
          </w:p>
        </w:tc>
        <w:tc>
          <w:tcPr>
            <w:tcW w:w="25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Otello Stampacchia</w:t>
            </w:r>
          </w:p>
        </w:tc>
        <w:tc>
          <w:tcPr>
            <w:tcW w:w="25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860"/>
              <w:spacing w:after="0"/>
              <w:rPr>
                <w:sz w:val="20"/>
                <w:szCs w:val="20"/>
                <w:color w:val="auto"/>
              </w:rPr>
            </w:pPr>
            <w:r>
              <w:rPr>
                <w:rFonts w:ascii="Arial" w:cs="Arial" w:eastAsia="Arial" w:hAnsi="Arial"/>
                <w:sz w:val="18"/>
                <w:szCs w:val="18"/>
                <w:color w:val="auto"/>
                <w:w w:val="87"/>
              </w:rPr>
              <w:t>December 21, 2018</w:t>
            </w:r>
          </w:p>
        </w:tc>
      </w:tr>
      <w:tr>
        <w:trPr>
          <w:trHeight w:val="224"/>
        </w:trPr>
        <w:tc>
          <w:tcPr>
            <w:tcW w:w="4920" w:type="dxa"/>
            <w:vAlign w:val="bottom"/>
          </w:tcPr>
          <w:p>
            <w:pPr>
              <w:spacing w:after="0"/>
              <w:rPr>
                <w:sz w:val="20"/>
                <w:szCs w:val="20"/>
                <w:color w:val="auto"/>
              </w:rPr>
            </w:pPr>
            <w:r>
              <w:rPr>
                <w:rFonts w:ascii="Arial" w:cs="Arial" w:eastAsia="Arial" w:hAnsi="Arial"/>
                <w:sz w:val="18"/>
                <w:szCs w:val="18"/>
                <w:color w:val="auto"/>
              </w:rPr>
              <w:t>Otello Stampacchia, Ph.D.</w:t>
            </w:r>
          </w:p>
        </w:tc>
        <w:tc>
          <w:tcPr>
            <w:tcW w:w="254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Wenkai Xiang</w:t>
            </w:r>
          </w:p>
        </w:tc>
        <w:tc>
          <w:tcPr>
            <w:tcW w:w="25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860"/>
              <w:spacing w:after="0"/>
              <w:rPr>
                <w:sz w:val="20"/>
                <w:szCs w:val="20"/>
                <w:color w:val="auto"/>
              </w:rPr>
            </w:pPr>
            <w:r>
              <w:rPr>
                <w:rFonts w:ascii="Arial" w:cs="Arial" w:eastAsia="Arial" w:hAnsi="Arial"/>
                <w:sz w:val="18"/>
                <w:szCs w:val="18"/>
                <w:color w:val="auto"/>
                <w:w w:val="87"/>
              </w:rPr>
              <w:t>December 21, 2018</w:t>
            </w:r>
          </w:p>
        </w:tc>
      </w:tr>
      <w:tr>
        <w:trPr>
          <w:trHeight w:val="224"/>
        </w:trPr>
        <w:tc>
          <w:tcPr>
            <w:tcW w:w="4920" w:type="dxa"/>
            <w:vAlign w:val="bottom"/>
          </w:tcPr>
          <w:p>
            <w:pPr>
              <w:spacing w:after="0"/>
              <w:rPr>
                <w:sz w:val="20"/>
                <w:szCs w:val="20"/>
                <w:color w:val="auto"/>
              </w:rPr>
            </w:pPr>
            <w:r>
              <w:rPr>
                <w:rFonts w:ascii="Arial" w:cs="Arial" w:eastAsia="Arial" w:hAnsi="Arial"/>
                <w:sz w:val="18"/>
                <w:szCs w:val="18"/>
                <w:color w:val="auto"/>
              </w:rPr>
              <w:t>Wenkai Xiang, Ph.D.</w:t>
            </w:r>
          </w:p>
        </w:tc>
        <w:tc>
          <w:tcPr>
            <w:tcW w:w="254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ectPr>
          <w:pgSz w:w="11900" w:h="16838" w:orient="portrait"/>
          <w:cols w:equalWidth="0" w:num="1">
            <w:col w:w="10920"/>
          </w:cols>
          <w:pgMar w:left="240" w:top="460" w:right="7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10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Gossamer Bio,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firstLine="885"/>
        <w:spacing w:after="0" w:line="277" w:lineRule="auto"/>
        <w:tabs>
          <w:tab w:leader="none" w:pos="1229"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Gossamer Bio, Inc., and that this corporation was originally incorporated pursuant to the General Corporation Law on October 26, 2015 under the name FSG Bio, Inc.</w:t>
      </w:r>
    </w:p>
    <w:p>
      <w:pPr>
        <w:spacing w:after="0" w:line="170" w:lineRule="exact"/>
        <w:rPr>
          <w:rFonts w:ascii="Arial" w:cs="Arial" w:eastAsia="Arial" w:hAnsi="Arial"/>
          <w:sz w:val="18"/>
          <w:szCs w:val="18"/>
          <w:b w:val="1"/>
          <w:bCs w:val="1"/>
          <w:color w:val="auto"/>
        </w:rPr>
      </w:pPr>
    </w:p>
    <w:p>
      <w:pPr>
        <w:jc w:val="both"/>
        <w:ind w:firstLine="885"/>
        <w:spacing w:after="0" w:line="259" w:lineRule="auto"/>
        <w:tabs>
          <w:tab w:leader="none" w:pos="1195"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Gossamer Bio,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251 Little Falls Drive, Wilmington,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19808, New Castle County. The name of its registered agent at such address is Corporation Service Company.</w:t>
      </w:r>
    </w:p>
    <w:p>
      <w:pPr>
        <w:spacing w:after="0" w:line="162"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16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221,220,799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(“Common Stock”) and (ii) 137,220,799 shares of Preferred Stock, $0.0001 par value per share (“Preferred Stock”).</w:t>
      </w:r>
    </w:p>
    <w:p>
      <w:pPr>
        <w:spacing w:after="0" w:line="18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800" w:hanging="356"/>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firstLine="885"/>
        <w:spacing w:after="0" w:line="277" w:lineRule="auto"/>
        <w:tabs>
          <w:tab w:leader="none" w:pos="1264"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ectPr>
          <w:pgSz w:w="11900" w:h="16838" w:orient="portrait"/>
          <w:cols w:equalWidth="0" w:num="1">
            <w:col w:w="11020"/>
          </w:cols>
          <w:pgMar w:left="440" w:top="121" w:right="439" w:bottom="1440" w:gutter="0" w:footer="0" w:header="0"/>
        </w:sectPr>
      </w:pPr>
    </w:p>
    <w:bookmarkStart w:id="224" w:name="page225"/>
    <w:bookmarkEnd w:id="224"/>
    <w:p>
      <w:pPr>
        <w:jc w:val="both"/>
        <w:ind w:firstLine="885"/>
        <w:spacing w:after="0" w:line="289" w:lineRule="auto"/>
        <w:tabs>
          <w:tab w:leader="none" w:pos="1196"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66" w:lineRule="exact"/>
        <w:rPr>
          <w:rFonts w:ascii="Arial" w:cs="Arial" w:eastAsia="Arial" w:hAnsi="Arial"/>
          <w:sz w:val="16"/>
          <w:szCs w:val="16"/>
          <w:color w:val="auto"/>
        </w:rPr>
      </w:pPr>
    </w:p>
    <w:p>
      <w:pPr>
        <w:ind w:left="780" w:hanging="336"/>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20,000,000 shares of the Corporation’s authorized and unissued Preferred Stock are hereby designated as a series known as Series Seed Preferred Stock, par value $0.0001 per share (the “</w:t>
      </w:r>
      <w:r>
        <w:rPr>
          <w:rFonts w:ascii="Arial" w:cs="Arial" w:eastAsia="Arial" w:hAnsi="Arial"/>
          <w:sz w:val="16"/>
          <w:szCs w:val="16"/>
          <w:b w:val="1"/>
          <w:bCs w:val="1"/>
          <w:color w:val="auto"/>
        </w:rPr>
        <w:t>Series Seed Preferred Stock</w:t>
      </w:r>
      <w:r>
        <w:rPr>
          <w:rFonts w:ascii="Arial" w:cs="Arial" w:eastAsia="Arial" w:hAnsi="Arial"/>
          <w:sz w:val="16"/>
          <w:szCs w:val="16"/>
          <w:color w:val="auto"/>
        </w:rPr>
        <w:t>”). 45,714,286 shares of the Corporation’s authorized and unissued Preferred Stock are hereby designated as a series known as Series A Preferred Stock, par value $0.0001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71,506,513 shares of the authorized and unissued Preferred Stock are hereby designated Series B Preferred Stock, par value $0.0001 per share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Preferred </w:t>
      </w:r>
      <w:r>
        <w:rPr>
          <w:rFonts w:ascii="Arial" w:cs="Arial" w:eastAsia="Arial" w:hAnsi="Arial"/>
          <w:sz w:val="16"/>
          <w:szCs w:val="16"/>
          <w:color w:val="auto"/>
        </w:rPr>
        <w:t>S</w:t>
      </w:r>
      <w:r>
        <w:rPr>
          <w:rFonts w:ascii="Arial" w:cs="Arial" w:eastAsia="Arial" w:hAnsi="Arial"/>
          <w:sz w:val="16"/>
          <w:szCs w:val="16"/>
          <w:b w:val="1"/>
          <w:bCs w:val="1"/>
          <w:color w:val="auto"/>
        </w:rPr>
        <w:t>tock</w:t>
      </w:r>
      <w:r>
        <w:rPr>
          <w:rFonts w:ascii="Arial" w:cs="Arial" w:eastAsia="Arial" w:hAnsi="Arial"/>
          <w:sz w:val="16"/>
          <w:szCs w:val="16"/>
          <w:color w:val="auto"/>
        </w:rPr>
        <w:t>,” and together with the Series A Preferred Stock and Series Seed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with the following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67" w:lineRule="exact"/>
        <w:rPr>
          <w:sz w:val="20"/>
          <w:szCs w:val="20"/>
          <w:color w:val="auto"/>
        </w:rPr>
      </w:pPr>
    </w:p>
    <w:p>
      <w:pPr>
        <w:ind w:left="1200" w:hanging="315"/>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Preferential Dividends</w:t>
      </w:r>
      <w:r>
        <w:rPr>
          <w:rFonts w:ascii="Arial" w:cs="Arial" w:eastAsia="Arial" w:hAnsi="Arial"/>
          <w:sz w:val="18"/>
          <w:szCs w:val="18"/>
          <w:color w:val="auto"/>
        </w:rPr>
        <w:t>. Until such time as the Unreturned Preference (as defined below) has been reduced to zero with respect to all shares of Preferred Stock (the “</w:t>
      </w:r>
      <w:r>
        <w:rPr>
          <w:rFonts w:ascii="Arial" w:cs="Arial" w:eastAsia="Arial" w:hAnsi="Arial"/>
          <w:sz w:val="18"/>
          <w:szCs w:val="18"/>
          <w:b w:val="1"/>
          <w:bCs w:val="1"/>
          <w:color w:val="auto"/>
        </w:rPr>
        <w:t>Preferential Distribution Termination</w:t>
      </w:r>
      <w:r>
        <w:rPr>
          <w:rFonts w:ascii="Arial" w:cs="Arial" w:eastAsia="Arial" w:hAnsi="Arial"/>
          <w:sz w:val="18"/>
          <w:szCs w:val="18"/>
          <w:color w:val="auto"/>
        </w:rPr>
        <w:t>”), the holders of outstanding shares of Preferred Stock shall be entitled to receive in any calendar year dividends equal to 6% of the applicable Original Issue Price (as defined below) per annum, out of assets legally available therefor, and payable in preference and priority to the declaration or payment of any dividends on the Common Stock, when, as and if declared by the Board of Directors (such amounts, the “</w:t>
      </w:r>
      <w:r>
        <w:rPr>
          <w:rFonts w:ascii="Arial" w:cs="Arial" w:eastAsia="Arial" w:hAnsi="Arial"/>
          <w:sz w:val="18"/>
          <w:szCs w:val="18"/>
          <w:b w:val="1"/>
          <w:bCs w:val="1"/>
          <w:color w:val="auto"/>
        </w:rPr>
        <w:t>Preferential Distribution Amounts</w:t>
      </w:r>
      <w:r>
        <w:rPr>
          <w:rFonts w:ascii="Arial" w:cs="Arial" w:eastAsia="Arial" w:hAnsi="Arial"/>
          <w:sz w:val="18"/>
          <w:szCs w:val="18"/>
          <w:color w:val="auto"/>
        </w:rPr>
        <w:t>”). If the dividend to be distributed among the holders of the Preferred Stock shall be insufficient to permit the payment to such holders of the full Preferential Distribution Amounts to which they are entitled under this Certificate of Incorporation, then the entire amount legally available for distribution shall be distributed ratably among the holders of Preferred Stock in proportion to the full Preferential Distribution Amount to which each such holder is otherwise entitled to receive under this Certificate of Incorporation. Such Preferential Distribution Amounts shall not be cumulative and no right shall accrue to holders of Preferred Stock by reason of the fact that dividends on such shares were not declared or paid in any prior year, whether or not the earnings of the Corporation were sufficient to pay such dividends in whole</w:t>
      </w:r>
    </w:p>
    <w:p>
      <w:pPr>
        <w:sectPr>
          <w:pgSz w:w="11900" w:h="16838" w:orient="portrait"/>
          <w:cols w:equalWidth="0" w:num="1">
            <w:col w:w="11020"/>
          </w:cols>
          <w:pgMar w:left="440" w:top="274" w:right="439" w:bottom="1440" w:gutter="0" w:footer="0" w:header="0"/>
        </w:sectPr>
      </w:pPr>
    </w:p>
    <w:bookmarkStart w:id="225" w:name="page226"/>
    <w:bookmarkEnd w:id="225"/>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 part. The “</w:t>
      </w:r>
      <w:r>
        <w:rPr>
          <w:rFonts w:ascii="Arial" w:cs="Arial" w:eastAsia="Arial" w:hAnsi="Arial"/>
          <w:sz w:val="17"/>
          <w:szCs w:val="17"/>
          <w:b w:val="1"/>
          <w:bCs w:val="1"/>
          <w:color w:val="auto"/>
        </w:rPr>
        <w:t>Series Seed Original Issue Price</w:t>
      </w:r>
      <w:r>
        <w:rPr>
          <w:rFonts w:ascii="Arial" w:cs="Arial" w:eastAsia="Arial" w:hAnsi="Arial"/>
          <w:sz w:val="17"/>
          <w:szCs w:val="17"/>
          <w:color w:val="auto"/>
        </w:rPr>
        <w:t>” means $1.00 for each share of Series Seed Preferred Stock, subject to appropriate adjustment in the event of any stock dividend, stock split, combination or other similar recapitalization with respect to the Series Seed Preferred Stock. The “</w:t>
      </w:r>
      <w:r>
        <w:rPr>
          <w:rFonts w:ascii="Arial" w:cs="Arial" w:eastAsia="Arial" w:hAnsi="Arial"/>
          <w:sz w:val="17"/>
          <w:szCs w:val="17"/>
          <w:b w:val="1"/>
          <w:b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color w:val="auto"/>
        </w:rPr>
        <w:t>Original Issue Price</w:t>
      </w:r>
      <w:r>
        <w:rPr>
          <w:rFonts w:ascii="Arial" w:cs="Arial" w:eastAsia="Arial" w:hAnsi="Arial"/>
          <w:sz w:val="17"/>
          <w:szCs w:val="17"/>
          <w:color w:val="auto"/>
        </w:rPr>
        <w:t>” means $1.75 for each share of Series A Preferred Stock, subject to appropriate adjustment in the event of any stock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stock split, combination or other similar recapitalization with respect to the Series A Preferred Stock. The “</w:t>
      </w:r>
      <w:r>
        <w:rPr>
          <w:rFonts w:ascii="Arial" w:cs="Arial" w:eastAsia="Arial" w:hAnsi="Arial"/>
          <w:sz w:val="17"/>
          <w:szCs w:val="17"/>
          <w:b w:val="1"/>
          <w:bCs w:val="1"/>
          <w:color w:val="auto"/>
        </w:rPr>
        <w:t>Series B Original Issue Price</w:t>
      </w:r>
      <w:r>
        <w:rPr>
          <w:rFonts w:ascii="Arial" w:cs="Arial" w:eastAsia="Arial" w:hAnsi="Arial"/>
          <w:sz w:val="17"/>
          <w:szCs w:val="17"/>
          <w:color w:val="auto"/>
        </w:rPr>
        <w:t>” means $3.2167 for each share of Series B Preferred Stock, subject to appropriate adjustment in the event of any stock dividend, stock split, combination or other similar recapitalization with respect to the Series B Preferred Stock. Each of the Series Seed Original Issue Price, Series A Original Issue Price and Series B Original Issue Price are sometimes referred to herein as the “</w:t>
      </w:r>
      <w:r>
        <w:rPr>
          <w:rFonts w:ascii="Arial" w:cs="Arial" w:eastAsia="Arial" w:hAnsi="Arial"/>
          <w:sz w:val="17"/>
          <w:szCs w:val="17"/>
          <w:b w:val="1"/>
          <w:bCs w:val="1"/>
          <w:color w:val="auto"/>
        </w:rPr>
        <w:t>Original Issue Price</w:t>
      </w:r>
      <w:r>
        <w:rPr>
          <w:rFonts w:ascii="Arial" w:cs="Arial" w:eastAsia="Arial" w:hAnsi="Arial"/>
          <w:sz w:val="17"/>
          <w:szCs w:val="17"/>
          <w:color w:val="auto"/>
        </w:rPr>
        <w:t>.” The “</w:t>
      </w:r>
      <w:r>
        <w:rPr>
          <w:rFonts w:ascii="Arial" w:cs="Arial" w:eastAsia="Arial" w:hAnsi="Arial"/>
          <w:sz w:val="17"/>
          <w:szCs w:val="17"/>
          <w:b w:val="1"/>
          <w:bCs w:val="1"/>
          <w:color w:val="auto"/>
        </w:rPr>
        <w:t>Unreturned Preference</w:t>
      </w:r>
      <w:r>
        <w:rPr>
          <w:rFonts w:ascii="Arial" w:cs="Arial" w:eastAsia="Arial" w:hAnsi="Arial"/>
          <w:sz w:val="17"/>
          <w:szCs w:val="17"/>
          <w:color w:val="auto"/>
        </w:rPr>
        <w:t>” with respect to a share of Preferred Stock shall equal the applicable Original Issue Price with respect to such share less the amount of Participating Dividends (as defined below) previously paid in respect of such share pursuant to Section 1.2.</w:t>
      </w:r>
    </w:p>
    <w:p>
      <w:pPr>
        <w:spacing w:after="0" w:line="178" w:lineRule="exact"/>
        <w:rPr>
          <w:sz w:val="20"/>
          <w:szCs w:val="20"/>
          <w:color w:val="auto"/>
        </w:rPr>
      </w:pPr>
    </w:p>
    <w:p>
      <w:pPr>
        <w:jc w:val="both"/>
        <w:ind w:firstLine="1433"/>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Participating Dividends</w:t>
      </w:r>
      <w:r>
        <w:rPr>
          <w:rFonts w:ascii="Arial" w:cs="Arial" w:eastAsia="Arial" w:hAnsi="Arial"/>
          <w:sz w:val="18"/>
          <w:szCs w:val="18"/>
          <w:color w:val="auto"/>
        </w:rPr>
        <w:t>. After the Preferential Distribution Amounts have been paid or declared and set apart in full in any calendar year, or after the Preferential Distribution Termination, dividends may be declared and paid, out of assets legally available therefor, when, as and if declared by the Board of Directors, among all holders of Common Stock and Preferred Stock in proportion to the number of shares of Common Stock that would be held by each such holder if all shares of Preferred Stock were converted to Common Stock at the then effective conversion rate (such dividends, the “</w:t>
      </w:r>
      <w:r>
        <w:rPr>
          <w:rFonts w:ascii="Arial" w:cs="Arial" w:eastAsia="Arial" w:hAnsi="Arial"/>
          <w:sz w:val="18"/>
          <w:szCs w:val="18"/>
          <w:b w:val="1"/>
          <w:bCs w:val="1"/>
          <w:color w:val="auto"/>
        </w:rPr>
        <w:t>Participating Dividends</w:t>
      </w:r>
      <w:r>
        <w:rPr>
          <w:rFonts w:ascii="Arial" w:cs="Arial" w:eastAsia="Arial" w:hAnsi="Arial"/>
          <w:sz w:val="18"/>
          <w:szCs w:val="18"/>
          <w:color w:val="auto"/>
        </w:rPr>
        <w:t>”).</w:t>
      </w:r>
    </w:p>
    <w:p>
      <w:pPr>
        <w:spacing w:after="0" w:line="188" w:lineRule="exact"/>
        <w:rPr>
          <w:sz w:val="20"/>
          <w:szCs w:val="20"/>
          <w:color w:val="auto"/>
        </w:rPr>
      </w:pPr>
    </w:p>
    <w:p>
      <w:pPr>
        <w:ind w:left="1200" w:hanging="315"/>
        <w:spacing w:after="0"/>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B Preferred Stock</w:t>
      </w:r>
      <w:r>
        <w:rPr>
          <w:rFonts w:ascii="Arial" w:cs="Arial" w:eastAsia="Arial" w:hAnsi="Arial"/>
          <w:sz w:val="16"/>
          <w:szCs w:val="16"/>
          <w:color w:val="auto"/>
        </w:rPr>
        <w:t>. In the event of any voluntary or involuntary liquidation, dissolution or winding up of the Corporation or Deemed Liquidation Event (as defined below), the holders of shares of Series B Preferred Stock then outstanding shall be entitled to be paid out of the assets of the Corporation available for distribution to its stockholders, before any payment shall be made to the holders of Series Seed Preferred Stock, Series A Preferred Stock and Common Stock by reason of their ownership thereof, an amount per share equal to the applicable Unreturned Preference in respect of such shares, plus any dividends declared but unpaid thereon, or such lesser amount as may be approved by the holders of at least sixty-five percent (65%) of the outstanding shares of Series B Preferred Stock (voting together as a separate class, on an as-converted to Common Stock basis) (the amount payable pursuant to this sentence is hereinafter referred to as the “</w:t>
      </w:r>
      <w:r>
        <w:rPr>
          <w:rFonts w:ascii="Arial" w:cs="Arial" w:eastAsia="Arial" w:hAnsi="Arial"/>
          <w:sz w:val="16"/>
          <w:szCs w:val="16"/>
          <w:b w:val="1"/>
          <w:bCs w:val="1"/>
          <w:color w:val="auto"/>
        </w:rPr>
        <w:t>Series B 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If upon any such liquidation, dissolution or winding up of the Corporation or Deemed Liquidation Event, the assets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distribution to its stockholders shall be insufficient to pay the holders of shares of Series B Preferred Stock the full amount to which they shall be entitled under this Subsection 2.1,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Upon the payment of the Series B Liquidation Amount in full, the holders of Series B Preferred Stock shall not be entitled to any further payment under this Section 2.1.</w:t>
      </w:r>
    </w:p>
    <w:p>
      <w:pPr>
        <w:sectPr>
          <w:pgSz w:w="11900" w:h="16838" w:orient="portrait"/>
          <w:cols w:equalWidth="0" w:num="1">
            <w:col w:w="11020"/>
          </w:cols>
          <w:pgMar w:left="440" w:top="270" w:right="439" w:bottom="1440" w:gutter="0" w:footer="0" w:header="0"/>
        </w:sectPr>
      </w:pPr>
    </w:p>
    <w:bookmarkStart w:id="226" w:name="page227"/>
    <w:bookmarkEnd w:id="226"/>
    <w:p>
      <w:pPr>
        <w:jc w:val="both"/>
        <w:ind w:firstLine="143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6"/>
          <w:szCs w:val="16"/>
          <w:u w:val="single" w:color="auto"/>
          <w:color w:val="auto"/>
        </w:rPr>
        <w:t>Preferential Payments to Holders of Series Seed Preferred Stock and Series A Preferred Stock</w:t>
      </w:r>
      <w:r>
        <w:rPr>
          <w:rFonts w:ascii="Arial" w:cs="Arial" w:eastAsia="Arial" w:hAnsi="Arial"/>
          <w:sz w:val="16"/>
          <w:szCs w:val="16"/>
          <w:color w:val="auto"/>
        </w:rPr>
        <w:t>. In the event of any voluntary or involuntary liquidation, dissolution or winding up of the Corporation or Deemed Liquidation Event, after payment of the full Series B Liquidation Amount to the holders of shares of the Series B Preferred Stock, the holders of shares of Series Seed Preferred Stock and Series A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applicable Unreturned Preference in respect of such shares, plus any dividends declared but unpaid thereon, or such lesser amount as may be approved by the holders of at least sixty percent (60%) of the outstanding shares of Series Seed Preferred Stock and Series A Preferred Stock (voting together as a single class, on an as-converted to Common Stock basis, a “</w:t>
      </w:r>
      <w:r>
        <w:rPr>
          <w:rFonts w:ascii="Arial" w:cs="Arial" w:eastAsia="Arial" w:hAnsi="Arial"/>
          <w:sz w:val="16"/>
          <w:szCs w:val="16"/>
          <w:b w:val="1"/>
          <w:bCs w:val="1"/>
          <w:color w:val="auto"/>
        </w:rPr>
        <w:t>Seed and A Preferred Majority</w:t>
      </w:r>
      <w:r>
        <w:rPr>
          <w:rFonts w:ascii="Arial" w:cs="Arial" w:eastAsia="Arial" w:hAnsi="Arial"/>
          <w:sz w:val="16"/>
          <w:szCs w:val="16"/>
          <w:color w:val="auto"/>
        </w:rPr>
        <w:t>”) (the amount payable pursuant to this sentence is hereinafter referred to as the “</w:t>
      </w:r>
      <w:r>
        <w:rPr>
          <w:rFonts w:ascii="Arial" w:cs="Arial" w:eastAsia="Arial" w:hAnsi="Arial"/>
          <w:sz w:val="16"/>
          <w:szCs w:val="16"/>
          <w:b w:val="1"/>
          <w:bCs w:val="1"/>
          <w:color w:val="auto"/>
        </w:rPr>
        <w:t>Series Seed</w:t>
      </w:r>
      <w:r>
        <w:rPr>
          <w:rFonts w:ascii="Arial" w:cs="Arial" w:eastAsia="Arial" w:hAnsi="Arial"/>
          <w:sz w:val="16"/>
          <w:szCs w:val="16"/>
          <w:color w:val="auto"/>
        </w:rPr>
        <w:t xml:space="preserve"> </w:t>
      </w:r>
      <w:r>
        <w:rPr>
          <w:rFonts w:ascii="Arial" w:cs="Arial" w:eastAsia="Arial" w:hAnsi="Arial"/>
          <w:sz w:val="16"/>
          <w:szCs w:val="16"/>
          <w:b w:val="1"/>
          <w:bCs w:val="1"/>
          <w:color w:val="auto"/>
        </w:rPr>
        <w:t>and Series A Preferred Liquidation Amount,</w:t>
      </w:r>
      <w:r>
        <w:rPr>
          <w:rFonts w:ascii="Arial" w:cs="Arial" w:eastAsia="Arial" w:hAnsi="Arial"/>
          <w:sz w:val="16"/>
          <w:szCs w:val="16"/>
          <w:color w:val="auto"/>
        </w:rPr>
        <w:t>” and together with the Series B Preferred Liquidation Amount, the “</w:t>
      </w:r>
      <w:r>
        <w:rPr>
          <w:rFonts w:ascii="Arial" w:cs="Arial" w:eastAsia="Arial" w:hAnsi="Arial"/>
          <w:sz w:val="16"/>
          <w:szCs w:val="16"/>
          <w:b w:val="1"/>
          <w:bCs w:val="1"/>
          <w:color w:val="auto"/>
        </w:rPr>
        <w:t>Preferred Liquidation Amount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upon any such liquidation, dissolution or winding up of the Corporation or Deemed Liquidation Event, the assets of the Corporation available for distribution to its stockholders shall be insufficient to pay the holders of shares of Series Seed Preferred Stock and Series A Preferred Stock the full amount to which they shall be entitled under this Subsection 2.2, the holders of shares of Series Seed Preferred Stock and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Upon the payment of the Series Seed and Series A Preferred Liquidation Amount in full, the holders of Series Seed Preferred Stock and Series A Preferred Stock shall not be entitled to any further payment under this Section 2.2.</w:t>
      </w:r>
    </w:p>
    <w:p>
      <w:pPr>
        <w:spacing w:after="0" w:line="178" w:lineRule="exact"/>
        <w:rPr>
          <w:sz w:val="20"/>
          <w:szCs w:val="20"/>
          <w:color w:val="auto"/>
        </w:rPr>
      </w:pPr>
    </w:p>
    <w:p>
      <w:pPr>
        <w:jc w:val="both"/>
        <w:ind w:firstLine="1433"/>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 provided, however, that in lieu of the amounts set forth in Section 2.1 and Section 2.2, the holders of Preferred Stock shall be entitled to such greater amount per share as would have been payable had all shares of Preferred Stock been converted into Common Stock pursuant to Section 4 immediately prior to such liquidation, dissolution, winding up or Deemed Liquidation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distribution of such assets to the stockholders of the Corporation shall be allocated among the holders of capital stock of the Corporation in accordance with Sections 2.1, 2.2 and this Section 2.3 after taking into account the previous payment of any portion of the Preferred Liquidation Amount.</w:t>
      </w:r>
    </w:p>
    <w:p>
      <w:pPr>
        <w:spacing w:after="0" w:line="182" w:lineRule="exact"/>
        <w:rPr>
          <w:sz w:val="20"/>
          <w:szCs w:val="20"/>
          <w:color w:val="auto"/>
        </w:rPr>
      </w:pPr>
    </w:p>
    <w:p>
      <w:pPr>
        <w:jc w:val="both"/>
        <w:ind w:firstLine="143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Shares not Treated as Both Preferred Stock and Common Stock in any Distribution</w:t>
      </w:r>
      <w:r>
        <w:rPr>
          <w:rFonts w:ascii="Arial" w:cs="Arial" w:eastAsia="Arial" w:hAnsi="Arial"/>
          <w:sz w:val="18"/>
          <w:szCs w:val="18"/>
          <w:color w:val="auto"/>
        </w:rPr>
        <w:t>. Shares of Preferred Stock shall not be entitled to be converted into shares of Common Stock in order to participate in any distribution, or series of related distributions, as shares of Common Stock, without first forgoing participation in the distribution, or series of related distributions, as shares of Preferred Stock, except as expressly provided for in this Certificate of Incorporation.</w:t>
      </w:r>
    </w:p>
    <w:p>
      <w:pPr>
        <w:sectPr>
          <w:pgSz w:w="11900" w:h="16838" w:orient="portrait"/>
          <w:cols w:equalWidth="0" w:num="1">
            <w:col w:w="11020"/>
          </w:cols>
          <w:pgMar w:left="440" w:top="274" w:right="439" w:bottom="1440" w:gutter="0" w:footer="0" w:header="0"/>
        </w:sectPr>
      </w:pPr>
    </w:p>
    <w:bookmarkStart w:id="227" w:name="page228"/>
    <w:bookmarkEnd w:id="227"/>
    <w:p>
      <w:pPr>
        <w:ind w:left="1440"/>
        <w:spacing w:after="0"/>
        <w:tabs>
          <w:tab w:leader="none" w:pos="1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13" w:lineRule="exact"/>
        <w:rPr>
          <w:sz w:val="20"/>
          <w:szCs w:val="20"/>
          <w:color w:val="auto"/>
        </w:rPr>
      </w:pPr>
    </w:p>
    <w:p>
      <w:pPr>
        <w:jc w:val="both"/>
        <w:ind w:firstLine="1873"/>
        <w:spacing w:after="0" w:line="266"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each of (i) the Requisite Holders (as defined below) and (ii) at least sixty-five percent (65%) of the outstanding shares of Series B Preferred Stock (voting together as a single class, on an as-converted to Common Stock basis) elect otherwise:</w:t>
      </w:r>
    </w:p>
    <w:p>
      <w:pPr>
        <w:spacing w:after="0" w:line="72" w:lineRule="exact"/>
        <w:rPr>
          <w:sz w:val="20"/>
          <w:szCs w:val="20"/>
          <w:color w:val="auto"/>
        </w:rPr>
      </w:pPr>
    </w:p>
    <w:p>
      <w:pPr>
        <w:ind w:left="2700" w:hanging="382"/>
        <w:spacing w:after="0"/>
        <w:tabs>
          <w:tab w:leader="none" w:pos="2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7" w:lineRule="exact"/>
        <w:rPr>
          <w:rFonts w:ascii="Arial" w:cs="Arial" w:eastAsia="Arial" w:hAnsi="Arial"/>
          <w:sz w:val="18"/>
          <w:szCs w:val="18"/>
          <w:color w:val="auto"/>
        </w:rPr>
      </w:pPr>
    </w:p>
    <w:p>
      <w:pPr>
        <w:ind w:left="3080" w:hanging="211"/>
        <w:spacing w:after="0"/>
        <w:tabs>
          <w:tab w:leader="none" w:pos="30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17" w:lineRule="exact"/>
        <w:rPr>
          <w:rFonts w:ascii="Arial" w:cs="Arial" w:eastAsia="Arial" w:hAnsi="Arial"/>
          <w:sz w:val="18"/>
          <w:szCs w:val="18"/>
          <w:color w:val="auto"/>
        </w:rPr>
      </w:pPr>
    </w:p>
    <w:p>
      <w:pPr>
        <w:ind w:left="3300" w:hanging="431"/>
        <w:spacing w:after="0"/>
        <w:tabs>
          <w:tab w:leader="none" w:pos="3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such merger or consolidation,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(to be held in substantially the same proportions and with substantially the same rights, preferences and powers)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85" w:lineRule="exact"/>
        <w:rPr>
          <w:sz w:val="20"/>
          <w:szCs w:val="20"/>
          <w:color w:val="auto"/>
        </w:rPr>
      </w:pPr>
    </w:p>
    <w:p>
      <w:pPr>
        <w:jc w:val="both"/>
        <w:ind w:firstLine="2318"/>
        <w:spacing w:after="0" w:line="276" w:lineRule="auto"/>
        <w:tabs>
          <w:tab w:leader="none" w:pos="28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and/or intellectual property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73"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225" w:lineRule="exact"/>
        <w:rPr>
          <w:sz w:val="20"/>
          <w:szCs w:val="20"/>
          <w:color w:val="auto"/>
        </w:rPr>
      </w:pPr>
    </w:p>
    <w:p>
      <w:pPr>
        <w:ind w:left="2720" w:hanging="402"/>
        <w:spacing w:after="0"/>
        <w:tabs>
          <w:tab w:leader="none" w:pos="27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Corporation shall not have the power to effect a Deemed Liquidation Event referred to in Subsection 2.5.1(a)</w:t>
      </w:r>
    </w:p>
    <w:p>
      <w:pPr>
        <w:spacing w:after="0" w:line="46" w:lineRule="exact"/>
        <w:rPr>
          <w:rFonts w:ascii="Arial" w:cs="Arial" w:eastAsia="Arial" w:hAnsi="Arial"/>
          <w:sz w:val="16"/>
          <w:szCs w:val="16"/>
          <w:color w:val="auto"/>
        </w:rPr>
      </w:pPr>
    </w:p>
    <w:p>
      <w:pPr>
        <w:jc w:val="both"/>
        <w:ind w:firstLine="4"/>
        <w:spacing w:after="0" w:line="255" w:lineRule="auto"/>
        <w:tabs>
          <w:tab w:leader="none" w:pos="2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Subsections 2.1, 2.2 and 2.3.</w:t>
      </w:r>
    </w:p>
    <w:p>
      <w:pPr>
        <w:spacing w:after="0" w:line="82" w:lineRule="exact"/>
        <w:rPr>
          <w:rFonts w:ascii="Arial" w:cs="Arial" w:eastAsia="Arial" w:hAnsi="Arial"/>
          <w:sz w:val="18"/>
          <w:szCs w:val="18"/>
          <w:color w:val="auto"/>
        </w:rPr>
      </w:pPr>
    </w:p>
    <w:p>
      <w:pPr>
        <w:jc w:val="both"/>
        <w:ind w:firstLine="2318"/>
        <w:spacing w:after="0" w:line="291" w:lineRule="auto"/>
        <w:tabs>
          <w:tab w:leader="none" w:pos="276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2.5.1(a)(ii) or 2.5.1(b), if the Corporation does not effect a dissolution of the Corporation under the General Corporation Law within ninety (90) days after such Deemed Liquidation Event, then</w:t>
      </w:r>
    </w:p>
    <w:p>
      <w:pPr>
        <w:ind w:firstLine="4"/>
        <w:spacing w:after="0" w:line="261" w:lineRule="auto"/>
        <w:tabs>
          <w:tab w:leader="none" w:pos="2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Corporation shall send a written notice to each holder of Preferred Stock no later than the ninetieth (90</w:t>
      </w:r>
      <w:r>
        <w:rPr>
          <w:rFonts w:ascii="Arial" w:cs="Arial" w:eastAsia="Arial" w:hAnsi="Arial"/>
          <w:sz w:val="15"/>
          <w:szCs w:val="15"/>
          <w:color w:val="auto"/>
        </w:rPr>
        <w:t>th</w:t>
      </w:r>
      <w:r>
        <w:rPr>
          <w:rFonts w:ascii="Arial" w:cs="Arial" w:eastAsia="Arial" w:hAnsi="Arial"/>
          <w:sz w:val="18"/>
          <w:szCs w:val="18"/>
          <w:color w:val="auto"/>
        </w:rPr>
        <w:t>) day after the Deemed Liquidation Event advising such</w:t>
      </w:r>
    </w:p>
    <w:p>
      <w:pPr>
        <w:sectPr>
          <w:pgSz w:w="11900" w:h="16838" w:orient="portrait"/>
          <w:cols w:equalWidth="0" w:num="1">
            <w:col w:w="11020"/>
          </w:cols>
          <w:pgMar w:left="440" w:top="274" w:right="439" w:bottom="1440" w:gutter="0" w:footer="0" w:header="0"/>
        </w:sectPr>
      </w:pPr>
    </w:p>
    <w:bookmarkStart w:id="228" w:name="page229"/>
    <w:bookmarkEnd w:id="228"/>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their right (and the requirements to be met to secure such right) pursuant to the terms of the following clause; (ii) to require the redemption of such shares of Preferred Stock, and (iii) unless each of (1) the Requisite Holders and (2) at least sixty-five percent (65%) of the outstanding shares of Series B Preferred Stock (voting together as a single class, on an as-converted to Common Stock basis) otherwise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7"/>
          <w:szCs w:val="17"/>
          <w:b w:val="1"/>
          <w:bCs w:val="1"/>
          <w:color w:val="auto"/>
        </w:rPr>
        <w:t>Available</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on the one hundred fiftieth (150</w:t>
      </w:r>
      <w:r>
        <w:rPr>
          <w:rFonts w:ascii="Arial" w:cs="Arial" w:eastAsia="Arial" w:hAnsi="Arial"/>
          <w:sz w:val="14"/>
          <w:szCs w:val="14"/>
          <w:color w:val="auto"/>
        </w:rPr>
        <w:t>th</w:t>
      </w:r>
      <w:r>
        <w:rPr>
          <w:rFonts w:ascii="Arial" w:cs="Arial" w:eastAsia="Arial" w:hAnsi="Arial"/>
          <w:sz w:val="17"/>
          <w:szCs w:val="17"/>
          <w:color w:val="auto"/>
        </w:rPr>
        <w:t>) day after such Deemed Liquidation Event, to redeem all outstanding shares of Preferred Stock at a price</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equal to the Preferred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The Board of Directors of the Corporation shall determine in good faith the terms of the redemption of the Preferred Stock pursuant to this Subsection 2.5.2(b). The provisions of Section 6 shall apply, with such necessary changes in the details thereof as are necessitated by the context, to the redemption of the Series B Preferred Stock pursuant to this Subsection 2.5.2(b). Prior to the distribution or redemption provided for in this Subsection 2.5.2(b), the Corporation shall not expend or dissipate the consideration received for such Deemed Liquidation Event, except (i) to discharge expenses incurred in connection with such Deemed Liquidation Event, (ii) in the ordinary course of business, or (iii) dividends to be paid to the stockholders of the Corporation (subject to obtaining any consents required elsewhere in the Certificate of Incorporation).</w:t>
      </w:r>
    </w:p>
    <w:p>
      <w:pPr>
        <w:spacing w:after="0" w:line="190" w:lineRule="exact"/>
        <w:rPr>
          <w:sz w:val="20"/>
          <w:szCs w:val="20"/>
          <w:color w:val="auto"/>
        </w:rPr>
      </w:pPr>
    </w:p>
    <w:p>
      <w:pPr>
        <w:jc w:val="both"/>
        <w:ind w:firstLine="1873"/>
        <w:spacing w:after="0" w:line="259"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87"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Allocation of Escrow and Contingent Consideration</w:t>
      </w:r>
      <w:r>
        <w:rPr>
          <w:rFonts w:ascii="Arial" w:cs="Arial" w:eastAsia="Arial" w:hAnsi="Arial"/>
          <w:sz w:val="18"/>
          <w:szCs w:val="18"/>
          <w:color w:val="auto"/>
        </w:rPr>
        <w:t>. In the event of a Deemed Liquidation Event pursuant to Subsection 2.5.1(a)(i), if any portion of the consideration payable to the stockholders of the Corporation is payable only upon satisfaction of contingencies (the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the Merger Agreement shall provide that (a) the portion of such consideration that is not Additional Consideration (such portion, the “</w:t>
      </w:r>
      <w:r>
        <w:rPr>
          <w:rFonts w:ascii="Arial" w:cs="Arial" w:eastAsia="Arial" w:hAnsi="Arial"/>
          <w:sz w:val="18"/>
          <w:szCs w:val="18"/>
          <w:b w:val="1"/>
          <w:bCs w:val="1"/>
          <w:color w:val="auto"/>
        </w:rPr>
        <w:t>Initial Consideration</w:t>
      </w:r>
      <w:r>
        <w:rPr>
          <w:rFonts w:ascii="Arial" w:cs="Arial" w:eastAsia="Arial" w:hAnsi="Arial"/>
          <w:sz w:val="18"/>
          <w:szCs w:val="18"/>
          <w:color w:val="auto"/>
        </w:rPr>
        <w:t>”) shall be allocated among the holders of capital stock of the Corporation in accordance with Subsections 2.1, 2.2 and 2.3 as if the Initial Consideration were the only consideration payable in connection with such Deemed Liquidation Event; and (b) any Additional Consideration which becomes payable to the stockholders of the</w:t>
      </w:r>
    </w:p>
    <w:p>
      <w:pPr>
        <w:sectPr>
          <w:pgSz w:w="11900" w:h="16838" w:orient="portrait"/>
          <w:cols w:equalWidth="0" w:num="1">
            <w:col w:w="11020"/>
          </w:cols>
          <w:pgMar w:left="440" w:top="274" w:right="439" w:bottom="1440" w:gutter="0" w:footer="0" w:header="0"/>
        </w:sectPr>
      </w:pPr>
    </w:p>
    <w:bookmarkStart w:id="229" w:name="page230"/>
    <w:bookmarkEnd w:id="22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upon satisfaction of such contingencies shall be allocated among the holders of capital stock of the Corporation in accordance with Subsections 2.1, 2.2 and 2.3 after taking into account the previous payment of the Initial Consideration as part of the same transaction. For the purposes of this Subsection 2.5.4, consideration placed into escrow or retained as holdback to be available for satisfaction of indemnification or similar obligations in connection with such Deemed Liquidation Event and earn-out consideration payable based upon events occurring after the consummation of such Deemed Liquidation Event shall be deemed to be Additional Consideration.</w:t>
      </w:r>
    </w:p>
    <w:p>
      <w:pPr>
        <w:spacing w:after="0" w:line="188" w:lineRule="exact"/>
        <w:rPr>
          <w:sz w:val="20"/>
          <w:szCs w:val="20"/>
          <w:color w:val="auto"/>
        </w:rPr>
      </w:pPr>
    </w:p>
    <w:p>
      <w:pPr>
        <w:ind w:left="1200" w:hanging="315"/>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158" w:lineRule="exact"/>
        <w:rPr>
          <w:sz w:val="20"/>
          <w:szCs w:val="20"/>
          <w:color w:val="auto"/>
        </w:rPr>
      </w:pPr>
    </w:p>
    <w:p>
      <w:pPr>
        <w:jc w:val="both"/>
        <w:ind w:firstLine="1433"/>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A Preferred Stock, exclusively and as a separate class, shall be entitled to elect four (4) directors of the Corporation (the “</w:t>
      </w:r>
      <w:r>
        <w:rPr>
          <w:rFonts w:ascii="Arial" w:cs="Arial" w:eastAsia="Arial" w:hAnsi="Arial"/>
          <w:sz w:val="17"/>
          <w:szCs w:val="17"/>
          <w:b w:val="1"/>
          <w:bCs w:val="1"/>
          <w:color w:val="auto"/>
        </w:rPr>
        <w:t>Series A Directors</w:t>
      </w:r>
      <w:r>
        <w:rPr>
          <w:rFonts w:ascii="Arial" w:cs="Arial" w:eastAsia="Arial" w:hAnsi="Arial"/>
          <w:sz w:val="17"/>
          <w:szCs w:val="17"/>
          <w:color w:val="auto"/>
        </w:rPr>
        <w:t>”), the holders of record of the shares of Series B Preferred Stock, exclusively and as a separate class, shall be entitled to elect one (1) director of the Corporation (the “</w:t>
      </w:r>
      <w:r>
        <w:rPr>
          <w:rFonts w:ascii="Arial" w:cs="Arial" w:eastAsia="Arial" w:hAnsi="Arial"/>
          <w:sz w:val="17"/>
          <w:szCs w:val="17"/>
          <w:b w:val="1"/>
          <w:bCs w:val="1"/>
          <w:color w:val="auto"/>
        </w:rPr>
        <w:t>Series B Director</w:t>
      </w:r>
      <w:r>
        <w:rPr>
          <w:rFonts w:ascii="Arial" w:cs="Arial" w:eastAsia="Arial" w:hAnsi="Arial"/>
          <w:sz w:val="17"/>
          <w:szCs w:val="17"/>
          <w:color w:val="auto"/>
        </w:rPr>
        <w:t>,” and together with the Series A Directors, the “</w:t>
      </w:r>
      <w:r>
        <w:rPr>
          <w:rFonts w:ascii="Arial" w:cs="Arial" w:eastAsia="Arial" w:hAnsi="Arial"/>
          <w:sz w:val="17"/>
          <w:szCs w:val="17"/>
          <w:b w:val="1"/>
          <w:bCs w:val="1"/>
          <w:color w:val="auto"/>
        </w:rPr>
        <w:t>Preferred Directors</w:t>
      </w:r>
      <w:r>
        <w:rPr>
          <w:rFonts w:ascii="Arial" w:cs="Arial" w:eastAsia="Arial" w:hAnsi="Arial"/>
          <w:sz w:val="17"/>
          <w:szCs w:val="17"/>
          <w:color w:val="auto"/>
        </w:rPr>
        <w:t xml:space="preserve">”), and the holders of record of the shares of Common Stock, exclusively and as a separate class, shall be entitled to elect two (2) directors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earlier of (a) immediately prior to the first public filing of a registration statement under the Securities Act of 1933 contemplating a firm-commitment underwritten public offering or (b) the date that is six (6) months following the Series B Original Issue Date (as defined below), the number of authorized Series A Directors shall be reduced to two (2).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or Common Stock, as the case may be, fail to elect a sufficient number of directors to fill all directorships for which they are entitled to elect directors, voting exclusively and as a separate class, pursuant to the first sentence of this Subsection 3.2, then any directorship not so filled shall remain vacant until such time as the holders of the Series A Preferred Stock, Series B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w:t>
      </w:r>
    </w:p>
    <w:p>
      <w:pPr>
        <w:sectPr>
          <w:pgSz w:w="11900" w:h="16838" w:orient="portrait"/>
          <w:cols w:equalWidth="0" w:num="1">
            <w:col w:w="11020"/>
          </w:cols>
          <w:pgMar w:left="440" w:top="274" w:right="439" w:bottom="1440" w:gutter="0" w:footer="0" w:header="0"/>
        </w:sectPr>
      </w:pPr>
    </w:p>
    <w:bookmarkStart w:id="230" w:name="page231"/>
    <w:bookmarkEnd w:id="230"/>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outstanding shares of the class or series entitled to elect such director shall constitute a quorum for the purpose of electing such director. Except as otherwise provided in this Subsection 3.2,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Subsection 3.2. The rights of the holders of the Series A Preferred Stock under the first sentence of this Subsection 3.2 shall terminate on the first date following the Series B Original Issue Date on which there are issued and outstanding less than 9,140,000 shares of Series A Preferred Stock (subject to appropriate adjustment in the event of any stock dividend, stock split, combination, or other similar recapitalization with respect to the Series A Preferred Stock). The rights of the holders of the Series B Preferred Stock under the first sentence of this Subsection 3.2 shall terminate on the first date following the Series B Original Issue Date on which the right to designate a Series B Director is terminated pursuant to Section 1.2(b) of the Voting Agreement, dated as of the date hereof, by and among the Corporation and certain stockholders of the Corporation party thereto.</w:t>
      </w:r>
    </w:p>
    <w:p>
      <w:pPr>
        <w:spacing w:after="0" w:line="167" w:lineRule="exact"/>
        <w:rPr>
          <w:sz w:val="20"/>
          <w:szCs w:val="20"/>
          <w:color w:val="auto"/>
        </w:rPr>
      </w:pPr>
    </w:p>
    <w:p>
      <w:pPr>
        <w:jc w:val="both"/>
        <w:ind w:firstLine="1433"/>
        <w:spacing w:after="0" w:line="25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At any time when at least 9,140,000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at least sixty-five percent (65%) of the outstanding shares of Preferred Stock (voting together as a single class, on an as-converted to Common Stock basis, the “</w:t>
      </w:r>
      <w:r>
        <w:rPr>
          <w:rFonts w:ascii="Arial" w:cs="Arial" w:eastAsia="Arial" w:hAnsi="Arial"/>
          <w:sz w:val="18"/>
          <w:szCs w:val="18"/>
          <w:b w:val="1"/>
          <w:bCs w:val="1"/>
          <w:color w:val="auto"/>
        </w:rPr>
        <w:t>Requisite</w:t>
      </w:r>
      <w:r>
        <w:rPr>
          <w:rFonts w:ascii="Arial" w:cs="Arial" w:eastAsia="Arial" w:hAnsi="Arial"/>
          <w:sz w:val="18"/>
          <w:szCs w:val="18"/>
          <w:color w:val="auto"/>
        </w:rPr>
        <w:t xml:space="preserve"> </w:t>
      </w:r>
      <w:r>
        <w:rPr>
          <w:rFonts w:ascii="Arial" w:cs="Arial" w:eastAsia="Arial" w:hAnsi="Arial"/>
          <w:sz w:val="18"/>
          <w:szCs w:val="18"/>
          <w:b w:val="1"/>
          <w:bCs w:val="1"/>
          <w:color w:val="auto"/>
        </w:rPr>
        <w:t>Holders</w:t>
      </w:r>
      <w:r>
        <w:rPr>
          <w:rFonts w:ascii="Arial" w:cs="Arial" w:eastAsia="Arial" w:hAnsi="Arial"/>
          <w:sz w:val="18"/>
          <w:szCs w:val="18"/>
          <w:color w:val="auto"/>
        </w:rPr>
        <w:t>”), given in writing or by vote at a meeting, consenting or voting (as the case may be) separately as a class (provided that if such 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adversely affects the obligations or rights of any series of Preferred Stock in a manner disproportionate to the other series of Preferred Stock, such action shall also require the written consent or vote of the holders of at least sixty-five percent (65%) of the shares of such disproportionally adversely affected series of Preferred Stock),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5" w:lineRule="exact"/>
        <w:rPr>
          <w:sz w:val="20"/>
          <w:szCs w:val="20"/>
          <w:color w:val="auto"/>
        </w:rPr>
      </w:pPr>
    </w:p>
    <w:p>
      <w:pPr>
        <w:jc w:val="both"/>
        <w:ind w:firstLine="1873"/>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70"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amend, alter or repeal any provision of the Certificate of Incorporation or Bylaws of the Corporation;</w:t>
      </w:r>
    </w:p>
    <w:p>
      <w:pPr>
        <w:spacing w:after="0" w:line="225" w:lineRule="exact"/>
        <w:rPr>
          <w:sz w:val="20"/>
          <w:szCs w:val="20"/>
          <w:color w:val="auto"/>
        </w:rPr>
      </w:pPr>
    </w:p>
    <w:p>
      <w:pPr>
        <w:jc w:val="both"/>
        <w:ind w:firstLine="1873"/>
        <w:spacing w:after="0" w:line="257" w:lineRule="auto"/>
        <w:rPr>
          <w:sz w:val="20"/>
          <w:szCs w:val="20"/>
          <w:color w:val="auto"/>
        </w:rPr>
      </w:pPr>
      <w:r>
        <w:rPr>
          <w:rFonts w:ascii="Arial" w:cs="Arial" w:eastAsia="Arial" w:hAnsi="Arial"/>
          <w:sz w:val="18"/>
          <w:szCs w:val="18"/>
          <w:color w:val="auto"/>
        </w:rPr>
        <w:t>3.3.3 create, or authorize the creation of, or issue or obligate itself to issue shares of, any additional class or series of capital stock, or increase the authorized number of shares of Preferred Stock or increase the authorized number of shares of any additional class or series of capital stock (in each case excluding any shares of Series B Preferred Stock issued pursuant to that certain Series B Preferred Stock Purchase Agreement, dated on or after the filing date of this Amended and Restated Certificate of Incorporation, among the Corporation and the Investors named therein (as the same may be amended from</w:t>
      </w:r>
    </w:p>
    <w:p>
      <w:pPr>
        <w:sectPr>
          <w:pgSz w:w="11900" w:h="16838" w:orient="portrait"/>
          <w:cols w:equalWidth="0" w:num="1">
            <w:col w:w="11020"/>
          </w:cols>
          <w:pgMar w:left="440" w:top="274" w:right="4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to time in accordance with its terms, the “</w:t>
      </w:r>
      <w:r>
        <w:rPr>
          <w:rFonts w:ascii="Arial" w:cs="Arial" w:eastAsia="Arial" w:hAnsi="Arial"/>
          <w:sz w:val="18"/>
          <w:szCs w:val="18"/>
          <w:b w:val="1"/>
          <w:bCs w:val="1"/>
          <w:color w:val="auto"/>
        </w:rPr>
        <w:t>Purchase Agreement</w:t>
      </w:r>
      <w:r>
        <w:rPr>
          <w:rFonts w:ascii="Arial" w:cs="Arial" w:eastAsia="Arial" w:hAnsi="Arial"/>
          <w:sz w:val="18"/>
          <w:szCs w:val="18"/>
          <w:color w:val="auto"/>
        </w:rPr>
        <w:t>”) or shares of Common Stock issued on conversion thereof);</w:t>
      </w:r>
    </w:p>
    <w:p>
      <w:pPr>
        <w:spacing w:after="0" w:line="229"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3.3.4 (a)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(b)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any such right, preference or privilege;</w:t>
      </w:r>
    </w:p>
    <w:p>
      <w:pPr>
        <w:spacing w:after="0" w:line="189" w:lineRule="exact"/>
        <w:rPr>
          <w:sz w:val="20"/>
          <w:szCs w:val="20"/>
          <w:color w:val="auto"/>
        </w:rPr>
      </w:pPr>
    </w:p>
    <w:p>
      <w:pPr>
        <w:jc w:val="both"/>
        <w:ind w:firstLine="1873"/>
        <w:spacing w:after="0" w:line="272" w:lineRule="auto"/>
        <w:rPr>
          <w:sz w:val="20"/>
          <w:szCs w:val="20"/>
          <w:color w:val="auto"/>
        </w:rPr>
      </w:pPr>
      <w:r>
        <w:rPr>
          <w:rFonts w:ascii="Arial" w:cs="Arial" w:eastAsia="Arial" w:hAnsi="Arial"/>
          <w:sz w:val="17"/>
          <w:szCs w:val="17"/>
          <w:color w:val="auto"/>
        </w:rPr>
        <w:t>3.3.5 purchase or redeem (or permit any subsidiary to purchase or redeem) or pay or declare any dividend or make any distribution on, any shares of capital stock of the Corporation other than (a) redemptions of or dividends or distributions on the Preferred Stock as expressly authorized herein, (b) dividends or other distributions payable on the Common Stock solely in the form of additional shares of Common Stock, (c)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(d) as approved by the Board of Directors, including the approval of a majority of the Preferred Directors (which majority shall include the Series B Director), or as approved by the Requisite Holders;</w:t>
      </w:r>
    </w:p>
    <w:p>
      <w:pPr>
        <w:spacing w:after="0" w:line="178" w:lineRule="exact"/>
        <w:rPr>
          <w:sz w:val="20"/>
          <w:szCs w:val="20"/>
          <w:color w:val="auto"/>
        </w:rPr>
      </w:pPr>
    </w:p>
    <w:p>
      <w:pPr>
        <w:jc w:val="both"/>
        <w:ind w:firstLine="1873"/>
        <w:spacing w:after="0" w:line="257" w:lineRule="auto"/>
        <w:rPr>
          <w:sz w:val="20"/>
          <w:szCs w:val="20"/>
          <w:color w:val="auto"/>
        </w:rPr>
      </w:pPr>
      <w:r>
        <w:rPr>
          <w:rFonts w:ascii="Arial" w:cs="Arial" w:eastAsia="Arial" w:hAnsi="Arial"/>
          <w:sz w:val="18"/>
          <w:szCs w:val="18"/>
          <w:color w:val="auto"/>
        </w:rPr>
        <w:t>3.3.6 create, or authorize the creation of, or issue, or authorize the issuance of any debt security, or permit any subsidiary to take any such action with respect to any debt security (including guarantees), other than equipment leases, if the aggregate indebtedness or guarantee obligation of the Corporation and its subsidiaries for borrowed money following such action would exceed $500,000, unless such debt security or guarantee has received the prior approval of the Board of Directors, including the approval of a majority of the Preferred Directors (which majority shall include the Series B Director), or the prior approval of the Requisite Holders;</w:t>
      </w:r>
    </w:p>
    <w:p>
      <w:pPr>
        <w:spacing w:after="0" w:line="188" w:lineRule="exact"/>
        <w:rPr>
          <w:sz w:val="20"/>
          <w:szCs w:val="20"/>
          <w:color w:val="auto"/>
        </w:rPr>
      </w:pPr>
    </w:p>
    <w:p>
      <w:pPr>
        <w:jc w:val="both"/>
        <w:ind w:firstLine="1873"/>
        <w:spacing w:after="0" w:line="312" w:lineRule="auto"/>
        <w:rPr>
          <w:sz w:val="20"/>
          <w:szCs w:val="20"/>
          <w:color w:val="auto"/>
        </w:rPr>
      </w:pPr>
      <w:r>
        <w:rPr>
          <w:rFonts w:ascii="Arial" w:cs="Arial" w:eastAsia="Arial" w:hAnsi="Arial"/>
          <w:sz w:val="16"/>
          <w:szCs w:val="16"/>
          <w:color w:val="auto"/>
        </w:rPr>
        <w:t>3.3.7 create, or hold capital stock in, any subsidiary that is not wholly owned (either directly or through one or more other subsidiaries) by the Corporation, or sell, transfer or otherwise dispose of any capital stock of any direct or indirect subsidiary of the Corporation (other than a disposition of all of the capital stock of any such subsidiary in a bona fide arm’s length transaction that has received the prior approval of the</w:t>
      </w:r>
    </w:p>
    <w:p>
      <w:pPr>
        <w:sectPr>
          <w:pgSz w:w="11900" w:h="16838" w:orient="portrait"/>
          <w:cols w:equalWidth="0" w:num="1">
            <w:col w:w="11020"/>
          </w:cols>
          <w:pgMar w:left="440" w:top="270" w:right="439" w:bottom="1440" w:gutter="0" w:footer="0" w:header="0"/>
        </w:sectPr>
      </w:pPr>
    </w:p>
    <w:bookmarkStart w:id="232" w:name="page233"/>
    <w:bookmarkEnd w:id="23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including the approval of a majority of the Preferred Directors (which majority shall include the Series B Director), or the prior approval of the Requisite Holders);</w:t>
      </w:r>
    </w:p>
    <w:p>
      <w:pPr>
        <w:spacing w:after="0" w:line="170"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increase or decrease the authorized number of directors constituting the Board of Directors;</w:t>
      </w:r>
    </w:p>
    <w:p>
      <w:pPr>
        <w:spacing w:after="0" w:line="225" w:lineRule="exact"/>
        <w:rPr>
          <w:sz w:val="20"/>
          <w:szCs w:val="20"/>
          <w:color w:val="auto"/>
        </w:rPr>
      </w:pPr>
    </w:p>
    <w:p>
      <w:pPr>
        <w:ind w:left="1880"/>
        <w:spacing w:after="0"/>
        <w:tabs>
          <w:tab w:leader="none" w:pos="248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7"/>
          <w:szCs w:val="17"/>
          <w:color w:val="auto"/>
        </w:rPr>
        <w:t>hire or terminate, or grant or adjust any cash, equity or other compensation of, the Chief Executive Officer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jc w:val="both"/>
        <w:ind w:firstLine="1873"/>
        <w:spacing w:after="0" w:line="302" w:lineRule="auto"/>
        <w:rPr>
          <w:sz w:val="20"/>
          <w:szCs w:val="20"/>
          <w:color w:val="auto"/>
        </w:rPr>
      </w:pPr>
      <w:r>
        <w:rPr>
          <w:rFonts w:ascii="Arial" w:cs="Arial" w:eastAsia="Arial" w:hAnsi="Arial"/>
          <w:sz w:val="16"/>
          <w:szCs w:val="16"/>
          <w:color w:val="auto"/>
        </w:rPr>
        <w:t>3.3.10 enter into or be a party to any transaction with any stockholder, director or officer of the Corporation or any “associate” (as defined in Rule 12b-2 promulgated under the Exchange Act) of any such Person, except for transactions contemplated by this Agreement and the Purchase Agreement or transactions (including agreements related to the compensation of the Corporation’s executive officers) made in the ordinary course of business upon fair and reasonable terms that are approved by a majority of the disinterested members of the Board;</w:t>
      </w:r>
    </w:p>
    <w:p>
      <w:pPr>
        <w:spacing w:after="0" w:line="154" w:lineRule="exact"/>
        <w:rPr>
          <w:sz w:val="20"/>
          <w:szCs w:val="20"/>
          <w:color w:val="auto"/>
        </w:rPr>
      </w:pPr>
    </w:p>
    <w:p>
      <w:pPr>
        <w:ind w:left="1880"/>
        <w:spacing w:after="0"/>
        <w:tabs>
          <w:tab w:leader="none" w:pos="248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6"/>
          <w:szCs w:val="16"/>
          <w:color w:val="auto"/>
        </w:rPr>
        <w:t>amend this Section 3.3; or</w:t>
      </w:r>
    </w:p>
    <w:p>
      <w:pPr>
        <w:spacing w:after="0" w:line="225" w:lineRule="exact"/>
        <w:rPr>
          <w:sz w:val="20"/>
          <w:szCs w:val="20"/>
          <w:color w:val="auto"/>
        </w:rPr>
      </w:pPr>
    </w:p>
    <w:p>
      <w:pPr>
        <w:ind w:left="1880"/>
        <w:spacing w:after="0"/>
        <w:tabs>
          <w:tab w:leader="none" w:pos="248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6"/>
          <w:szCs w:val="16"/>
          <w:color w:val="auto"/>
        </w:rPr>
        <w:t>enter into an agreement to do any of the foregoing.</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Notwithstanding anything to the contrary in this Section 3.3, such approval of the Requisite Holders or holders of Preferred Stock shall not be required with respect to actions contemplated by any agreements entered into between the Corporation and its stockholder(s) on or prior to the date hereof.</w:t>
      </w:r>
    </w:p>
    <w:p>
      <w:pPr>
        <w:spacing w:after="0" w:line="181" w:lineRule="exact"/>
        <w:rPr>
          <w:sz w:val="20"/>
          <w:szCs w:val="20"/>
          <w:color w:val="auto"/>
        </w:rPr>
      </w:pPr>
    </w:p>
    <w:p>
      <w:pPr>
        <w:jc w:val="both"/>
        <w:ind w:firstLine="1433"/>
        <w:spacing w:after="0" w:line="255" w:lineRule="auto"/>
        <w:rPr>
          <w:sz w:val="20"/>
          <w:szCs w:val="20"/>
          <w:color w:val="auto"/>
        </w:rPr>
      </w:pPr>
      <w:r>
        <w:rPr>
          <w:rFonts w:ascii="Arial" w:cs="Arial" w:eastAsia="Arial" w:hAnsi="Arial"/>
          <w:sz w:val="18"/>
          <w:szCs w:val="18"/>
          <w:u w:val="single" w:color="auto"/>
          <w:color w:val="auto"/>
        </w:rPr>
        <w:t>3.4 Series Seed and Series A Preferred Stock Protective Provision</w:t>
      </w:r>
      <w:r>
        <w:rPr>
          <w:rFonts w:ascii="Arial" w:cs="Arial" w:eastAsia="Arial" w:hAnsi="Arial"/>
          <w:sz w:val="18"/>
          <w:szCs w:val="18"/>
          <w:color w:val="auto"/>
        </w:rPr>
        <w:t>. At any time when at least an aggregate of 9,140,000 shares of Series Seed Preferred Stock and Series A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or otherwise, increase the authorized number of shares of Series Seed Preferred Stock or Series A Preferred Stock without (in addition to any other vote required by law or the Certificate of Incorporation) the written consent or affirmative vote of the Seed and A Preferred Majority.</w:t>
      </w:r>
    </w:p>
    <w:p>
      <w:pPr>
        <w:spacing w:after="0" w:line="193" w:lineRule="exact"/>
        <w:rPr>
          <w:sz w:val="20"/>
          <w:szCs w:val="20"/>
          <w:color w:val="auto"/>
        </w:rPr>
      </w:pPr>
    </w:p>
    <w:p>
      <w:pPr>
        <w:ind w:left="1200" w:hanging="315"/>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firstLine="1873"/>
        <w:spacing w:after="0" w:line="27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initial Conversion Price per share for the Series Seed Preferred</w:t>
      </w:r>
    </w:p>
    <w:p>
      <w:pPr>
        <w:sectPr>
          <w:pgSz w:w="11900" w:h="16838" w:orient="portrait"/>
          <w:cols w:equalWidth="0" w:num="1">
            <w:col w:w="11020"/>
          </w:cols>
          <w:pgMar w:left="440" w:top="274" w:right="439" w:bottom="1440" w:gutter="0" w:footer="0" w:header="0"/>
        </w:sectPr>
      </w:pPr>
    </w:p>
    <w:bookmarkStart w:id="233" w:name="page234"/>
    <w:bookmarkEnd w:id="23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shall be the Series Seed Original Issue Price, the initial Conversion Price per share for the Series A Preferred Stock shall be the Series A Original Issue Price, and the initial Conversion Price per share for the Series B Preferred Stock shall be the Series B Original Issue Price (as applicable, the “</w:t>
      </w:r>
      <w:r>
        <w:rPr>
          <w:rFonts w:ascii="Arial" w:cs="Arial" w:eastAsia="Arial" w:hAnsi="Arial"/>
          <w:sz w:val="18"/>
          <w:szCs w:val="18"/>
          <w:b w:val="1"/>
          <w:bCs w:val="1"/>
          <w:color w:val="auto"/>
        </w:rPr>
        <w:t>Conversion Price</w:t>
      </w:r>
      <w:r>
        <w:rPr>
          <w:rFonts w:ascii="Arial" w:cs="Arial" w:eastAsia="Arial" w:hAnsi="Arial"/>
          <w:sz w:val="18"/>
          <w:szCs w:val="18"/>
          <w:color w:val="auto"/>
        </w:rPr>
        <w:t>”). Such initial Conversion Prices, and the rate at which shares of Preferred Stock may be converted into shares of Common Stock, shall be subject to adjustment as provided below.</w:t>
      </w:r>
    </w:p>
    <w:p>
      <w:pPr>
        <w:spacing w:after="0" w:line="187" w:lineRule="exact"/>
        <w:rPr>
          <w:sz w:val="20"/>
          <w:szCs w:val="20"/>
          <w:color w:val="auto"/>
        </w:rPr>
      </w:pPr>
    </w:p>
    <w:p>
      <w:pPr>
        <w:jc w:val="both"/>
        <w:ind w:firstLine="1873"/>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1" w:lineRule="exact"/>
        <w:rPr>
          <w:sz w:val="20"/>
          <w:szCs w:val="20"/>
          <w:color w:val="auto"/>
        </w:rPr>
      </w:pPr>
    </w:p>
    <w:p>
      <w:pPr>
        <w:jc w:val="both"/>
        <w:ind w:firstLine="1433"/>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73"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5" w:lineRule="exact"/>
        <w:rPr>
          <w:sz w:val="20"/>
          <w:szCs w:val="20"/>
          <w:color w:val="auto"/>
        </w:rPr>
      </w:pPr>
    </w:p>
    <w:p>
      <w:pPr>
        <w:jc w:val="both"/>
        <w:ind w:firstLine="1873"/>
        <w:spacing w:after="0" w:line="268"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and the shares of Common Stock issuable upon conversion of the specified shares shall be deemed to be outstanding of record as of such date. The Corporation shall, as soon as practicable after the Conversion Time (i) issue and</w:t>
      </w:r>
    </w:p>
    <w:p>
      <w:pPr>
        <w:sectPr>
          <w:pgSz w:w="11900" w:h="16838" w:orient="portrait"/>
          <w:cols w:equalWidth="0" w:num="1">
            <w:col w:w="11020"/>
          </w:cols>
          <w:pgMar w:left="440" w:top="274" w:right="439" w:bottom="1440" w:gutter="0" w:footer="0" w:header="0"/>
        </w:sectPr>
      </w:pPr>
    </w:p>
    <w:bookmarkStart w:id="234" w:name="page235"/>
    <w:bookmarkEnd w:id="23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188" w:lineRule="exact"/>
        <w:rPr>
          <w:sz w:val="20"/>
          <w:szCs w:val="20"/>
          <w:color w:val="auto"/>
        </w:rPr>
      </w:pPr>
    </w:p>
    <w:p>
      <w:pPr>
        <w:jc w:val="both"/>
        <w:ind w:firstLine="1873"/>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9"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jc w:val="both"/>
        <w:ind w:firstLine="1873"/>
        <w:spacing w:after="0" w:line="308"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47" w:lineRule="exact"/>
        <w:rPr>
          <w:sz w:val="20"/>
          <w:szCs w:val="20"/>
          <w:color w:val="auto"/>
        </w:rPr>
      </w:pPr>
    </w:p>
    <w:p>
      <w:pPr>
        <w:jc w:val="both"/>
        <w:ind w:firstLine="1873"/>
        <w:spacing w:after="0" w:line="259"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which may be payable in respect of any transfer involved in the issuance and delivery of shares of Common Stock in a name other</w:t>
      </w:r>
    </w:p>
    <w:p>
      <w:pPr>
        <w:sectPr>
          <w:pgSz w:w="11900" w:h="16838" w:orient="portrait"/>
          <w:cols w:equalWidth="0" w:num="1">
            <w:col w:w="11020"/>
          </w:cols>
          <w:pgMar w:left="440" w:top="274" w:right="439" w:bottom="1440" w:gutter="0" w:footer="0" w:header="0"/>
        </w:sectPr>
      </w:pPr>
    </w:p>
    <w:bookmarkStart w:id="235" w:name="page236"/>
    <w:bookmarkEnd w:id="23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1"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113" w:lineRule="exact"/>
        <w:rPr>
          <w:sz w:val="20"/>
          <w:szCs w:val="20"/>
          <w:color w:val="auto"/>
        </w:rPr>
      </w:pPr>
    </w:p>
    <w:p>
      <w:pPr>
        <w:ind w:left="2720" w:hanging="402"/>
        <w:spacing w:after="0"/>
        <w:tabs>
          <w:tab w:leader="none" w:pos="27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99" w:lineRule="exact"/>
        <w:rPr>
          <w:sz w:val="20"/>
          <w:szCs w:val="20"/>
          <w:color w:val="auto"/>
        </w:rPr>
      </w:pPr>
    </w:p>
    <w:p>
      <w:pPr>
        <w:ind w:left="2780" w:hanging="462"/>
        <w:spacing w:after="0"/>
        <w:tabs>
          <w:tab w:leader="none" w:pos="27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B Original Issue Date</w:t>
      </w:r>
      <w:r>
        <w:rPr>
          <w:rFonts w:ascii="Arial" w:cs="Arial" w:eastAsia="Arial" w:hAnsi="Arial"/>
          <w:sz w:val="17"/>
          <w:szCs w:val="17"/>
          <w:color w:val="auto"/>
        </w:rPr>
        <w:t>” shall mean the date on which the first share of Series B Preferred Stock was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99" w:lineRule="exact"/>
        <w:rPr>
          <w:sz w:val="20"/>
          <w:szCs w:val="20"/>
          <w:color w:val="auto"/>
        </w:rPr>
      </w:pPr>
    </w:p>
    <w:p>
      <w:pPr>
        <w:ind w:firstLine="2318"/>
        <w:spacing w:after="0" w:line="282" w:lineRule="auto"/>
        <w:tabs>
          <w:tab w:leader="none" w:pos="26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8"/>
          <w:szCs w:val="18"/>
          <w:color w:val="auto"/>
        </w:rPr>
      </w:pPr>
    </w:p>
    <w:p>
      <w:pPr>
        <w:jc w:val="both"/>
        <w:ind w:firstLine="2318"/>
        <w:spacing w:after="0" w:line="261" w:lineRule="auto"/>
        <w:tabs>
          <w:tab w:leader="none" w:pos="286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 Subsection 4.4.3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20" w:hanging="351"/>
        <w:spacing w:after="0"/>
        <w:tabs>
          <w:tab w:leader="none" w:pos="3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shares of Common Stock actually issued upon the conversion of Preferred Stock;</w:t>
      </w:r>
    </w:p>
    <w:p>
      <w:pPr>
        <w:spacing w:after="0" w:line="117" w:lineRule="exact"/>
        <w:rPr>
          <w:rFonts w:ascii="Arial" w:cs="Arial" w:eastAsia="Arial" w:hAnsi="Arial"/>
          <w:sz w:val="18"/>
          <w:szCs w:val="18"/>
          <w:color w:val="auto"/>
        </w:rPr>
      </w:pPr>
    </w:p>
    <w:p>
      <w:pPr>
        <w:ind w:left="3420" w:hanging="551"/>
        <w:spacing w:after="0"/>
        <w:tabs>
          <w:tab w:leader="none" w:pos="34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102" w:lineRule="exact"/>
        <w:rPr>
          <w:rFonts w:ascii="Arial" w:cs="Arial" w:eastAsia="Arial" w:hAnsi="Arial"/>
          <w:sz w:val="17"/>
          <w:szCs w:val="17"/>
          <w:color w:val="auto"/>
        </w:rPr>
      </w:pPr>
    </w:p>
    <w:p>
      <w:pPr>
        <w:ind w:left="3380" w:hanging="511"/>
        <w:spacing w:after="0"/>
        <w:tabs>
          <w:tab w:leader="none" w:pos="33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by reason of a dividend, stock split,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split-up or other distribution on shares of Common Stock that is covered by Subsection 4.5, 4.6, 4.7 or 4.8;</w:t>
      </w:r>
    </w:p>
    <w:p>
      <w:pPr>
        <w:spacing w:after="0" w:line="102" w:lineRule="exact"/>
        <w:rPr>
          <w:rFonts w:ascii="Arial" w:cs="Arial" w:eastAsia="Arial" w:hAnsi="Arial"/>
          <w:sz w:val="16"/>
          <w:szCs w:val="16"/>
          <w:color w:val="auto"/>
        </w:rPr>
      </w:pPr>
    </w:p>
    <w:p>
      <w:pPr>
        <w:jc w:val="both"/>
        <w:ind w:firstLine="2869"/>
        <w:spacing w:after="0" w:line="312" w:lineRule="auto"/>
        <w:tabs>
          <w:tab w:leader="none" w:pos="332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 including the approval of a majority of the Preferred Directors (which majority shall include the Series B Director), or approved by the Requisite Holders;</w:t>
      </w:r>
    </w:p>
    <w:p>
      <w:pPr>
        <w:spacing w:after="0" w:line="38" w:lineRule="exact"/>
        <w:rPr>
          <w:rFonts w:ascii="Arial" w:cs="Arial" w:eastAsia="Arial" w:hAnsi="Arial"/>
          <w:sz w:val="16"/>
          <w:szCs w:val="16"/>
          <w:color w:val="auto"/>
        </w:rPr>
      </w:pPr>
    </w:p>
    <w:p>
      <w:pPr>
        <w:jc w:val="both"/>
        <w:ind w:firstLine="2869"/>
        <w:spacing w:after="0" w:line="264" w:lineRule="auto"/>
        <w:tabs>
          <w:tab w:leader="none" w:pos="32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ectPr>
          <w:pgSz w:w="11900" w:h="16838" w:orient="portrait"/>
          <w:cols w:equalWidth="0" w:num="1">
            <w:col w:w="11020"/>
          </w:cols>
          <w:pgMar w:left="440" w:top="274" w:right="439" w:bottom="1440" w:gutter="0" w:footer="0" w:header="0"/>
        </w:sectPr>
      </w:pPr>
    </w:p>
    <w:bookmarkStart w:id="236" w:name="page237"/>
    <w:bookmarkEnd w:id="236"/>
    <w:p>
      <w:pPr>
        <w:jc w:val="both"/>
        <w:ind w:firstLine="2869"/>
        <w:spacing w:after="0" w:line="259" w:lineRule="auto"/>
        <w:tabs>
          <w:tab w:leader="none" w:pos="33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Options or Convertible Securities issued to banks, equipment lessors or other financial institutions, real property lessors, or to other persons engaged in the business of making loans, pursuant to a debt financing, equipment leasing or real property leasing transaction approved by the Board of Directors of the Corporation, including the approval of a majority of the Preferred Directors (which majority shall include the Series B Director), or approved by the Requisite Holders;</w:t>
      </w:r>
    </w:p>
    <w:p>
      <w:pPr>
        <w:spacing w:after="0" w:line="78" w:lineRule="exact"/>
        <w:rPr>
          <w:rFonts w:ascii="Arial" w:cs="Arial" w:eastAsia="Arial" w:hAnsi="Arial"/>
          <w:sz w:val="18"/>
          <w:szCs w:val="18"/>
          <w:color w:val="auto"/>
        </w:rPr>
      </w:pPr>
    </w:p>
    <w:p>
      <w:pPr>
        <w:jc w:val="both"/>
        <w:ind w:firstLine="2869"/>
        <w:spacing w:after="0" w:line="259" w:lineRule="auto"/>
        <w:tabs>
          <w:tab w:leader="none" w:pos="34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including the approval of a majority of the Preferred Directors (which majority shall include the Series B Director), or approved by the Requisite Holders;</w:t>
      </w:r>
    </w:p>
    <w:p>
      <w:pPr>
        <w:spacing w:after="0" w:line="78" w:lineRule="exact"/>
        <w:rPr>
          <w:rFonts w:ascii="Arial" w:cs="Arial" w:eastAsia="Arial" w:hAnsi="Arial"/>
          <w:sz w:val="18"/>
          <w:szCs w:val="18"/>
          <w:color w:val="auto"/>
        </w:rPr>
      </w:pPr>
    </w:p>
    <w:p>
      <w:pPr>
        <w:jc w:val="both"/>
        <w:ind w:firstLine="2869"/>
        <w:spacing w:after="0" w:line="259" w:lineRule="auto"/>
        <w:tabs>
          <w:tab w:leader="none" w:pos="3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 majority of the Preferred Directors (which majority shall include the Series B Director), or approved by the Requisite Holders;</w:t>
      </w:r>
    </w:p>
    <w:p>
      <w:pPr>
        <w:spacing w:after="0" w:line="78" w:lineRule="exact"/>
        <w:rPr>
          <w:rFonts w:ascii="Arial" w:cs="Arial" w:eastAsia="Arial" w:hAnsi="Arial"/>
          <w:sz w:val="18"/>
          <w:szCs w:val="18"/>
          <w:color w:val="auto"/>
        </w:rPr>
      </w:pPr>
    </w:p>
    <w:p>
      <w:pPr>
        <w:jc w:val="both"/>
        <w:ind w:firstLine="2869"/>
        <w:spacing w:after="0" w:line="259" w:lineRule="auto"/>
        <w:tabs>
          <w:tab w:leader="none" w:pos="33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 (which majority shall include the Series B Director), or approved by the Requisite Holders;</w:t>
      </w:r>
    </w:p>
    <w:p>
      <w:pPr>
        <w:spacing w:after="0" w:line="78" w:lineRule="exact"/>
        <w:rPr>
          <w:rFonts w:ascii="Arial" w:cs="Arial" w:eastAsia="Arial" w:hAnsi="Arial"/>
          <w:sz w:val="18"/>
          <w:szCs w:val="18"/>
          <w:color w:val="auto"/>
        </w:rPr>
      </w:pPr>
    </w:p>
    <w:p>
      <w:pPr>
        <w:ind w:left="3260" w:hanging="391"/>
        <w:spacing w:after="0"/>
        <w:tabs>
          <w:tab w:leader="none" w:pos="3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Series B Preferred Stock issued pursuant to the Purchase Agreement; and</w:t>
      </w:r>
    </w:p>
    <w:p>
      <w:pPr>
        <w:spacing w:after="0" w:line="117" w:lineRule="exact"/>
        <w:rPr>
          <w:rFonts w:ascii="Arial" w:cs="Arial" w:eastAsia="Arial" w:hAnsi="Arial"/>
          <w:sz w:val="18"/>
          <w:szCs w:val="18"/>
          <w:color w:val="auto"/>
        </w:rPr>
      </w:pPr>
    </w:p>
    <w:p>
      <w:pPr>
        <w:jc w:val="both"/>
        <w:ind w:firstLine="2869"/>
        <w:spacing w:after="0" w:line="264" w:lineRule="auto"/>
        <w:tabs>
          <w:tab w:leader="none" w:pos="33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Common Stock issued or issuable in a firm-commitment underwritten public offering pursuant to an effective registration statement under the Securities Act of 1933, as amended, before which or in connection with which all outstanding shares of Preferred Stock will be automatically converted into Common Stock pursuant to Section 5.1 below.</w:t>
      </w:r>
    </w:p>
    <w:p>
      <w:pPr>
        <w:spacing w:after="0" w:line="181"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 Additional Limitation</w:t>
      </w:r>
      <w:r>
        <w:rPr>
          <w:rFonts w:ascii="Arial" w:cs="Arial" w:eastAsia="Arial" w:hAnsi="Arial"/>
          <w:sz w:val="18"/>
          <w:szCs w:val="18"/>
          <w:color w:val="auto"/>
        </w:rPr>
        <w:t>. No adjustment in the applicable Conversion Price shall be made as the result of the issuance or deemed issuance of Additional Shares of Common Stock if the Corporation receives written notice from holders of each of (i) the Requisite Holders and (ii) at least sixty-five percent (65%) of the outstanding shares of Series B Preferred Stock (voting as a separate class, on an as-converted to Common Stock basis) agreeing that no such adjustment shall be made as the result of the issuance or deemed issuance of such Additional Shares of Common Stock. For the avoidance of doubt, in no event shall there be any adjustment to the Conversion Price of any series of Preferred Stock if the issuance (or deemed issuance) of the applicable shares causing such adjustment has been previously approved by each of (i) the Requisite</w:t>
      </w:r>
    </w:p>
    <w:p>
      <w:pPr>
        <w:sectPr>
          <w:pgSz w:w="11900" w:h="16838" w:orient="portrait"/>
          <w:cols w:equalWidth="0" w:num="1">
            <w:col w:w="11020"/>
          </w:cols>
          <w:pgMar w:left="440" w:top="274" w:right="439" w:bottom="1440" w:gutter="0" w:footer="0" w:header="0"/>
        </w:sectPr>
      </w:pPr>
    </w:p>
    <w:bookmarkStart w:id="237" w:name="page238"/>
    <w:bookmarkEnd w:id="237"/>
    <w:p>
      <w:pPr>
        <w:jc w:val="center"/>
        <w:ind w:right="2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and (ii) the holders of at least sixty-five percent (65%) of the outstanding shares of Series B Preferred Stock.</w:t>
      </w:r>
    </w:p>
    <w:p>
      <w:pPr>
        <w:spacing w:after="0" w:line="248"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7" w:lineRule="exact"/>
        <w:rPr>
          <w:sz w:val="20"/>
          <w:szCs w:val="20"/>
          <w:color w:val="auto"/>
        </w:rPr>
      </w:pPr>
    </w:p>
    <w:p>
      <w:pPr>
        <w:jc w:val="both"/>
        <w:ind w:firstLine="2318"/>
        <w:spacing w:after="0" w:line="254" w:lineRule="auto"/>
        <w:tabs>
          <w:tab w:leader="none" w:pos="269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84" w:lineRule="exact"/>
        <w:rPr>
          <w:rFonts w:ascii="Arial" w:cs="Arial" w:eastAsia="Arial" w:hAnsi="Arial"/>
          <w:sz w:val="18"/>
          <w:szCs w:val="18"/>
          <w:color w:val="auto"/>
        </w:rPr>
      </w:pPr>
    </w:p>
    <w:p>
      <w:pPr>
        <w:jc w:val="both"/>
        <w:ind w:firstLine="2318"/>
        <w:spacing w:after="0" w:line="286" w:lineRule="auto"/>
        <w:tabs>
          <w:tab w:leader="none" w:pos="28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terms of any Option or Convertible Security, the issuance of which resulted in an adjustment to the applicable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the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6" w:lineRule="exact"/>
        <w:rPr>
          <w:rFonts w:ascii="Arial" w:cs="Arial" w:eastAsia="Arial" w:hAnsi="Arial"/>
          <w:sz w:val="16"/>
          <w:szCs w:val="16"/>
          <w:color w:val="auto"/>
        </w:rPr>
      </w:pPr>
    </w:p>
    <w:p>
      <w:pPr>
        <w:jc w:val="both"/>
        <w:ind w:firstLine="2318"/>
        <w:spacing w:after="0" w:line="257" w:lineRule="auto"/>
        <w:tabs>
          <w:tab w:leader="none" w:pos="283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terms of any Option or Convertible Security (excluding Options or Convertible Securities which are themselves Exempted Securities), the issuance of which did not result in an adjustment to the applicable Conversion Price pursuant to the terms of Subsection 4.4.4 (either because the consideration per share (determined pursuant to Subsection 4.4.5) of the Additional Shares of Common Stock subject thereto was equal to or greater than the applicable Conversion Price then in effect, or because such Option or Convertible Security was issued before the Series B Original Issue Date), are revised after the Series B Original</w:t>
      </w:r>
    </w:p>
    <w:p>
      <w:pPr>
        <w:sectPr>
          <w:pgSz w:w="11900" w:h="16838" w:orient="portrait"/>
          <w:cols w:equalWidth="0" w:num="1">
            <w:col w:w="11020"/>
          </w:cols>
          <w:pgMar w:left="440" w:top="274" w:right="439" w:bottom="1440" w:gutter="0" w:footer="0" w:header="0"/>
        </w:sectPr>
      </w:pPr>
    </w:p>
    <w:bookmarkStart w:id="238" w:name="page239"/>
    <w:bookmarkEnd w:id="238"/>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70" w:lineRule="exact"/>
        <w:rPr>
          <w:sz w:val="20"/>
          <w:szCs w:val="20"/>
          <w:color w:val="auto"/>
        </w:rPr>
      </w:pPr>
    </w:p>
    <w:p>
      <w:pPr>
        <w:jc w:val="both"/>
        <w:ind w:firstLine="2318"/>
        <w:spacing w:after="0" w:line="259" w:lineRule="auto"/>
        <w:tabs>
          <w:tab w:leader="none" w:pos="285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Subsection 4.4.4, the applicable Conversion Price shall be readjusted to the applicable Conversion Price as would have obtained had such Option or Convertible Security (or portion thereof) never been issued.</w:t>
      </w:r>
    </w:p>
    <w:p>
      <w:pPr>
        <w:spacing w:after="0" w:line="78" w:lineRule="exact"/>
        <w:rPr>
          <w:rFonts w:ascii="Arial" w:cs="Arial" w:eastAsia="Arial" w:hAnsi="Arial"/>
          <w:sz w:val="18"/>
          <w:szCs w:val="18"/>
          <w:color w:val="auto"/>
        </w:rPr>
      </w:pPr>
    </w:p>
    <w:p>
      <w:pPr>
        <w:jc w:val="both"/>
        <w:ind w:firstLine="2318"/>
        <w:spacing w:after="0" w:line="287" w:lineRule="auto"/>
        <w:tabs>
          <w:tab w:leader="none" w:pos="269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3" w:lineRule="exact"/>
        <w:rPr>
          <w:sz w:val="20"/>
          <w:szCs w:val="20"/>
          <w:color w:val="auto"/>
        </w:rPr>
      </w:pPr>
    </w:p>
    <w:p>
      <w:pPr>
        <w:jc w:val="both"/>
        <w:ind w:firstLine="1873"/>
        <w:spacing w:after="0" w:line="257"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the Conversion Price Upon Issuance of Additional Shares of Common Stock</w:t>
      </w:r>
      <w:r>
        <w:rPr>
          <w:rFonts w:ascii="Arial" w:cs="Arial" w:eastAsia="Arial" w:hAnsi="Arial"/>
          <w:sz w:val="18"/>
          <w:szCs w:val="18"/>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without consideration or for a consideration per share less than the applicable Conversion Price in effect immediately prior to such issue, then the applicable Conversion Price shall be reduced, concurrently with such issue, to a price (calculated to the nearest one-hundredth of a cent) determined in accordance with the following formula:</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ectPr>
          <w:pgSz w:w="11900" w:h="16838" w:orient="portrait"/>
          <w:cols w:equalWidth="0" w:num="1">
            <w:col w:w="11020"/>
          </w:cols>
          <w:pgMar w:left="440" w:top="274" w:right="439" w:bottom="1440" w:gutter="0" w:footer="0" w:header="0"/>
        </w:sectPr>
      </w:pPr>
    </w:p>
    <w:bookmarkStart w:id="239" w:name="page240"/>
    <w:bookmarkEnd w:id="239"/>
    <w:p>
      <w:pPr>
        <w:ind w:left="2720" w:hanging="402"/>
        <w:spacing w:after="0"/>
        <w:tabs>
          <w:tab w:leader="none" w:pos="27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“CP</w:t>
      </w:r>
      <w:r>
        <w:rPr>
          <w:rFonts w:ascii="Arial" w:cs="Arial" w:eastAsia="Arial" w:hAnsi="Arial"/>
          <w:sz w:val="13"/>
          <w:szCs w:val="13"/>
          <w:color w:val="auto"/>
        </w:rPr>
        <w:t>2</w:t>
      </w:r>
      <w:r>
        <w:rPr>
          <w:rFonts w:ascii="Arial" w:cs="Arial" w:eastAsia="Arial" w:hAnsi="Arial"/>
          <w:sz w:val="16"/>
          <w:szCs w:val="16"/>
          <w:color w:val="auto"/>
        </w:rPr>
        <w:t>” shall mean the applicable Conversion Price in effect immediately after such issue of Additional Shares of</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1" w:lineRule="exact"/>
        <w:rPr>
          <w:sz w:val="20"/>
          <w:szCs w:val="20"/>
          <w:color w:val="auto"/>
        </w:rPr>
      </w:pPr>
    </w:p>
    <w:p>
      <w:pPr>
        <w:ind w:left="2320"/>
        <w:spacing w:after="0"/>
        <w:tabs>
          <w:tab w:leader="none" w:pos="2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“CP</w:t>
      </w:r>
      <w:r>
        <w:rPr>
          <w:rFonts w:ascii="Arial" w:cs="Arial" w:eastAsia="Arial" w:hAnsi="Arial"/>
          <w:sz w:val="13"/>
          <w:szCs w:val="13"/>
          <w:color w:val="auto"/>
        </w:rPr>
        <w:t>1</w:t>
      </w:r>
      <w:r>
        <w:rPr>
          <w:rFonts w:ascii="Arial" w:cs="Arial" w:eastAsia="Arial" w:hAnsi="Arial"/>
          <w:sz w:val="16"/>
          <w:szCs w:val="16"/>
          <w:color w:val="auto"/>
        </w:rPr>
        <w:t>” shall mean the applicable Conversion Price in effect immediately prior to such issue of Additional Shares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1" w:lineRule="exact"/>
        <w:rPr>
          <w:sz w:val="20"/>
          <w:szCs w:val="20"/>
          <w:color w:val="auto"/>
        </w:rPr>
      </w:pPr>
    </w:p>
    <w:p>
      <w:pPr>
        <w:jc w:val="both"/>
        <w:ind w:firstLine="2318"/>
        <w:spacing w:after="0" w:line="259" w:lineRule="auto"/>
        <w:tabs>
          <w:tab w:leader="none" w:pos="276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8" w:lineRule="exact"/>
        <w:rPr>
          <w:rFonts w:ascii="Arial" w:cs="Arial" w:eastAsia="Arial" w:hAnsi="Arial"/>
          <w:sz w:val="18"/>
          <w:szCs w:val="18"/>
          <w:color w:val="auto"/>
        </w:rPr>
      </w:pPr>
    </w:p>
    <w:p>
      <w:pPr>
        <w:jc w:val="both"/>
        <w:ind w:firstLine="2318"/>
        <w:spacing w:after="0" w:line="275" w:lineRule="auto"/>
        <w:tabs>
          <w:tab w:leader="none" w:pos="27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2700" w:hanging="382"/>
        <w:spacing w:after="0"/>
        <w:tabs>
          <w:tab w:leader="none" w:pos="2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firstLine="187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sz w:val="20"/>
          <w:szCs w:val="20"/>
          <w:color w:val="auto"/>
        </w:rPr>
      </w:pPr>
    </w:p>
    <w:p>
      <w:pPr>
        <w:ind w:left="2700" w:hanging="382"/>
        <w:spacing w:after="0"/>
        <w:tabs>
          <w:tab w:leader="none" w:pos="2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firstLine="2869"/>
        <w:spacing w:after="0" w:line="277" w:lineRule="auto"/>
        <w:tabs>
          <w:tab w:leader="none" w:pos="327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62" w:lineRule="exact"/>
        <w:rPr>
          <w:rFonts w:ascii="Arial" w:cs="Arial" w:eastAsia="Arial" w:hAnsi="Arial"/>
          <w:sz w:val="18"/>
          <w:szCs w:val="18"/>
          <w:color w:val="auto"/>
        </w:rPr>
      </w:pPr>
    </w:p>
    <w:p>
      <w:pPr>
        <w:jc w:val="both"/>
        <w:ind w:firstLine="2869"/>
        <w:spacing w:after="0" w:line="264" w:lineRule="auto"/>
        <w:tabs>
          <w:tab w:leader="none" w:pos="327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including a majority of the Preferred Directors as determined in good faith;</w:t>
      </w:r>
    </w:p>
    <w:p>
      <w:pPr>
        <w:spacing w:after="0" w:line="73" w:lineRule="exact"/>
        <w:rPr>
          <w:rFonts w:ascii="Arial" w:cs="Arial" w:eastAsia="Arial" w:hAnsi="Arial"/>
          <w:sz w:val="18"/>
          <w:szCs w:val="18"/>
          <w:color w:val="auto"/>
        </w:rPr>
      </w:pPr>
    </w:p>
    <w:p>
      <w:pPr>
        <w:jc w:val="both"/>
        <w:ind w:firstLine="2869"/>
        <w:spacing w:after="0" w:line="279" w:lineRule="auto"/>
        <w:tabs>
          <w:tab w:leader="none" w:pos="338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 including a majority of the Preferred Directors (which majority shall include the Series B Director) as determined in good faith, or as determined in good faith by the Requisite Holders.</w:t>
      </w:r>
    </w:p>
    <w:p>
      <w:pPr>
        <w:spacing w:after="0" w:line="63" w:lineRule="exact"/>
        <w:rPr>
          <w:rFonts w:ascii="Arial" w:cs="Arial" w:eastAsia="Arial" w:hAnsi="Arial"/>
          <w:sz w:val="17"/>
          <w:szCs w:val="17"/>
          <w:color w:val="auto"/>
        </w:rPr>
      </w:pPr>
    </w:p>
    <w:p>
      <w:pPr>
        <w:jc w:val="both"/>
        <w:ind w:firstLine="2318"/>
        <w:spacing w:after="0" w:line="264" w:lineRule="auto"/>
        <w:tabs>
          <w:tab w:leader="none" w:pos="270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ectPr>
          <w:pgSz w:w="11900" w:h="16838" w:orient="portrait"/>
          <w:cols w:equalWidth="0" w:num="1">
            <w:col w:w="11020"/>
          </w:cols>
          <w:pgMar w:left="440" w:top="274" w:right="439" w:bottom="1440" w:gutter="0" w:footer="0" w:header="0"/>
        </w:sectPr>
      </w:pPr>
    </w:p>
    <w:bookmarkStart w:id="240" w:name="page241"/>
    <w:bookmarkEnd w:id="240"/>
    <w:p>
      <w:pPr>
        <w:jc w:val="both"/>
        <w:ind w:firstLine="2869"/>
        <w:spacing w:after="0" w:line="276" w:lineRule="auto"/>
        <w:tabs>
          <w:tab w:leader="none" w:pos="3282"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64" w:lineRule="exact"/>
        <w:rPr>
          <w:rFonts w:ascii="Arial" w:cs="Arial" w:eastAsia="Arial" w:hAnsi="Arial"/>
          <w:sz w:val="17"/>
          <w:szCs w:val="17"/>
          <w:color w:val="auto"/>
        </w:rPr>
      </w:pPr>
    </w:p>
    <w:p>
      <w:pPr>
        <w:jc w:val="both"/>
        <w:ind w:firstLine="2869"/>
        <w:spacing w:after="0" w:line="259" w:lineRule="auto"/>
        <w:tabs>
          <w:tab w:leader="none" w:pos="328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In the event the Corporation shall issue on more than one date Additional Shares of Common Stock that are a part of one transaction or a series of related transactions and that would result in an adjustment to the applicable Conversion Price pursuant to the terms of Subsection 4.4.4,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3" w:lineRule="exact"/>
        <w:rPr>
          <w:sz w:val="20"/>
          <w:szCs w:val="20"/>
          <w:color w:val="auto"/>
        </w:rPr>
      </w:pPr>
    </w:p>
    <w:p>
      <w:pPr>
        <w:jc w:val="both"/>
        <w:ind w:firstLine="1433"/>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B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6" w:lineRule="exact"/>
        <w:rPr>
          <w:sz w:val="20"/>
          <w:szCs w:val="20"/>
          <w:color w:val="auto"/>
        </w:rPr>
      </w:pPr>
    </w:p>
    <w:p>
      <w:pPr>
        <w:jc w:val="both"/>
        <w:ind w:firstLine="1433"/>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w:t>
      </w:r>
    </w:p>
    <w:p>
      <w:pPr>
        <w:sectPr>
          <w:pgSz w:w="11900" w:h="16838" w:orient="portrait"/>
          <w:cols w:equalWidth="0" w:num="1">
            <w:col w:w="11020"/>
          </w:cols>
          <w:pgMar w:left="440" w:top="274" w:right="43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been fixed, as of the close of business on such record date, by multiplying the applicable Conversion Price then in effect by a fraction:</w:t>
      </w:r>
    </w:p>
    <w:p>
      <w:pPr>
        <w:spacing w:after="0" w:line="129" w:lineRule="exact"/>
        <w:rPr>
          <w:sz w:val="20"/>
          <w:szCs w:val="20"/>
          <w:color w:val="auto"/>
        </w:rPr>
      </w:pPr>
    </w:p>
    <w:p>
      <w:pPr>
        <w:ind w:firstLine="1877"/>
        <w:spacing w:after="0" w:line="277" w:lineRule="auto"/>
        <w:tabs>
          <w:tab w:leader="none" w:pos="229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62" w:lineRule="exact"/>
        <w:rPr>
          <w:rFonts w:ascii="Arial" w:cs="Arial" w:eastAsia="Arial" w:hAnsi="Arial"/>
          <w:sz w:val="18"/>
          <w:szCs w:val="18"/>
          <w:color w:val="auto"/>
        </w:rPr>
      </w:pPr>
    </w:p>
    <w:p>
      <w:pPr>
        <w:jc w:val="both"/>
        <w:ind w:firstLine="1877"/>
        <w:spacing w:after="0" w:line="264" w:lineRule="auto"/>
        <w:tabs>
          <w:tab w:leader="none" w:pos="23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jc w:val="both"/>
        <w:ind w:firstLine="4"/>
        <w:spacing w:after="0" w:line="255" w:lineRule="auto"/>
        <w:tabs>
          <w:tab w:leader="none" w:pos="2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0" w:lineRule="exact"/>
        <w:rPr>
          <w:sz w:val="20"/>
          <w:szCs w:val="20"/>
          <w:color w:val="auto"/>
        </w:rPr>
      </w:pPr>
    </w:p>
    <w:p>
      <w:pPr>
        <w:jc w:val="both"/>
        <w:ind w:firstLine="1433"/>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8" w:lineRule="exact"/>
        <w:rPr>
          <w:sz w:val="20"/>
          <w:szCs w:val="20"/>
          <w:color w:val="auto"/>
        </w:rPr>
      </w:pPr>
    </w:p>
    <w:p>
      <w:pPr>
        <w:jc w:val="both"/>
        <w:ind w:firstLine="1433"/>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Adjustment for Merger or Reorganization, etc</w:t>
      </w:r>
      <w:r>
        <w:rPr>
          <w:rFonts w:ascii="Arial" w:cs="Arial" w:eastAsia="Arial" w:hAnsi="Arial"/>
          <w:sz w:val="18"/>
          <w:szCs w:val="18"/>
          <w:color w:val="auto"/>
        </w:rPr>
        <w:t>. Subject to the provisions of Subsection 2.5,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w:t>
      </w:r>
    </w:p>
    <w:p>
      <w:pPr>
        <w:sectPr>
          <w:pgSz w:w="11900" w:h="16838" w:orient="portrait"/>
          <w:cols w:equalWidth="0" w:num="1">
            <w:col w:w="11020"/>
          </w:cols>
          <w:pgMar w:left="440" w:top="274" w:right="439" w:bottom="1440" w:gutter="0" w:footer="0" w:header="0"/>
        </w:sectPr>
      </w:pPr>
    </w:p>
    <w:bookmarkStart w:id="242" w:name="page243"/>
    <w:bookmarkEnd w:id="242"/>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with respect to the rights and interests thereafter of the holders of Preferred Stock, to the end that the provisions set forth in this Section 4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For the avoidance of doubt, nothing in this Subsection 4.8 shall be construed as preventing the holders of Preferred Stock from seeking any appraisal rights to which they are otherwise entitled under the General Corporation Law in connection with a merger triggering an adjustment hereunder, nor shall this Subsection 4.8 be deemed conclusive evidence of the fair value of the shares of Preferred Stock in any such appraisal proceeding.</w:t>
      </w:r>
    </w:p>
    <w:p>
      <w:pPr>
        <w:spacing w:after="0" w:line="178" w:lineRule="exact"/>
        <w:rPr>
          <w:sz w:val="20"/>
          <w:szCs w:val="20"/>
          <w:color w:val="auto"/>
        </w:rPr>
      </w:pPr>
    </w:p>
    <w:p>
      <w:pPr>
        <w:jc w:val="both"/>
        <w:ind w:firstLine="1433"/>
        <w:spacing w:after="0" w:line="29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of the applicable Conversion Price pursuant to this Section 4,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66" w:lineRule="exact"/>
        <w:rPr>
          <w:sz w:val="20"/>
          <w:szCs w:val="20"/>
          <w:color w:val="auto"/>
        </w:rPr>
      </w:pPr>
    </w:p>
    <w:p>
      <w:pPr>
        <w:ind w:left="1440"/>
        <w:spacing w:after="0"/>
        <w:tabs>
          <w:tab w:leader="none" w:pos="19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117" w:lineRule="exact"/>
        <w:rPr>
          <w:sz w:val="20"/>
          <w:szCs w:val="20"/>
          <w:color w:val="auto"/>
        </w:rPr>
      </w:pPr>
    </w:p>
    <w:p>
      <w:pPr>
        <w:jc w:val="both"/>
        <w:ind w:firstLine="1877"/>
        <w:spacing w:after="0" w:line="286" w:lineRule="auto"/>
        <w:tabs>
          <w:tab w:leader="none" w:pos="230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57" w:lineRule="exact"/>
        <w:rPr>
          <w:rFonts w:ascii="Arial" w:cs="Arial" w:eastAsia="Arial" w:hAnsi="Arial"/>
          <w:sz w:val="17"/>
          <w:szCs w:val="17"/>
          <w:color w:val="auto"/>
        </w:rPr>
      </w:pPr>
    </w:p>
    <w:p>
      <w:pPr>
        <w:ind w:left="2320" w:hanging="443"/>
        <w:spacing w:after="0"/>
        <w:tabs>
          <w:tab w:leader="none" w:pos="2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102" w:lineRule="exact"/>
        <w:rPr>
          <w:rFonts w:ascii="Arial" w:cs="Arial" w:eastAsia="Arial" w:hAnsi="Arial"/>
          <w:sz w:val="16"/>
          <w:szCs w:val="16"/>
          <w:color w:val="auto"/>
        </w:rPr>
      </w:pPr>
    </w:p>
    <w:p>
      <w:pPr>
        <w:ind w:left="2260" w:hanging="383"/>
        <w:spacing w:after="0"/>
        <w:tabs>
          <w:tab w:leader="none" w:pos="2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jc w:val="both"/>
        <w:ind w:firstLine="4"/>
        <w:spacing w:after="0" w:line="271" w:lineRule="auto"/>
        <w:tabs>
          <w:tab w:leader="none" w:pos="22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w:t>
      </w:r>
    </w:p>
    <w:p>
      <w:pPr>
        <w:sectPr>
          <w:pgSz w:w="11900" w:h="16838" w:orient="portrait"/>
          <w:cols w:equalWidth="0" w:num="1">
            <w:col w:w="11020"/>
          </w:cols>
          <w:pgMar w:left="440" w:top="274" w:right="439" w:bottom="1440" w:gutter="0" w:footer="0" w:header="0"/>
        </w:sectPr>
      </w:pPr>
    </w:p>
    <w:bookmarkStart w:id="243" w:name="page244"/>
    <w:bookmarkEnd w:id="243"/>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liquidation or winding-up, and the amount per share and character of such exchange applicable to the Preferred Stock and the Common Stock. Such notice shall be sent at least ten (10) days prior to the record date or effective date for the event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either case, such notice period may be shortened and/or notice may be waived upon the Corporation’s receipt of written consent of the Requisite Holders.</w:t>
      </w:r>
    </w:p>
    <w:p>
      <w:pPr>
        <w:spacing w:after="0" w:line="147" w:lineRule="exact"/>
        <w:rPr>
          <w:sz w:val="20"/>
          <w:szCs w:val="20"/>
          <w:color w:val="auto"/>
        </w:rPr>
      </w:pPr>
    </w:p>
    <w:p>
      <w:pPr>
        <w:ind w:left="1200" w:hanging="315"/>
        <w:spacing w:after="0"/>
        <w:tabs>
          <w:tab w:leader="none" w:pos="12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in a firm-commitment underwritten public offering pursuant to an effective registration statement under the Securities Act of 1933, as amended, which offering results in at least $100,000,000 of gross proceeds to the Corporation or such offering is otherwise approved by vote or written consent of the Requisite Holders (a “</w:t>
      </w:r>
      <w:r>
        <w:rPr>
          <w:rFonts w:ascii="Arial" w:cs="Arial" w:eastAsia="Arial" w:hAnsi="Arial"/>
          <w:sz w:val="16"/>
          <w:szCs w:val="16"/>
          <w:b w:val="1"/>
          <w:bCs w:val="1"/>
          <w:color w:val="auto"/>
        </w:rPr>
        <w:t>Qualified IPO</w:t>
      </w:r>
      <w:r>
        <w:rPr>
          <w:rFonts w:ascii="Arial" w:cs="Arial" w:eastAsia="Arial" w:hAnsi="Arial"/>
          <w:sz w:val="16"/>
          <w:szCs w:val="16"/>
          <w:color w:val="auto"/>
        </w:rPr>
        <w:t>”), or (b) the date and time, or the occurrence of an event, specified by vote or written consent of each of (i) the Requisite Holders and</w:t>
      </w:r>
    </w:p>
    <w:p>
      <w:pPr>
        <w:spacing w:after="0" w:line="2" w:lineRule="exact"/>
        <w:rPr>
          <w:sz w:val="20"/>
          <w:szCs w:val="20"/>
          <w:color w:val="auto"/>
        </w:rPr>
      </w:pPr>
    </w:p>
    <w:p>
      <w:pPr>
        <w:jc w:val="both"/>
        <w:ind w:firstLine="4"/>
        <w:spacing w:after="0" w:line="254" w:lineRule="auto"/>
        <w:tabs>
          <w:tab w:leader="none" w:pos="2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holders of at least sixty-five percent (65%) of the outstanding shares of Series B Preferred Stock (the time of such closing or the date and time specified or the time of the event specified in such vote or written consent is referred to herein as the “</w:t>
      </w:r>
      <w:r>
        <w:rPr>
          <w:rFonts w:ascii="Arial" w:cs="Arial" w:eastAsia="Arial" w:hAnsi="Arial"/>
          <w:sz w:val="18"/>
          <w:szCs w:val="18"/>
          <w:b w:val="1"/>
          <w:bCs w:val="1"/>
          <w:color w:val="auto"/>
        </w:rPr>
        <w:t>Mandatory Conversion Time</w:t>
      </w:r>
      <w:r>
        <w:rPr>
          <w:rFonts w:ascii="Arial" w:cs="Arial" w:eastAsia="Arial" w:hAnsi="Arial"/>
          <w:sz w:val="18"/>
          <w:szCs w:val="18"/>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and (ii) such shares may not be reissued by the Corporation.</w:t>
      </w:r>
    </w:p>
    <w:p>
      <w:pPr>
        <w:spacing w:after="0" w:line="190" w:lineRule="exact"/>
        <w:rPr>
          <w:sz w:val="20"/>
          <w:szCs w:val="20"/>
          <w:color w:val="auto"/>
        </w:rPr>
      </w:pPr>
    </w:p>
    <w:p>
      <w:pPr>
        <w:jc w:val="both"/>
        <w:ind w:firstLine="1433"/>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and the payment of any declared but unpaid dividends on the shares of Preferred Stock converted. Such converted Preferred Stock</w:t>
      </w:r>
    </w:p>
    <w:p>
      <w:pPr>
        <w:sectPr>
          <w:pgSz w:w="11900" w:h="16838" w:orient="portrait"/>
          <w:cols w:equalWidth="0" w:num="1">
            <w:col w:w="11020"/>
          </w:cols>
          <w:pgMar w:left="440" w:top="274" w:right="439" w:bottom="1440" w:gutter="0" w:footer="0" w:header="0"/>
        </w:sectPr>
      </w:pPr>
    </w:p>
    <w:bookmarkStart w:id="244" w:name="page245"/>
    <w:bookmarkEnd w:id="24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47" w:lineRule="exact"/>
        <w:rPr>
          <w:sz w:val="20"/>
          <w:szCs w:val="20"/>
          <w:color w:val="auto"/>
        </w:rPr>
      </w:pPr>
    </w:p>
    <w:p>
      <w:pPr>
        <w:ind w:left="1200" w:hanging="315"/>
        <w:spacing w:after="0"/>
        <w:tabs>
          <w:tab w:leader="none" w:pos="12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Series Seed Preferred Stock and Series A Preferred Stock</w:t>
      </w:r>
      <w:r>
        <w:rPr>
          <w:rFonts w:ascii="Arial" w:cs="Arial" w:eastAsia="Arial" w:hAnsi="Arial"/>
          <w:sz w:val="18"/>
          <w:szCs w:val="18"/>
          <w:color w:val="auto"/>
        </w:rPr>
        <w:t>. The Series Seed Preferred Stock and the Series A Preferred Stock are not redeemable except in accordance with Subsection 2.5.2(b).</w:t>
      </w:r>
    </w:p>
    <w:p>
      <w:pPr>
        <w:spacing w:after="0" w:line="170"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1873"/>
        <w:spacing w:after="0" w:line="285"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Redemption Request</w:t>
      </w:r>
      <w:r>
        <w:rPr>
          <w:rFonts w:ascii="Arial" w:cs="Arial" w:eastAsia="Arial" w:hAnsi="Arial"/>
          <w:sz w:val="16"/>
          <w:szCs w:val="16"/>
          <w:color w:val="auto"/>
        </w:rPr>
        <w:t>. Unless prohibited by Delaware law governing distributions to stockholders, if the Qualified IPO does not occur by the second anniversary of the Series B Original Issue Date, shares of Series B Preferred Stock shall be redeemed by the Corporation at a price equal to the greater of (i) the Series B Original Issue Price and (ii) the Fair Market Value (determined in the manner set forth below) of a single share of Series B Preferred Stock as of the date of the Corporation’s receipt of the Redemption Request (the “</w:t>
      </w:r>
      <w:r>
        <w:rPr>
          <w:rFonts w:ascii="Arial" w:cs="Arial" w:eastAsia="Arial" w:hAnsi="Arial"/>
          <w:sz w:val="16"/>
          <w:szCs w:val="16"/>
          <w:b w:val="1"/>
          <w:bCs w:val="1"/>
          <w:color w:val="auto"/>
        </w:rPr>
        <w:t>Redemption Price</w:t>
      </w:r>
      <w:r>
        <w:rPr>
          <w:rFonts w:ascii="Arial" w:cs="Arial" w:eastAsia="Arial" w:hAnsi="Arial"/>
          <w:sz w:val="16"/>
          <w:szCs w:val="16"/>
          <w:color w:val="auto"/>
        </w:rPr>
        <w:t>”), in three (3) annual installments commencing not more than sixty (60) days after receipt by the Corporation, at any time on or after the second anniversary of the Series B Original Issue Date, of written notice from the holders of a majority of the outstanding shares of Series B Preferred Stock (voting together as a separate class) requesting redemption of all shares of Series B Preferred Stock (the “</w:t>
      </w:r>
      <w:r>
        <w:rPr>
          <w:rFonts w:ascii="Arial" w:cs="Arial" w:eastAsia="Arial" w:hAnsi="Arial"/>
          <w:sz w:val="16"/>
          <w:szCs w:val="16"/>
          <w:b w:val="1"/>
          <w:bCs w:val="1"/>
          <w:color w:val="auto"/>
        </w:rPr>
        <w:t>Redemption Request</w:t>
      </w:r>
      <w:r>
        <w:rPr>
          <w:rFonts w:ascii="Arial" w:cs="Arial" w:eastAsia="Arial" w:hAnsi="Arial"/>
          <w:sz w:val="16"/>
          <w:szCs w:val="16"/>
          <w:color w:val="auto"/>
        </w:rPr>
        <w:t>”). Upon receipt of a Redemption Request, the Corporation shall apply all of its assets to any such redemption, and to no other corporate purpose, except to the extent prohibited by Delaware law governing distributions to stockholders. For purposes of this Subsection 6.2.1, the Fair Market Value of a single share of Series B Preferred Stock shall be the value of a single share of Series B Preferred Stock as mutually agreed upon by the Corporation and the holders of a majority of the shares of Series B Preferred Stock then outstanding, and, in the event that they are unable to reach agreement, by a third-party appraiser agreed to by the Corporation and the holders of a majority of the shares of Series B Preferred Stock then outstanding. The date of each such installment provided in the Redemption Notice (as defined below) shall be referred to as a “</w:t>
      </w:r>
      <w:r>
        <w:rPr>
          <w:rFonts w:ascii="Arial" w:cs="Arial" w:eastAsia="Arial" w:hAnsi="Arial"/>
          <w:sz w:val="16"/>
          <w:szCs w:val="16"/>
          <w:b w:val="1"/>
          <w:bCs w:val="1"/>
          <w:color w:val="auto"/>
        </w:rPr>
        <w:t>Redemption Date</w:t>
      </w:r>
      <w:r>
        <w:rPr>
          <w:rFonts w:ascii="Arial" w:cs="Arial" w:eastAsia="Arial" w:hAnsi="Arial"/>
          <w:sz w:val="16"/>
          <w:szCs w:val="16"/>
          <w:color w:val="auto"/>
        </w:rPr>
        <w:t>.” On each Redemption Date, the Corporation shall redeem, on a pro rata basis in accordance with the number of shares of Series B Preferred Stock owned by each holder, that number of outstanding shares of Series B Preferred Stock determined by dividing (i) the total number of shares of Series B Preferred Stock outstanding immediately prior to such Redemption Date by (ii) the number of remaining Redemption Dates (including the Redemption Date to which such calculation applies). If on any Redemption Date Delaware law governing distributions to stockholders prevents the Corporation from redeeming all shares of Series B Preferred Stock to be redeemed, the Corporation shall ratably redeem the maximum number of shares that it may redeem consistent with such law, and shall redeem the remaining shares as soon as it may lawfully do so under such law.</w:t>
      </w:r>
    </w:p>
    <w:p>
      <w:pPr>
        <w:spacing w:after="0" w:line="167" w:lineRule="exact"/>
        <w:rPr>
          <w:sz w:val="20"/>
          <w:szCs w:val="20"/>
          <w:color w:val="auto"/>
        </w:rPr>
      </w:pPr>
    </w:p>
    <w:p>
      <w:pPr>
        <w:jc w:val="both"/>
        <w:ind w:firstLine="1873"/>
        <w:spacing w:after="0" w:line="282"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Redemption Notice</w:t>
      </w:r>
      <w:r>
        <w:rPr>
          <w:rFonts w:ascii="Arial" w:cs="Arial" w:eastAsia="Arial" w:hAnsi="Arial"/>
          <w:sz w:val="18"/>
          <w:szCs w:val="18"/>
          <w:color w:val="auto"/>
        </w:rPr>
        <w:t>. The Corporation shall send written notice of the mandatory redemption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each holder of</w:t>
      </w:r>
    </w:p>
    <w:p>
      <w:pPr>
        <w:sectPr>
          <w:pgSz w:w="11900" w:h="16838" w:orient="portrait"/>
          <w:cols w:equalWidth="0" w:num="1">
            <w:col w:w="11020"/>
          </w:cols>
          <w:pgMar w:left="440" w:top="274" w:right="4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of Series B Preferred Stock not less than forty (40) days prior to each Redemption Date. Each Redemption Notice shall state:</w:t>
      </w:r>
    </w:p>
    <w:p>
      <w:pPr>
        <w:spacing w:after="0" w:line="225" w:lineRule="exact"/>
        <w:rPr>
          <w:sz w:val="20"/>
          <w:szCs w:val="20"/>
          <w:color w:val="auto"/>
        </w:rPr>
      </w:pPr>
    </w:p>
    <w:p>
      <w:pPr>
        <w:ind w:firstLine="2318"/>
        <w:spacing w:after="0" w:line="277" w:lineRule="auto"/>
        <w:tabs>
          <w:tab w:leader="none" w:pos="278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shares of Series B Preferred Stock held by the holder that the Corporation shall redeem on the Redemption Date specified in the Redemption Notice;</w:t>
      </w:r>
    </w:p>
    <w:p>
      <w:pPr>
        <w:spacing w:after="0" w:line="170" w:lineRule="exact"/>
        <w:rPr>
          <w:rFonts w:ascii="Arial" w:cs="Arial" w:eastAsia="Arial" w:hAnsi="Arial"/>
          <w:sz w:val="18"/>
          <w:szCs w:val="18"/>
          <w:color w:val="auto"/>
        </w:rPr>
      </w:pPr>
    </w:p>
    <w:p>
      <w:pPr>
        <w:ind w:left="2700" w:hanging="382"/>
        <w:spacing w:after="0"/>
        <w:tabs>
          <w:tab w:leader="none" w:pos="2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Redemption Date and the Redemption Price;</w:t>
      </w:r>
    </w:p>
    <w:p>
      <w:pPr>
        <w:spacing w:after="0" w:line="225" w:lineRule="exact"/>
        <w:rPr>
          <w:rFonts w:ascii="Arial" w:cs="Arial" w:eastAsia="Arial" w:hAnsi="Arial"/>
          <w:sz w:val="18"/>
          <w:szCs w:val="18"/>
          <w:color w:val="auto"/>
        </w:rPr>
      </w:pPr>
    </w:p>
    <w:p>
      <w:pPr>
        <w:ind w:left="2820" w:hanging="502"/>
        <w:spacing w:after="0"/>
        <w:tabs>
          <w:tab w:leader="none" w:pos="28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date upon which the holder’s right to convert such shares terminates (as determined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Subsection 4.1); and</w:t>
      </w:r>
    </w:p>
    <w:p>
      <w:pPr>
        <w:spacing w:after="0" w:line="210" w:lineRule="exact"/>
        <w:rPr>
          <w:rFonts w:ascii="Arial" w:cs="Arial" w:eastAsia="Arial" w:hAnsi="Arial"/>
          <w:sz w:val="17"/>
          <w:szCs w:val="17"/>
          <w:color w:val="auto"/>
        </w:rPr>
      </w:pPr>
    </w:p>
    <w:p>
      <w:pPr>
        <w:ind w:firstLine="2318"/>
        <w:spacing w:after="0" w:line="277" w:lineRule="auto"/>
        <w:tabs>
          <w:tab w:leader="none" w:pos="27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holders of shares in certificated form, that the holder is to surrender to the Corporation, in the manner and at the place designated, his, her or its certificate or certificates representing the shares of Series B Preferred Stock to be redeemed.</w:t>
      </w:r>
    </w:p>
    <w:p>
      <w:pPr>
        <w:spacing w:after="0" w:line="170" w:lineRule="exact"/>
        <w:rPr>
          <w:sz w:val="20"/>
          <w:szCs w:val="20"/>
          <w:color w:val="auto"/>
        </w:rPr>
      </w:pPr>
    </w:p>
    <w:p>
      <w:pPr>
        <w:jc w:val="both"/>
        <w:ind w:firstLine="1873"/>
        <w:spacing w:after="0" w:line="270"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Surrender of Certificates; Payment</w:t>
      </w:r>
      <w:r>
        <w:rPr>
          <w:rFonts w:ascii="Arial" w:cs="Arial" w:eastAsia="Arial" w:hAnsi="Arial"/>
          <w:sz w:val="17"/>
          <w:szCs w:val="17"/>
          <w:color w:val="auto"/>
        </w:rPr>
        <w:t>. On or before the applicable Redemption Date, each holder of shares of Series B Preferred Stock to be redeemed on such Redemption Date, unless such holder has exercised his, her or its right to convert such shares as provided in Section 4,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Series B Preferred Stock represented by a certificate are redeemed, a new certificate, instrument, or book entry representing the unredeemed shares of Series B Preferred Stock shall promptly be issued to such holder.</w:t>
      </w:r>
    </w:p>
    <w:p>
      <w:pPr>
        <w:spacing w:after="0" w:line="182" w:lineRule="exact"/>
        <w:rPr>
          <w:sz w:val="20"/>
          <w:szCs w:val="20"/>
          <w:color w:val="auto"/>
        </w:rPr>
      </w:pPr>
    </w:p>
    <w:p>
      <w:pPr>
        <w:jc w:val="both"/>
        <w:ind w:firstLine="1873"/>
        <w:spacing w:after="0" w:line="270"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If any shares of Preferred Stock are not redeemed for any reason on any Redemption Date, all such unredeemed shares shall remain outstanding and entitled to all the rights and preferences provided herein, and the Corporation shall pay interest on the Redemption Price applicable to such unredeemed shares at an aggregate per annum rate equal to ten percent (10% (increased by one percent (1%) each month following the Redemption Date until the Redemption Price, and any interest thereon, is paid in full), with such interest to accrue daily in arrears and be compounded quarterly;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such interest exceed the maximum permitted rate of interest under applicable law (the “</w:t>
      </w:r>
      <w:r>
        <w:rPr>
          <w:rFonts w:ascii="Arial" w:cs="Arial" w:eastAsia="Arial" w:hAnsi="Arial"/>
          <w:sz w:val="17"/>
          <w:szCs w:val="17"/>
          <w:b w:val="1"/>
          <w:bCs w:val="1"/>
          <w:color w:val="auto"/>
        </w:rPr>
        <w:t>Maximum Permitted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Corporation shall take all such actions as may be necessary, including without limitation, making any applicable governmental filings, to cause the Maximum Permitted Rate to be the highest possible rate. In the event any provision hereof would result in the rate of interest payable hereunder being in excess of the Maximum Permitted Rate, the amount of interest required to be paid hereunder shall automatically be reduced to eliminate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w:t>
      </w:r>
    </w:p>
    <w:p>
      <w:pPr>
        <w:sectPr>
          <w:pgSz w:w="11900" w:h="16838" w:orient="portrait"/>
          <w:cols w:equalWidth="0" w:num="1">
            <w:col w:w="11020"/>
          </w:cols>
          <w:pgMar w:left="440" w:top="274" w:right="43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increase in the Maximum Permitted Rate shall be retroactively effective to the applicable Redemption Date to the extent permitted by law.</w:t>
      </w:r>
    </w:p>
    <w:p>
      <w:pPr>
        <w:spacing w:after="0" w:line="248" w:lineRule="exact"/>
        <w:rPr>
          <w:sz w:val="20"/>
          <w:szCs w:val="20"/>
          <w:color w:val="auto"/>
        </w:rPr>
      </w:pPr>
    </w:p>
    <w:p>
      <w:pPr>
        <w:jc w:val="both"/>
        <w:ind w:firstLine="1873"/>
        <w:spacing w:after="0" w:line="255"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Rights Subsequent to Redemption</w:t>
      </w:r>
      <w:r>
        <w:rPr>
          <w:rFonts w:ascii="Arial" w:cs="Arial" w:eastAsia="Arial" w:hAnsi="Arial"/>
          <w:sz w:val="18"/>
          <w:szCs w:val="18"/>
          <w:color w:val="auto"/>
        </w:rPr>
        <w:t>. If the Redemption Notice shall have been duly given, and if on the applicable Redemption Date the Redemption Price payable upon redemption of the shares of Series B Preferred Stock to be redeemed on such Redemption Date is paid or tendered for payment or deposited with an independent payment agent so as to be available therefor in a timely manner, then notwithstanding that any certificates evidencing any of the shares of Series B Preferred Stock so called for redemption shall not have been surrendered, dividends with respect to such shares of Series B Preferred Stock shall cease to accrue after such Redemption Date and all rights with respect to such shares shall forthwith after the Redemption Date terminate, except only the right of the holders to receive the Redemption Price without interest upon surrender of any such certificate or certificates therefor.</w:t>
      </w:r>
    </w:p>
    <w:p>
      <w:pPr>
        <w:spacing w:after="0" w:line="189" w:lineRule="exact"/>
        <w:rPr>
          <w:sz w:val="20"/>
          <w:szCs w:val="20"/>
          <w:color w:val="auto"/>
        </w:rPr>
      </w:pPr>
    </w:p>
    <w:p>
      <w:pPr>
        <w:jc w:val="both"/>
        <w:ind w:firstLine="885"/>
        <w:spacing w:after="0" w:line="312" w:lineRule="auto"/>
        <w:tabs>
          <w:tab w:leader="none" w:pos="119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6" w:lineRule="exact"/>
        <w:rPr>
          <w:rFonts w:ascii="Arial" w:cs="Arial" w:eastAsia="Arial" w:hAnsi="Arial"/>
          <w:sz w:val="16"/>
          <w:szCs w:val="16"/>
          <w:color w:val="auto"/>
        </w:rPr>
      </w:pPr>
    </w:p>
    <w:p>
      <w:pPr>
        <w:jc w:val="both"/>
        <w:ind w:firstLine="885"/>
        <w:spacing w:after="0" w:line="255" w:lineRule="auto"/>
        <w:tabs>
          <w:tab w:leader="none" w:pos="119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Series A Preferred Stock set forth herein may be waived on behalf of all holders of Series A Preferred Stock by the affirmative written consent or vote of sixty percent (60%) of the then-outstanding shares of Series A Preferred Stock. Any of the rights, powers, preferences and other terms of the Series B Preferred Stock set forth herein may be waived on behalf of all holders of Series B Preferred Stock by the affirmative written consent or vote of at least sixty-five percent (65%) of the then-outstanding shares of Series B Preferred Stock. Any right of a stockholder herein may be waived by such stockholder on such stockholder’s own behalf, without the consent of any other person or entity.</w:t>
      </w:r>
    </w:p>
    <w:p>
      <w:pPr>
        <w:spacing w:after="0" w:line="193" w:lineRule="exact"/>
        <w:rPr>
          <w:rFonts w:ascii="Arial" w:cs="Arial" w:eastAsia="Arial" w:hAnsi="Arial"/>
          <w:sz w:val="18"/>
          <w:szCs w:val="18"/>
          <w:color w:val="auto"/>
        </w:rPr>
      </w:pPr>
    </w:p>
    <w:p>
      <w:pPr>
        <w:jc w:val="both"/>
        <w:ind w:firstLine="885"/>
        <w:spacing w:after="0" w:line="312" w:lineRule="auto"/>
        <w:tabs>
          <w:tab w:leader="none" w:pos="1223"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3"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ectPr>
          <w:pgSz w:w="11900" w:h="16838" w:orient="portrait"/>
          <w:cols w:equalWidth="0" w:num="1">
            <w:col w:w="11020"/>
          </w:cols>
          <w:pgMar w:left="440" w:top="274" w:right="439" w:bottom="1440" w:gutter="0" w:footer="0" w:header="0"/>
        </w:sectPr>
      </w:pPr>
    </w:p>
    <w:bookmarkStart w:id="247" w:name="page248"/>
    <w:bookmarkEnd w:id="247"/>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jc w:val="both"/>
        <w:ind w:firstLine="881"/>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jc w:val="both"/>
        <w:ind w:firstLine="881"/>
        <w:spacing w:after="0" w:line="292"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w:t>
      </w:r>
      <w:r>
        <w:rPr>
          <w:rFonts w:ascii="Arial" w:cs="Arial" w:eastAsia="Arial" w:hAnsi="Arial"/>
          <w:sz w:val="16"/>
          <w:szCs w:val="16"/>
          <w:b w:val="1"/>
          <w:bCs w:val="1"/>
          <w:color w:val="auto"/>
        </w:rPr>
        <w:t xml:space="preserve"> </w:t>
      </w:r>
      <w:r>
        <w:rPr>
          <w:rFonts w:ascii="Arial" w:cs="Arial" w:eastAsia="Arial" w:hAnsi="Arial"/>
          <w:sz w:val="16"/>
          <w:szCs w:val="16"/>
          <w:color w:val="auto"/>
        </w:rPr>
        <w:t>being offered an opportunity to participate in, any Excluded Opportunity; provided that the Covered Person (as defined below) acts in good faith.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ectPr>
          <w:pgSz w:w="11900" w:h="16838" w:orient="portrait"/>
          <w:cols w:equalWidth="0" w:num="1">
            <w:col w:w="11020"/>
          </w:cols>
          <w:pgMar w:left="440" w:top="270" w:right="439" w:bottom="1440" w:gutter="0" w:footer="0" w:header="0"/>
        </w:sectPr>
      </w:pPr>
    </w:p>
    <w:bookmarkStart w:id="248" w:name="page249"/>
    <w:bookmarkEnd w:id="248"/>
    <w:p>
      <w:pPr>
        <w:jc w:val="both"/>
        <w:ind w:firstLine="88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jc w:val="both"/>
        <w:ind w:firstLine="4"/>
        <w:spacing w:after="0" w:line="251" w:lineRule="auto"/>
        <w:tabs>
          <w:tab w:leader="none" w:pos="3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4" w:lineRule="exact"/>
        <w:rPr>
          <w:sz w:val="20"/>
          <w:szCs w:val="20"/>
          <w:color w:val="auto"/>
        </w:rPr>
      </w:pPr>
    </w:p>
    <w:p>
      <w:pPr>
        <w:jc w:val="both"/>
        <w:ind w:firstLine="881"/>
        <w:spacing w:after="0" w:line="292" w:lineRule="auto"/>
        <w:rPr>
          <w:sz w:val="20"/>
          <w:szCs w:val="20"/>
          <w:color w:val="auto"/>
        </w:rPr>
      </w:pPr>
      <w:r>
        <w:rPr>
          <w:rFonts w:ascii="Arial" w:cs="Arial" w:eastAsia="Arial" w:hAnsi="Arial"/>
          <w:sz w:val="16"/>
          <w:szCs w:val="16"/>
          <w:b w:val="1"/>
          <w:bCs w:val="1"/>
          <w:color w:val="auto"/>
        </w:rPr>
        <w:t xml:space="preserve">THIRTEENTH: </w:t>
      </w:r>
      <w:r>
        <w:rPr>
          <w:rFonts w:ascii="Arial" w:cs="Arial" w:eastAsia="Arial" w:hAnsi="Arial"/>
          <w:sz w:val="16"/>
          <w:szCs w:val="16"/>
          <w:color w:val="auto"/>
        </w:rPr>
        <w:t>For purposes of Section 500 of the California Corporations Code (to the extent applicable), in connection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of shares of Common Stock permitted under this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382"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270" w:right="439" w:bottom="1440" w:gutter="0" w:footer="0" w:header="0"/>
        </w:sectPr>
      </w:pPr>
    </w:p>
    <w:bookmarkStart w:id="249" w:name="page250"/>
    <w:bookmarkEnd w:id="249"/>
    <w:p>
      <w:pPr>
        <w:ind w:firstLine="885"/>
        <w:spacing w:after="0" w:line="277" w:lineRule="auto"/>
        <w:tabs>
          <w:tab w:leader="none" w:pos="1249"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firstLine="885"/>
        <w:spacing w:after="0" w:line="308" w:lineRule="auto"/>
        <w:tabs>
          <w:tab w:leader="none" w:pos="1245"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43"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20th day of July, 2018.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Faheem Hasnain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0"/>
          </w:cols>
          <w:pgMar w:left="440" w:top="274" w:right="4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Gossamer Bio,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originally filed its Certificate of Incorporation with the Secretary of State of Delaware on October 26, 2015, and is organized and existing under the General Corporation Law of the State of Delaware, hereby certifies as follows:</w:t>
      </w:r>
    </w:p>
    <w:p>
      <w:pPr>
        <w:spacing w:after="0" w:line="62" w:lineRule="exact"/>
        <w:rPr>
          <w:sz w:val="20"/>
          <w:szCs w:val="20"/>
          <w:color w:val="auto"/>
        </w:rPr>
      </w:pPr>
    </w:p>
    <w:p>
      <w:pPr>
        <w:jc w:val="both"/>
        <w:ind w:firstLine="444"/>
        <w:spacing w:after="0" w:line="264" w:lineRule="auto"/>
        <w:tabs>
          <w:tab w:leader="none" w:pos="76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the Board of Directors of said Corporation duly adopted resolutions proposing and declaring advisable the following amendments of the Amended and Restated Certificate of Incorporation (as amended,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of said Corporation. The resolutions setting forth the proposed amendments are as follows: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first paragraph of Article Fourth of the Certificate is hereby amended and restated in their entirety as follows:</w:t>
      </w:r>
    </w:p>
    <w:p>
      <w:pPr>
        <w:spacing w:after="0" w:line="121" w:lineRule="exact"/>
        <w:rPr>
          <w:sz w:val="20"/>
          <w:szCs w:val="20"/>
          <w:color w:val="auto"/>
        </w:rPr>
      </w:pPr>
    </w:p>
    <w:p>
      <w:pPr>
        <w:jc w:val="both"/>
        <w:ind w:left="440" w:firstLine="423"/>
        <w:spacing w:after="0" w:line="264"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(i) 232,404,646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137,220,799 shares of Preferred Stock, $0.0001 par value per share (“</w:t>
      </w:r>
      <w:r>
        <w:rPr>
          <w:rFonts w:ascii="Arial" w:cs="Arial" w:eastAsia="Arial" w:hAnsi="Arial"/>
          <w:sz w:val="18"/>
          <w:szCs w:val="18"/>
          <w:b w:val="1"/>
          <w:bCs w:val="1"/>
          <w:color w:val="auto"/>
        </w:rPr>
        <w:t>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81" w:lineRule="exact"/>
        <w:rPr>
          <w:sz w:val="20"/>
          <w:szCs w:val="20"/>
          <w:color w:val="auto"/>
        </w:rPr>
      </w:pPr>
    </w:p>
    <w:p>
      <w:pPr>
        <w:jc w:val="both"/>
        <w:ind w:firstLine="444"/>
        <w:spacing w:after="0" w:line="264" w:lineRule="auto"/>
        <w:tabs>
          <w:tab w:leader="none" w:pos="8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That thereafter, pursuant to a resolution of the Board of Directors and in lieu of a meeting of stockholders, the stockholders gave their approval of said amendment by written consent in accordance with the provisions of Section 228 of the General Corporation Law of the State of Delaware.</w:t>
      </w:r>
    </w:p>
    <w:p>
      <w:pPr>
        <w:spacing w:after="0" w:line="181" w:lineRule="exact"/>
        <w:rPr>
          <w:rFonts w:ascii="Arial" w:cs="Arial" w:eastAsia="Arial" w:hAnsi="Arial"/>
          <w:sz w:val="18"/>
          <w:szCs w:val="18"/>
          <w:color w:val="auto"/>
        </w:rPr>
      </w:pPr>
    </w:p>
    <w:p>
      <w:pPr>
        <w:ind w:firstLine="444"/>
        <w:spacing w:after="0" w:line="277" w:lineRule="auto"/>
        <w:tabs>
          <w:tab w:leader="none" w:pos="8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That said amendment was duly adopted in accordance with the provisions of Sections 242 and 228 of the General Corporation Law of the State of Delaware.</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That said amendment shall be executed, filed and recorded in accordance with Section 103 of the General Corporation Law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51" w:name="page252"/>
    <w:bookmarkEnd w:id="251"/>
    <w:p>
      <w:pPr>
        <w:ind w:right="2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Certificate of Amendment has been executed by a duly authorized officer of the Corporation on this 18th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2018.</w:t>
      </w:r>
    </w:p>
    <w:p>
      <w:pPr>
        <w:spacing w:after="0" w:line="193"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Sheila Gujrathi</w:t>
      </w:r>
    </w:p>
    <w:p>
      <w:pPr>
        <w:spacing w:after="0" w:line="43" w:lineRule="exact"/>
        <w:rPr>
          <w:sz w:val="20"/>
          <w:szCs w:val="20"/>
          <w:color w:val="auto"/>
        </w:rPr>
      </w:pPr>
    </w:p>
    <w:tbl>
      <w:tblPr>
        <w:tblLayout w:type="fixed"/>
        <w:tblInd w:w="6620" w:type="dxa"/>
        <w:tblCellMar>
          <w:top w:w="0" w:type="dxa"/>
          <w:left w:w="0" w:type="dxa"/>
          <w:bottom w:w="0" w:type="dxa"/>
          <w:right w:w="0" w:type="dxa"/>
        </w:tblCellMar>
      </w:tblP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r>
        <w:trPr>
          <w:trHeight w:val="189"/>
        </w:trPr>
        <w:tc>
          <w:tcPr>
            <w:tcW w:w="580" w:type="dxa"/>
            <w:vAlign w:val="bottom"/>
            <w:gridSpan w:val="2"/>
          </w:tcPr>
          <w:p>
            <w:pPr>
              <w:spacing w:after="0" w:line="189" w:lineRule="exact"/>
              <w:rPr>
                <w:sz w:val="20"/>
                <w:szCs w:val="20"/>
                <w:color w:val="auto"/>
              </w:rPr>
            </w:pPr>
            <w:r>
              <w:rPr>
                <w:rFonts w:ascii="Arial" w:cs="Arial" w:eastAsia="Arial" w:hAnsi="Arial"/>
                <w:sz w:val="18"/>
                <w:szCs w:val="18"/>
                <w:color w:val="auto"/>
              </w:rPr>
              <w:t>Name:</w:t>
            </w:r>
          </w:p>
        </w:tc>
        <w:tc>
          <w:tcPr>
            <w:tcW w:w="3840" w:type="dxa"/>
            <w:vAlign w:val="bottom"/>
          </w:tcPr>
          <w:p>
            <w:pPr>
              <w:ind w:left="80"/>
              <w:spacing w:after="0" w:line="189" w:lineRule="exact"/>
              <w:rPr>
                <w:sz w:val="20"/>
                <w:szCs w:val="20"/>
                <w:color w:val="auto"/>
              </w:rPr>
            </w:pPr>
            <w:r>
              <w:rPr>
                <w:rFonts w:ascii="Arial" w:cs="Arial" w:eastAsia="Arial" w:hAnsi="Arial"/>
                <w:sz w:val="18"/>
                <w:szCs w:val="18"/>
                <w:color w:val="auto"/>
              </w:rPr>
              <w:t>Sheila Gujrathi</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Adopted as of October 26, 2015</w:t>
      </w:r>
    </w:p>
    <w:p>
      <w:pPr>
        <w:sectPr>
          <w:pgSz w:w="11900" w:h="16838" w:orient="portrait"/>
          <w:cols w:equalWidth="0" w:num="1">
            <w:col w:w="10020"/>
          </w:cols>
          <w:pgMar w:left="1440" w:top="121" w:right="4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240" w:type="dxa"/>
            <w:vAlign w:val="bottom"/>
            <w:gridSpan w:val="3"/>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7"/>
                <w:szCs w:val="17"/>
                <w:color w:val="auto"/>
              </w:rPr>
            </w:pPr>
          </w:p>
        </w:tc>
      </w:tr>
      <w:tr>
        <w:trPr>
          <w:trHeight w:val="453"/>
        </w:trPr>
        <w:tc>
          <w:tcPr>
            <w:tcW w:w="1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8820" w:type="dxa"/>
            <w:vAlign w:val="bottom"/>
            <w:gridSpan w:val="4"/>
          </w:tcPr>
          <w:p>
            <w:pPr>
              <w:spacing w:after="0"/>
              <w:rPr>
                <w:sz w:val="20"/>
                <w:szCs w:val="20"/>
                <w:color w:val="auto"/>
              </w:rPr>
            </w:pPr>
            <w:r>
              <w:rPr>
                <w:rFonts w:ascii="Arial" w:cs="Arial" w:eastAsia="Arial" w:hAnsi="Arial"/>
                <w:sz w:val="18"/>
                <w:szCs w:val="18"/>
                <w:color w:val="auto"/>
              </w:rPr>
              <w:t>ARTICLE I. IDENTIFICATION; OFFICES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580" w:type="dxa"/>
            <w:vAlign w:val="bottom"/>
          </w:tcPr>
          <w:p>
            <w:pPr>
              <w:ind w:left="460"/>
              <w:spacing w:after="0"/>
              <w:rPr>
                <w:sz w:val="20"/>
                <w:szCs w:val="20"/>
                <w:color w:val="auto"/>
              </w:rPr>
            </w:pPr>
            <w:r>
              <w:rPr>
                <w:rFonts w:ascii="Arial" w:cs="Arial" w:eastAsia="Arial" w:hAnsi="Arial"/>
                <w:sz w:val="18"/>
                <w:szCs w:val="18"/>
                <w:color w:val="auto"/>
              </w:rPr>
              <w:t>SECTION 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NAME</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PRINCIPAL AND BUSINESS OFFICES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REGISTERED AGENT AND OFFICE</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80" w:type="dxa"/>
            <w:vAlign w:val="bottom"/>
          </w:tcPr>
          <w:p>
            <w:pPr>
              <w:ind w:left="460"/>
              <w:spacing w:after="0"/>
              <w:rPr>
                <w:sz w:val="20"/>
                <w:szCs w:val="20"/>
                <w:color w:val="auto"/>
              </w:rPr>
            </w:pPr>
            <w:r>
              <w:rPr>
                <w:rFonts w:ascii="Arial" w:cs="Arial" w:eastAsia="Arial" w:hAnsi="Arial"/>
                <w:sz w:val="18"/>
                <w:szCs w:val="18"/>
                <w:color w:val="auto"/>
              </w:rPr>
              <w:t>SECTION 4.</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PLACE OF KEEPING CORPORATE RECORDS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20" w:type="dxa"/>
            <w:vAlign w:val="bottom"/>
            <w:gridSpan w:val="4"/>
          </w:tcPr>
          <w:p>
            <w:pPr>
              <w:spacing w:after="0"/>
              <w:rPr>
                <w:sz w:val="20"/>
                <w:szCs w:val="20"/>
                <w:color w:val="auto"/>
              </w:rPr>
            </w:pPr>
            <w:r>
              <w:rPr>
                <w:rFonts w:ascii="Arial" w:cs="Arial" w:eastAsia="Arial" w:hAnsi="Arial"/>
                <w:sz w:val="18"/>
                <w:szCs w:val="18"/>
                <w:color w:val="auto"/>
              </w:rPr>
              <w:t>ARTICLE II. STOCKHOLDERS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580" w:type="dxa"/>
            <w:vAlign w:val="bottom"/>
          </w:tcPr>
          <w:p>
            <w:pPr>
              <w:ind w:left="460"/>
              <w:spacing w:after="0"/>
              <w:rPr>
                <w:sz w:val="20"/>
                <w:szCs w:val="20"/>
                <w:color w:val="auto"/>
              </w:rPr>
            </w:pPr>
            <w:r>
              <w:rPr>
                <w:rFonts w:ascii="Arial" w:cs="Arial" w:eastAsia="Arial" w:hAnsi="Arial"/>
                <w:sz w:val="18"/>
                <w:szCs w:val="18"/>
                <w:color w:val="auto"/>
              </w:rPr>
              <w:t>SECTION 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ANNUAL MEETING</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SPECIAL MEETING</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PLACE OF STOCKHOLDER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4.</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NOTICE OF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5.</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QUORUM</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6.</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ADJOURNED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7.</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FIXING OF RECORD DATE</w:t>
            </w:r>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8.</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VOTING LIST</w:t>
            </w: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9.</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VOTING</w:t>
            </w: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10.</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PROXIES</w:t>
            </w: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RATIFICATION OF ACTS OF DIRECTORS AND OFFICERS</w:t>
            </w: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CONDUCT OF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ACTION WITHOUT MEETING</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20" w:type="dxa"/>
            <w:vAlign w:val="bottom"/>
            <w:gridSpan w:val="4"/>
          </w:tcPr>
          <w:p>
            <w:pPr>
              <w:spacing w:after="0"/>
              <w:rPr>
                <w:sz w:val="20"/>
                <w:szCs w:val="20"/>
                <w:color w:val="auto"/>
              </w:rPr>
            </w:pPr>
            <w:r>
              <w:rPr>
                <w:rFonts w:ascii="Arial" w:cs="Arial" w:eastAsia="Arial" w:hAnsi="Arial"/>
                <w:sz w:val="18"/>
                <w:szCs w:val="18"/>
                <w:color w:val="auto"/>
              </w:rPr>
              <w:t>ARTICLE III.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580" w:type="dxa"/>
            <w:vAlign w:val="bottom"/>
          </w:tcPr>
          <w:p>
            <w:pPr>
              <w:ind w:left="460"/>
              <w:spacing w:after="0"/>
              <w:rPr>
                <w:sz w:val="20"/>
                <w:szCs w:val="20"/>
                <w:color w:val="auto"/>
              </w:rPr>
            </w:pPr>
            <w:r>
              <w:rPr>
                <w:rFonts w:ascii="Arial" w:cs="Arial" w:eastAsia="Arial" w:hAnsi="Arial"/>
                <w:sz w:val="18"/>
                <w:szCs w:val="18"/>
                <w:color w:val="auto"/>
              </w:rPr>
              <w:t>SECTION 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GENERAL POWERS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NUMBER AND TENURE OF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ELECTION OF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4.</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CHAIRMAN OF THE BOARD; VICE CHAIRMAN OF THE BOARD</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5.</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QUORUM</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6.</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VOTING</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7.</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VACANCIES</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8.</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REMOVAL OF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9.</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RESIGNATION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10.</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REGULAR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SPECIAL MEETINGS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NOTICE OF SPECIAL MEETINGS OF THE BOARD OF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WRITTEN ACTION BY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14.</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PARTICIPATION BY CONFERENCE TELEPHONE</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15.</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COMMITTEES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580" w:type="dxa"/>
            <w:vAlign w:val="bottom"/>
          </w:tcPr>
          <w:p>
            <w:pPr>
              <w:ind w:left="460"/>
              <w:spacing w:after="0"/>
              <w:rPr>
                <w:sz w:val="20"/>
                <w:szCs w:val="20"/>
                <w:color w:val="auto"/>
              </w:rPr>
            </w:pPr>
            <w:r>
              <w:rPr>
                <w:rFonts w:ascii="Arial" w:cs="Arial" w:eastAsia="Arial" w:hAnsi="Arial"/>
                <w:sz w:val="18"/>
                <w:szCs w:val="18"/>
                <w:color w:val="auto"/>
                <w:w w:val="99"/>
              </w:rPr>
              <w:t>SECTION 16.</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COMPENSATION OF DIRECTORS</w:t>
            </w:r>
          </w:p>
        </w:tc>
        <w:tc>
          <w:tcPr>
            <w:tcW w:w="2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20" w:type="dxa"/>
            <w:vAlign w:val="bottom"/>
            <w:gridSpan w:val="4"/>
          </w:tcPr>
          <w:p>
            <w:pPr>
              <w:spacing w:after="0"/>
              <w:rPr>
                <w:sz w:val="20"/>
                <w:szCs w:val="20"/>
                <w:color w:val="auto"/>
              </w:rPr>
            </w:pPr>
            <w:r>
              <w:rPr>
                <w:rFonts w:ascii="Arial" w:cs="Arial" w:eastAsia="Arial" w:hAnsi="Arial"/>
                <w:sz w:val="18"/>
                <w:szCs w:val="18"/>
                <w:color w:val="auto"/>
              </w:rPr>
              <w:t>ARTICLE IV. OFFICERS</w:t>
            </w:r>
          </w:p>
        </w:tc>
        <w:tc>
          <w:tcPr>
            <w:tcW w:w="2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580" w:type="dxa"/>
            <w:vAlign w:val="bottom"/>
          </w:tcPr>
          <w:p>
            <w:pPr>
              <w:ind w:left="460"/>
              <w:spacing w:after="0"/>
              <w:rPr>
                <w:sz w:val="20"/>
                <w:szCs w:val="20"/>
                <w:color w:val="auto"/>
              </w:rPr>
            </w:pPr>
            <w:r>
              <w:rPr>
                <w:rFonts w:ascii="Arial" w:cs="Arial" w:eastAsia="Arial" w:hAnsi="Arial"/>
                <w:sz w:val="18"/>
                <w:szCs w:val="18"/>
                <w:color w:val="auto"/>
              </w:rPr>
              <w:t>SECTION 1.</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GENERAL PROVISIONS</w:t>
            </w:r>
          </w:p>
        </w:tc>
        <w:tc>
          <w:tcPr>
            <w:tcW w:w="2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80" w:type="dxa"/>
            <w:vAlign w:val="bottom"/>
          </w:tcPr>
          <w:p>
            <w:pPr>
              <w:ind w:left="460"/>
              <w:spacing w:after="0"/>
              <w:rPr>
                <w:sz w:val="20"/>
                <w:szCs w:val="20"/>
                <w:color w:val="auto"/>
              </w:rPr>
            </w:pPr>
            <w:r>
              <w:rPr>
                <w:rFonts w:ascii="Arial" w:cs="Arial" w:eastAsia="Arial" w:hAnsi="Arial"/>
                <w:sz w:val="18"/>
                <w:szCs w:val="18"/>
                <w:color w:val="auto"/>
              </w:rPr>
              <w:t>SECTION 2.</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ELECTION AND TERM OF OFFICE</w:t>
            </w:r>
          </w:p>
        </w:tc>
        <w:tc>
          <w:tcPr>
            <w:tcW w:w="2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580" w:type="dxa"/>
            <w:vAlign w:val="bottom"/>
          </w:tcPr>
          <w:p>
            <w:pPr>
              <w:ind w:left="460"/>
              <w:spacing w:after="0"/>
              <w:rPr>
                <w:sz w:val="20"/>
                <w:szCs w:val="20"/>
                <w:color w:val="auto"/>
              </w:rPr>
            </w:pPr>
            <w:r>
              <w:rPr>
                <w:rFonts w:ascii="Arial" w:cs="Arial" w:eastAsia="Arial" w:hAnsi="Arial"/>
                <w:sz w:val="18"/>
                <w:szCs w:val="18"/>
                <w:color w:val="auto"/>
              </w:rPr>
              <w:t>SECTION 3.</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RESIGNATION AND REMOVAL OF OFFICERS</w:t>
            </w:r>
          </w:p>
        </w:tc>
        <w:tc>
          <w:tcPr>
            <w:tcW w:w="22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57" w:right="4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7640" w:type="dxa"/>
            <w:vAlign w:val="bottom"/>
          </w:tcPr>
          <w:p>
            <w:pPr>
              <w:ind w:left="80"/>
              <w:spacing w:after="0"/>
              <w:rPr>
                <w:sz w:val="20"/>
                <w:szCs w:val="20"/>
                <w:color w:val="auto"/>
              </w:rPr>
            </w:pPr>
            <w:r>
              <w:rPr>
                <w:rFonts w:ascii="Arial" w:cs="Arial" w:eastAsia="Arial" w:hAnsi="Arial"/>
                <w:sz w:val="18"/>
                <w:szCs w:val="18"/>
                <w:color w:val="auto"/>
              </w:rPr>
              <w:t>VACANCIES</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7640" w:type="dxa"/>
            <w:vAlign w:val="bottom"/>
          </w:tcPr>
          <w:p>
            <w:pPr>
              <w:ind w:left="80"/>
              <w:spacing w:after="0"/>
              <w:rPr>
                <w:sz w:val="20"/>
                <w:szCs w:val="20"/>
                <w:color w:val="auto"/>
              </w:rPr>
            </w:pPr>
            <w:r>
              <w:rPr>
                <w:rFonts w:ascii="Arial" w:cs="Arial" w:eastAsia="Arial" w:hAnsi="Arial"/>
                <w:sz w:val="18"/>
                <w:szCs w:val="18"/>
                <w:color w:val="auto"/>
              </w:rPr>
              <w:t>THE CHIEF EXECUTIVE OFFICER</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7640" w:type="dxa"/>
            <w:vAlign w:val="bottom"/>
          </w:tcPr>
          <w:p>
            <w:pPr>
              <w:ind w:left="80"/>
              <w:spacing w:after="0"/>
              <w:rPr>
                <w:sz w:val="20"/>
                <w:szCs w:val="20"/>
                <w:color w:val="auto"/>
              </w:rPr>
            </w:pPr>
            <w:r>
              <w:rPr>
                <w:rFonts w:ascii="Arial" w:cs="Arial" w:eastAsia="Arial" w:hAnsi="Arial"/>
                <w:sz w:val="18"/>
                <w:szCs w:val="18"/>
                <w:color w:val="auto"/>
              </w:rPr>
              <w:t>THE PRESIDENT</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7640" w:type="dxa"/>
            <w:vAlign w:val="bottom"/>
          </w:tcPr>
          <w:p>
            <w:pPr>
              <w:ind w:left="80"/>
              <w:spacing w:after="0"/>
              <w:rPr>
                <w:sz w:val="20"/>
                <w:szCs w:val="20"/>
                <w:color w:val="auto"/>
              </w:rPr>
            </w:pPr>
            <w:r>
              <w:rPr>
                <w:rFonts w:ascii="Arial" w:cs="Arial" w:eastAsia="Arial" w:hAnsi="Arial"/>
                <w:sz w:val="18"/>
                <w:szCs w:val="18"/>
                <w:color w:val="auto"/>
              </w:rPr>
              <w:t>THE VICE PRESIDENT</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7640" w:type="dxa"/>
            <w:vAlign w:val="bottom"/>
          </w:tcPr>
          <w:p>
            <w:pPr>
              <w:ind w:left="80"/>
              <w:spacing w:after="0"/>
              <w:rPr>
                <w:sz w:val="20"/>
                <w:szCs w:val="20"/>
                <w:color w:val="auto"/>
              </w:rPr>
            </w:pPr>
            <w:r>
              <w:rPr>
                <w:rFonts w:ascii="Arial" w:cs="Arial" w:eastAsia="Arial" w:hAnsi="Arial"/>
                <w:sz w:val="18"/>
                <w:szCs w:val="18"/>
                <w:color w:val="auto"/>
              </w:rPr>
              <w:t>THE SECRETARY</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9.</w:t>
            </w:r>
          </w:p>
        </w:tc>
        <w:tc>
          <w:tcPr>
            <w:tcW w:w="7640" w:type="dxa"/>
            <w:vAlign w:val="bottom"/>
          </w:tcPr>
          <w:p>
            <w:pPr>
              <w:ind w:left="80"/>
              <w:spacing w:after="0"/>
              <w:rPr>
                <w:sz w:val="20"/>
                <w:szCs w:val="20"/>
                <w:color w:val="auto"/>
              </w:rPr>
            </w:pPr>
            <w:r>
              <w:rPr>
                <w:rFonts w:ascii="Arial" w:cs="Arial" w:eastAsia="Arial" w:hAnsi="Arial"/>
                <w:sz w:val="18"/>
                <w:szCs w:val="18"/>
                <w:color w:val="auto"/>
              </w:rPr>
              <w:t>THE ASSISTANT SECRETARY</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10.</w:t>
            </w:r>
          </w:p>
        </w:tc>
        <w:tc>
          <w:tcPr>
            <w:tcW w:w="7640" w:type="dxa"/>
            <w:vAlign w:val="bottom"/>
          </w:tcPr>
          <w:p>
            <w:pPr>
              <w:ind w:left="80"/>
              <w:spacing w:after="0"/>
              <w:rPr>
                <w:sz w:val="20"/>
                <w:szCs w:val="20"/>
                <w:color w:val="auto"/>
              </w:rPr>
            </w:pPr>
            <w:r>
              <w:rPr>
                <w:rFonts w:ascii="Arial" w:cs="Arial" w:eastAsia="Arial" w:hAnsi="Arial"/>
                <w:sz w:val="18"/>
                <w:szCs w:val="18"/>
                <w:color w:val="auto"/>
              </w:rPr>
              <w:t>THE CHIEF FINANCIAL OFFICER OR TREASURER</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11.</w:t>
            </w:r>
          </w:p>
        </w:tc>
        <w:tc>
          <w:tcPr>
            <w:tcW w:w="7640" w:type="dxa"/>
            <w:vAlign w:val="bottom"/>
          </w:tcPr>
          <w:p>
            <w:pPr>
              <w:ind w:left="80"/>
              <w:spacing w:after="0"/>
              <w:rPr>
                <w:sz w:val="20"/>
                <w:szCs w:val="20"/>
                <w:color w:val="auto"/>
              </w:rPr>
            </w:pPr>
            <w:r>
              <w:rPr>
                <w:rFonts w:ascii="Arial" w:cs="Arial" w:eastAsia="Arial" w:hAnsi="Arial"/>
                <w:sz w:val="18"/>
                <w:szCs w:val="18"/>
                <w:color w:val="auto"/>
              </w:rPr>
              <w:t>THE ASSISTANT TREASURER</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12.</w:t>
            </w:r>
          </w:p>
        </w:tc>
        <w:tc>
          <w:tcPr>
            <w:tcW w:w="7640" w:type="dxa"/>
            <w:vAlign w:val="bottom"/>
          </w:tcPr>
          <w:p>
            <w:pPr>
              <w:ind w:left="80"/>
              <w:spacing w:after="0"/>
              <w:rPr>
                <w:sz w:val="20"/>
                <w:szCs w:val="20"/>
                <w:color w:val="auto"/>
              </w:rPr>
            </w:pPr>
            <w:r>
              <w:rPr>
                <w:rFonts w:ascii="Arial" w:cs="Arial" w:eastAsia="Arial" w:hAnsi="Arial"/>
                <w:sz w:val="18"/>
                <w:szCs w:val="18"/>
                <w:color w:val="auto"/>
              </w:rPr>
              <w:t>OTHER OFFICERS, ASSISTANT OFFICERS AND 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13.</w:t>
            </w:r>
          </w:p>
        </w:tc>
        <w:tc>
          <w:tcPr>
            <w:tcW w:w="7640" w:type="dxa"/>
            <w:vAlign w:val="bottom"/>
          </w:tcPr>
          <w:p>
            <w:pPr>
              <w:ind w:left="80"/>
              <w:spacing w:after="0"/>
              <w:rPr>
                <w:sz w:val="20"/>
                <w:szCs w:val="20"/>
                <w:color w:val="auto"/>
              </w:rPr>
            </w:pPr>
            <w:r>
              <w:rPr>
                <w:rFonts w:ascii="Arial" w:cs="Arial" w:eastAsia="Arial" w:hAnsi="Arial"/>
                <w:sz w:val="18"/>
                <w:szCs w:val="18"/>
                <w:color w:val="auto"/>
              </w:rPr>
              <w:t>ABSENCE OF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14.</w:t>
            </w:r>
          </w:p>
        </w:tc>
        <w:tc>
          <w:tcPr>
            <w:tcW w:w="764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7640" w:type="dxa"/>
            <w:vAlign w:val="bottom"/>
          </w:tcPr>
          <w:p>
            <w:pPr>
              <w:ind w:left="80"/>
              <w:spacing w:after="0"/>
              <w:rPr>
                <w:sz w:val="20"/>
                <w:szCs w:val="20"/>
                <w:color w:val="auto"/>
              </w:rPr>
            </w:pPr>
            <w:r>
              <w:rPr>
                <w:rFonts w:ascii="Arial" w:cs="Arial" w:eastAsia="Arial" w:hAnsi="Arial"/>
                <w:sz w:val="18"/>
                <w:szCs w:val="18"/>
                <w:color w:val="auto"/>
              </w:rPr>
              <w:t>ISSUANCE OF STOCK</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7640" w:type="dxa"/>
            <w:vAlign w:val="bottom"/>
          </w:tcPr>
          <w:p>
            <w:pPr>
              <w:ind w:left="80"/>
              <w:spacing w:after="0"/>
              <w:rPr>
                <w:sz w:val="20"/>
                <w:szCs w:val="20"/>
                <w:color w:val="auto"/>
              </w:rPr>
            </w:pPr>
            <w:r>
              <w:rPr>
                <w:rFonts w:ascii="Arial" w:cs="Arial" w:eastAsia="Arial" w:hAnsi="Arial"/>
                <w:sz w:val="18"/>
                <w:szCs w:val="18"/>
                <w:color w:val="auto"/>
              </w:rPr>
              <w:t>CERTIFICATES OF SHARES; UNCERTIFICATED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7640" w:type="dxa"/>
            <w:vAlign w:val="bottom"/>
          </w:tcPr>
          <w:p>
            <w:pPr>
              <w:ind w:left="80"/>
              <w:spacing w:after="0"/>
              <w:rPr>
                <w:sz w:val="20"/>
                <w:szCs w:val="20"/>
                <w:color w:val="auto"/>
              </w:rPr>
            </w:pPr>
            <w:r>
              <w:rPr>
                <w:rFonts w:ascii="Arial" w:cs="Arial" w:eastAsia="Arial" w:hAnsi="Arial"/>
                <w:sz w:val="18"/>
                <w:szCs w:val="18"/>
                <w:color w:val="auto"/>
              </w:rPr>
              <w:t>SIGNATURES OF FORMER OFFICER, TRANSFER AGENT OR REGISTRAR</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7640" w:type="dxa"/>
            <w:vAlign w:val="bottom"/>
          </w:tcPr>
          <w:p>
            <w:pPr>
              <w:ind w:left="80"/>
              <w:spacing w:after="0"/>
              <w:rPr>
                <w:sz w:val="20"/>
                <w:szCs w:val="20"/>
                <w:color w:val="auto"/>
              </w:rPr>
            </w:pPr>
            <w:r>
              <w:rPr>
                <w:rFonts w:ascii="Arial" w:cs="Arial" w:eastAsia="Arial" w:hAnsi="Arial"/>
                <w:sz w:val="18"/>
                <w:szCs w:val="18"/>
                <w:color w:val="auto"/>
              </w:rPr>
              <w:t>TRANSFER OF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7640" w:type="dxa"/>
            <w:vAlign w:val="bottom"/>
          </w:tcPr>
          <w:p>
            <w:pPr>
              <w:ind w:left="80"/>
              <w:spacing w:after="0"/>
              <w:rPr>
                <w:sz w:val="20"/>
                <w:szCs w:val="20"/>
                <w:color w:val="auto"/>
              </w:rPr>
            </w:pPr>
            <w:r>
              <w:rPr>
                <w:rFonts w:ascii="Arial" w:cs="Arial" w:eastAsia="Arial" w:hAnsi="Arial"/>
                <w:sz w:val="18"/>
                <w:szCs w:val="18"/>
                <w:color w:val="auto"/>
              </w:rPr>
              <w:t>LOST, DESTROYED OR STOLEN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7640" w:type="dxa"/>
            <w:vAlign w:val="bottom"/>
          </w:tcPr>
          <w:p>
            <w:pPr>
              <w:ind w:left="80"/>
              <w:spacing w:after="0"/>
              <w:rPr>
                <w:sz w:val="20"/>
                <w:szCs w:val="20"/>
                <w:color w:val="auto"/>
              </w:rPr>
            </w:pPr>
            <w:r>
              <w:rPr>
                <w:rFonts w:ascii="Arial" w:cs="Arial" w:eastAsia="Arial" w:hAnsi="Arial"/>
                <w:sz w:val="18"/>
                <w:szCs w:val="18"/>
                <w:color w:val="auto"/>
              </w:rPr>
              <w:t>REGULATIONS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 RESTRICTIONS ON TRANSFER AND RIGHT OF FIRST REFUSAL.</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7640" w:type="dxa"/>
            <w:vAlign w:val="bottom"/>
          </w:tcPr>
          <w:p>
            <w:pPr>
              <w:ind w:left="80"/>
              <w:spacing w:after="0"/>
              <w:rPr>
                <w:sz w:val="20"/>
                <w:szCs w:val="20"/>
                <w:color w:val="auto"/>
              </w:rPr>
            </w:pPr>
            <w:r>
              <w:rPr>
                <w:rFonts w:ascii="Arial" w:cs="Arial" w:eastAsia="Arial" w:hAnsi="Arial"/>
                <w:sz w:val="18"/>
                <w:szCs w:val="18"/>
                <w:color w:val="auto"/>
              </w:rPr>
              <w:t>TRANSFERS</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7640" w:type="dxa"/>
            <w:vAlign w:val="bottom"/>
          </w:tcPr>
          <w:p>
            <w:pPr>
              <w:ind w:left="80"/>
              <w:spacing w:after="0"/>
              <w:rPr>
                <w:sz w:val="20"/>
                <w:szCs w:val="20"/>
                <w:color w:val="auto"/>
              </w:rPr>
            </w:pPr>
            <w:r>
              <w:rPr>
                <w:rFonts w:ascii="Arial" w:cs="Arial" w:eastAsia="Arial" w:hAnsi="Arial"/>
                <w:sz w:val="18"/>
                <w:szCs w:val="18"/>
                <w:color w:val="auto"/>
              </w:rPr>
              <w:t>CONSENT TO TRANSFER</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7640" w:type="dxa"/>
            <w:vAlign w:val="bottom"/>
          </w:tcPr>
          <w:p>
            <w:pPr>
              <w:ind w:left="80"/>
              <w:spacing w:after="0"/>
              <w:rPr>
                <w:sz w:val="20"/>
                <w:szCs w:val="20"/>
                <w:color w:val="auto"/>
              </w:rPr>
            </w:pPr>
            <w:r>
              <w:rPr>
                <w:rFonts w:ascii="Arial" w:cs="Arial" w:eastAsia="Arial" w:hAnsi="Arial"/>
                <w:sz w:val="18"/>
                <w:szCs w:val="18"/>
                <w:color w:val="auto"/>
              </w:rPr>
              <w:t>RIGHT OF FIRST REFUSAL</w:t>
            </w: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7640" w:type="dxa"/>
            <w:vAlign w:val="bottom"/>
          </w:tcPr>
          <w:p>
            <w:pPr>
              <w:ind w:left="80"/>
              <w:spacing w:after="0"/>
              <w:rPr>
                <w:sz w:val="20"/>
                <w:szCs w:val="20"/>
                <w:color w:val="auto"/>
              </w:rPr>
            </w:pPr>
            <w:r>
              <w:rPr>
                <w:rFonts w:ascii="Arial" w:cs="Arial" w:eastAsia="Arial" w:hAnsi="Arial"/>
                <w:sz w:val="18"/>
                <w:szCs w:val="18"/>
                <w:color w:val="auto"/>
              </w:rPr>
              <w:t>EXCEPTIONS</w:t>
            </w: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764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7640" w:type="dxa"/>
            <w:vAlign w:val="bottom"/>
          </w:tcPr>
          <w:p>
            <w:pPr>
              <w:ind w:left="80"/>
              <w:spacing w:after="0"/>
              <w:rPr>
                <w:sz w:val="20"/>
                <w:szCs w:val="20"/>
                <w:color w:val="auto"/>
              </w:rPr>
            </w:pPr>
            <w:r>
              <w:rPr>
                <w:rFonts w:ascii="Arial" w:cs="Arial" w:eastAsia="Arial" w:hAnsi="Arial"/>
                <w:sz w:val="18"/>
                <w:szCs w:val="18"/>
                <w:color w:val="auto"/>
              </w:rPr>
              <w:t>VOID TRANSFERS</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7640" w:type="dxa"/>
            <w:vAlign w:val="bottom"/>
          </w:tcPr>
          <w:p>
            <w:pPr>
              <w:ind w:left="80"/>
              <w:spacing w:after="0"/>
              <w:rPr>
                <w:sz w:val="20"/>
                <w:szCs w:val="20"/>
                <w:color w:val="auto"/>
              </w:rPr>
            </w:pPr>
            <w:r>
              <w:rPr>
                <w:rFonts w:ascii="Arial" w:cs="Arial" w:eastAsia="Arial" w:hAnsi="Arial"/>
                <w:sz w:val="18"/>
                <w:szCs w:val="18"/>
                <w:color w:val="auto"/>
              </w:rPr>
              <w:t>LEGENDS</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7640" w:type="dxa"/>
            <w:vAlign w:val="bottom"/>
          </w:tcPr>
          <w:p>
            <w:pPr>
              <w:ind w:left="80"/>
              <w:spacing w:after="0"/>
              <w:rPr>
                <w:sz w:val="20"/>
                <w:szCs w:val="20"/>
                <w:color w:val="auto"/>
              </w:rPr>
            </w:pPr>
            <w:r>
              <w:rPr>
                <w:rFonts w:ascii="Arial" w:cs="Arial" w:eastAsia="Arial" w:hAnsi="Arial"/>
                <w:sz w:val="18"/>
                <w:szCs w:val="18"/>
                <w:color w:val="auto"/>
              </w:rPr>
              <w:t>CONFLICTS</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7640" w:type="dxa"/>
            <w:vAlign w:val="bottom"/>
          </w:tcPr>
          <w:p>
            <w:pPr>
              <w:ind w:left="80"/>
              <w:spacing w:after="0"/>
              <w:rPr>
                <w:sz w:val="20"/>
                <w:szCs w:val="20"/>
                <w:color w:val="auto"/>
              </w:rPr>
            </w:pPr>
            <w:r>
              <w:rPr>
                <w:rFonts w:ascii="Arial" w:cs="Arial" w:eastAsia="Arial" w:hAnsi="Arial"/>
                <w:sz w:val="18"/>
                <w:szCs w:val="18"/>
                <w:color w:val="auto"/>
              </w:rPr>
              <w:t>RIGHT TO INDEMNIFICATION OF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7640" w:type="dxa"/>
            <w:vAlign w:val="bottom"/>
          </w:tcPr>
          <w:p>
            <w:pPr>
              <w:ind w:left="80"/>
              <w:spacing w:after="0"/>
              <w:rPr>
                <w:sz w:val="20"/>
                <w:szCs w:val="20"/>
                <w:color w:val="auto"/>
              </w:rPr>
            </w:pPr>
            <w:r>
              <w:rPr>
                <w:rFonts w:ascii="Arial" w:cs="Arial" w:eastAsia="Arial" w:hAnsi="Arial"/>
                <w:sz w:val="18"/>
                <w:szCs w:val="18"/>
                <w:color w:val="auto"/>
              </w:rPr>
              <w:t>PREPAYMENT OF EXPENSES OF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7640" w:type="dxa"/>
            <w:vAlign w:val="bottom"/>
          </w:tcPr>
          <w:p>
            <w:pPr>
              <w:ind w:left="80"/>
              <w:spacing w:after="0"/>
              <w:rPr>
                <w:sz w:val="20"/>
                <w:szCs w:val="20"/>
                <w:color w:val="auto"/>
              </w:rPr>
            </w:pPr>
            <w:r>
              <w:rPr>
                <w:rFonts w:ascii="Arial" w:cs="Arial" w:eastAsia="Arial" w:hAnsi="Arial"/>
                <w:sz w:val="18"/>
                <w:szCs w:val="18"/>
                <w:color w:val="auto"/>
              </w:rPr>
              <w:t>CLAIMS BY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7640" w:type="dxa"/>
            <w:vAlign w:val="bottom"/>
          </w:tcPr>
          <w:p>
            <w:pPr>
              <w:ind w:left="80"/>
              <w:spacing w:after="0"/>
              <w:rPr>
                <w:sz w:val="20"/>
                <w:szCs w:val="20"/>
                <w:color w:val="auto"/>
              </w:rPr>
            </w:pPr>
            <w:r>
              <w:rPr>
                <w:rFonts w:ascii="Arial" w:cs="Arial" w:eastAsia="Arial" w:hAnsi="Arial"/>
                <w:sz w:val="18"/>
                <w:szCs w:val="18"/>
                <w:color w:val="auto"/>
              </w:rPr>
              <w:t>INDEMNIFICATION OF EMPLOYEES AND 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7640" w:type="dxa"/>
            <w:vAlign w:val="bottom"/>
          </w:tcPr>
          <w:p>
            <w:pPr>
              <w:ind w:left="80"/>
              <w:spacing w:after="0"/>
              <w:rPr>
                <w:sz w:val="20"/>
                <w:szCs w:val="20"/>
                <w:color w:val="auto"/>
              </w:rPr>
            </w:pPr>
            <w:r>
              <w:rPr>
                <w:rFonts w:ascii="Arial" w:cs="Arial" w:eastAsia="Arial" w:hAnsi="Arial"/>
                <w:sz w:val="18"/>
                <w:szCs w:val="18"/>
                <w:color w:val="auto"/>
              </w:rPr>
              <w:t>ADVANCEMENT OF EXPENSES OF EMPLOYEES AND 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7640" w:type="dxa"/>
            <w:vAlign w:val="bottom"/>
          </w:tcPr>
          <w:p>
            <w:pPr>
              <w:ind w:left="80"/>
              <w:spacing w:after="0"/>
              <w:rPr>
                <w:sz w:val="20"/>
                <w:szCs w:val="20"/>
                <w:color w:val="auto"/>
              </w:rPr>
            </w:pPr>
            <w:r>
              <w:rPr>
                <w:rFonts w:ascii="Arial" w:cs="Arial" w:eastAsia="Arial" w:hAnsi="Arial"/>
                <w:sz w:val="18"/>
                <w:szCs w:val="18"/>
                <w:color w:val="auto"/>
              </w:rPr>
              <w:t>NON-EXCLUSIVITY OF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7640" w:type="dxa"/>
            <w:vAlign w:val="bottom"/>
          </w:tcPr>
          <w:p>
            <w:pPr>
              <w:ind w:left="80"/>
              <w:spacing w:after="0"/>
              <w:rPr>
                <w:sz w:val="20"/>
                <w:szCs w:val="20"/>
                <w:color w:val="auto"/>
              </w:rPr>
            </w:pPr>
            <w:r>
              <w:rPr>
                <w:rFonts w:ascii="Arial" w:cs="Arial" w:eastAsia="Arial" w:hAnsi="Arial"/>
                <w:sz w:val="18"/>
                <w:szCs w:val="18"/>
                <w:color w:val="auto"/>
              </w:rPr>
              <w:t>OTHER INDEMNIFICATION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7640" w:type="dxa"/>
            <w:vAlign w:val="bottom"/>
          </w:tcPr>
          <w:p>
            <w:pPr>
              <w:ind w:left="8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9.</w:t>
            </w:r>
          </w:p>
        </w:tc>
        <w:tc>
          <w:tcPr>
            <w:tcW w:w="7640" w:type="dxa"/>
            <w:vAlign w:val="bottom"/>
          </w:tcPr>
          <w:p>
            <w:pPr>
              <w:ind w:left="80"/>
              <w:spacing w:after="0"/>
              <w:rPr>
                <w:sz w:val="20"/>
                <w:szCs w:val="20"/>
                <w:color w:val="auto"/>
              </w:rPr>
            </w:pPr>
            <w:r>
              <w:rPr>
                <w:rFonts w:ascii="Arial" w:cs="Arial" w:eastAsia="Arial" w:hAnsi="Arial"/>
                <w:sz w:val="18"/>
                <w:szCs w:val="18"/>
                <w:color w:val="auto"/>
              </w:rPr>
              <w:t>AMENDMENT OR REPEAL</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VIII. DIVIDENDS</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7640" w:type="dxa"/>
            <w:vAlign w:val="bottom"/>
          </w:tcPr>
          <w:p>
            <w:pPr>
              <w:ind w:left="80"/>
              <w:spacing w:after="0"/>
              <w:rPr>
                <w:sz w:val="20"/>
                <w:szCs w:val="20"/>
                <w:color w:val="auto"/>
              </w:rPr>
            </w:pPr>
            <w:r>
              <w:rPr>
                <w:rFonts w:ascii="Arial" w:cs="Arial" w:eastAsia="Arial" w:hAnsi="Arial"/>
                <w:sz w:val="18"/>
                <w:szCs w:val="18"/>
                <w:color w:val="auto"/>
              </w:rPr>
              <w:t>DECLARATIONS OF DIVIDENDS</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7640" w:type="dxa"/>
            <w:vAlign w:val="bottom"/>
          </w:tcPr>
          <w:p>
            <w:pPr>
              <w:ind w:left="80"/>
              <w:spacing w:after="0"/>
              <w:rPr>
                <w:sz w:val="20"/>
                <w:szCs w:val="20"/>
                <w:color w:val="auto"/>
              </w:rPr>
            </w:pPr>
            <w:r>
              <w:rPr>
                <w:rFonts w:ascii="Arial" w:cs="Arial" w:eastAsia="Arial" w:hAnsi="Arial"/>
                <w:sz w:val="18"/>
                <w:szCs w:val="18"/>
                <w:color w:val="auto"/>
              </w:rPr>
              <w:t>SPECIAL PURPOSES RESERVES</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ARTICLE IX. NOTICE BY ELECTRONIC TRANSMISSION</w:t>
            </w:r>
          </w:p>
        </w:tc>
        <w:tc>
          <w:tcPr>
            <w:tcW w:w="2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6580" w:type="dxa"/>
            <w:vAlign w:val="bottom"/>
          </w:tcPr>
          <w:p>
            <w:pPr>
              <w:ind w:left="80"/>
              <w:spacing w:after="0"/>
              <w:rPr>
                <w:sz w:val="20"/>
                <w:szCs w:val="20"/>
                <w:color w:val="auto"/>
              </w:rPr>
            </w:pPr>
            <w:r>
              <w:rPr>
                <w:rFonts w:ascii="Arial" w:cs="Arial" w:eastAsia="Arial" w:hAnsi="Arial"/>
                <w:sz w:val="18"/>
                <w:szCs w:val="18"/>
                <w:color w:val="auto"/>
              </w:rPr>
              <w:t>NOTICE BY ELECTRONIC TRANSMISSION</w:t>
            </w:r>
          </w:p>
        </w:tc>
        <w:tc>
          <w:tcPr>
            <w:tcW w:w="2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6580" w:type="dxa"/>
            <w:vAlign w:val="bottom"/>
          </w:tcPr>
          <w:p>
            <w:pPr>
              <w:ind w:left="80"/>
              <w:spacing w:after="0"/>
              <w:rPr>
                <w:sz w:val="20"/>
                <w:szCs w:val="20"/>
                <w:color w:val="auto"/>
              </w:rPr>
            </w:pPr>
            <w:r>
              <w:rPr>
                <w:rFonts w:ascii="Arial" w:cs="Arial" w:eastAsia="Arial" w:hAnsi="Arial"/>
                <w:sz w:val="18"/>
                <w:szCs w:val="18"/>
                <w:color w:val="auto"/>
              </w:rPr>
              <w:t>DEFINITION OF ELECTRONIC TRANSMISSION</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6580" w:type="dxa"/>
            <w:vAlign w:val="bottom"/>
          </w:tcPr>
          <w:p>
            <w:pPr>
              <w:ind w:left="80"/>
              <w:spacing w:after="0"/>
              <w:rPr>
                <w:sz w:val="20"/>
                <w:szCs w:val="20"/>
                <w:color w:val="auto"/>
              </w:rPr>
            </w:pPr>
            <w:r>
              <w:rPr>
                <w:rFonts w:ascii="Arial" w:cs="Arial" w:eastAsia="Arial" w:hAnsi="Arial"/>
                <w:sz w:val="18"/>
                <w:szCs w:val="18"/>
                <w:color w:val="auto"/>
              </w:rPr>
              <w:t>INAPPLICABILITY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6580" w:type="dxa"/>
            <w:vAlign w:val="bottom"/>
          </w:tcPr>
          <w:p>
            <w:pPr>
              <w:ind w:left="80"/>
              <w:spacing w:after="0"/>
              <w:rPr>
                <w:sz w:val="20"/>
                <w:szCs w:val="20"/>
                <w:color w:val="auto"/>
              </w:rPr>
            </w:pPr>
            <w:r>
              <w:rPr>
                <w:rFonts w:ascii="Arial" w:cs="Arial" w:eastAsia="Arial" w:hAnsi="Arial"/>
                <w:sz w:val="18"/>
                <w:szCs w:val="18"/>
                <w:color w:val="auto"/>
              </w:rPr>
              <w:t>FISCAL YEAR</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6580" w:type="dxa"/>
            <w:vAlign w:val="bottom"/>
          </w:tcPr>
          <w:p>
            <w:pPr>
              <w:ind w:left="80"/>
              <w:spacing w:after="0"/>
              <w:rPr>
                <w:sz w:val="20"/>
                <w:szCs w:val="20"/>
                <w:color w:val="auto"/>
              </w:rPr>
            </w:pPr>
            <w:r>
              <w:rPr>
                <w:rFonts w:ascii="Arial" w:cs="Arial" w:eastAsia="Arial" w:hAnsi="Arial"/>
                <w:sz w:val="18"/>
                <w:szCs w:val="18"/>
                <w:color w:val="auto"/>
              </w:rPr>
              <w:t>SEAL</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3.</w:t>
            </w:r>
          </w:p>
        </w:tc>
        <w:tc>
          <w:tcPr>
            <w:tcW w:w="6580" w:type="dxa"/>
            <w:vAlign w:val="bottom"/>
          </w:tcPr>
          <w:p>
            <w:pPr>
              <w:ind w:left="80"/>
              <w:spacing w:after="0"/>
              <w:rPr>
                <w:sz w:val="20"/>
                <w:szCs w:val="20"/>
                <w:color w:val="auto"/>
              </w:rPr>
            </w:pPr>
            <w:r>
              <w:rPr>
                <w:rFonts w:ascii="Arial" w:cs="Arial" w:eastAsia="Arial" w:hAnsi="Arial"/>
                <w:sz w:val="18"/>
                <w:szCs w:val="18"/>
                <w:color w:val="auto"/>
              </w:rPr>
              <w:t>WRITTEN WAIVER OF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4.</w:t>
            </w:r>
          </w:p>
        </w:tc>
        <w:tc>
          <w:tcPr>
            <w:tcW w:w="6580" w:type="dxa"/>
            <w:vAlign w:val="bottom"/>
          </w:tcPr>
          <w:p>
            <w:pPr>
              <w:ind w:left="80"/>
              <w:spacing w:after="0"/>
              <w:rPr>
                <w:sz w:val="20"/>
                <w:szCs w:val="20"/>
                <w:color w:val="auto"/>
              </w:rPr>
            </w:pPr>
            <w:r>
              <w:rPr>
                <w:rFonts w:ascii="Arial" w:cs="Arial" w:eastAsia="Arial" w:hAnsi="Arial"/>
                <w:sz w:val="18"/>
                <w:szCs w:val="18"/>
                <w:color w:val="auto"/>
              </w:rPr>
              <w:t>ATTENDANCE AS WAIVER OF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5.</w:t>
            </w:r>
          </w:p>
        </w:tc>
        <w:tc>
          <w:tcPr>
            <w:tcW w:w="6580" w:type="dxa"/>
            <w:vAlign w:val="bottom"/>
          </w:tcPr>
          <w:p>
            <w:pPr>
              <w:ind w:left="80"/>
              <w:spacing w:after="0"/>
              <w:rPr>
                <w:sz w:val="20"/>
                <w:szCs w:val="20"/>
                <w:color w:val="auto"/>
              </w:rPr>
            </w:pPr>
            <w:r>
              <w:rPr>
                <w:rFonts w:ascii="Arial" w:cs="Arial" w:eastAsia="Arial" w:hAnsi="Arial"/>
                <w:sz w:val="18"/>
                <w:szCs w:val="18"/>
                <w:color w:val="auto"/>
              </w:rPr>
              <w:t>CONTRACTS</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6.</w:t>
            </w:r>
          </w:p>
        </w:tc>
        <w:tc>
          <w:tcPr>
            <w:tcW w:w="6580" w:type="dxa"/>
            <w:vAlign w:val="bottom"/>
          </w:tcPr>
          <w:p>
            <w:pPr>
              <w:ind w:left="80"/>
              <w:spacing w:after="0"/>
              <w:rPr>
                <w:sz w:val="20"/>
                <w:szCs w:val="20"/>
                <w:color w:val="auto"/>
              </w:rPr>
            </w:pPr>
            <w:r>
              <w:rPr>
                <w:rFonts w:ascii="Arial" w:cs="Arial" w:eastAsia="Arial" w:hAnsi="Arial"/>
                <w:sz w:val="18"/>
                <w:szCs w:val="18"/>
                <w:color w:val="auto"/>
              </w:rPr>
              <w:t>LOANS</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7.</w:t>
            </w:r>
          </w:p>
        </w:tc>
        <w:tc>
          <w:tcPr>
            <w:tcW w:w="6580" w:type="dxa"/>
            <w:vAlign w:val="bottom"/>
          </w:tcPr>
          <w:p>
            <w:pPr>
              <w:ind w:left="80"/>
              <w:spacing w:after="0"/>
              <w:rPr>
                <w:sz w:val="20"/>
                <w:szCs w:val="20"/>
                <w:color w:val="auto"/>
              </w:rPr>
            </w:pPr>
            <w:r>
              <w:rPr>
                <w:rFonts w:ascii="Arial" w:cs="Arial" w:eastAsia="Arial" w:hAnsi="Arial"/>
                <w:sz w:val="18"/>
                <w:szCs w:val="18"/>
                <w:color w:val="auto"/>
              </w:rPr>
              <w:t>CHECKS, DRAFTS, ETC.</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8.</w:t>
            </w:r>
          </w:p>
        </w:tc>
        <w:tc>
          <w:tcPr>
            <w:tcW w:w="6580" w:type="dxa"/>
            <w:vAlign w:val="bottom"/>
          </w:tcPr>
          <w:p>
            <w:pPr>
              <w:ind w:left="80"/>
              <w:spacing w:after="0"/>
              <w:rPr>
                <w:sz w:val="20"/>
                <w:szCs w:val="20"/>
                <w:color w:val="auto"/>
              </w:rPr>
            </w:pPr>
            <w:r>
              <w:rPr>
                <w:rFonts w:ascii="Arial" w:cs="Arial" w:eastAsia="Arial" w:hAnsi="Arial"/>
                <w:sz w:val="18"/>
                <w:szCs w:val="18"/>
                <w:color w:val="auto"/>
              </w:rPr>
              <w:t>DEPOSITS</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rPr>
              <w:t>SECTION 9.</w:t>
            </w:r>
          </w:p>
        </w:tc>
        <w:tc>
          <w:tcPr>
            <w:tcW w:w="6580" w:type="dxa"/>
            <w:vAlign w:val="bottom"/>
          </w:tcPr>
          <w:p>
            <w:pPr>
              <w:ind w:left="80"/>
              <w:spacing w:after="0"/>
              <w:rPr>
                <w:sz w:val="20"/>
                <w:szCs w:val="20"/>
                <w:color w:val="auto"/>
              </w:rPr>
            </w:pPr>
            <w:r>
              <w:rPr>
                <w:rFonts w:ascii="Arial" w:cs="Arial" w:eastAsia="Arial" w:hAnsi="Arial"/>
                <w:sz w:val="18"/>
                <w:szCs w:val="18"/>
                <w:color w:val="auto"/>
              </w:rPr>
              <w:t>ANNUAL STATEMENT</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10.</w:t>
            </w:r>
          </w:p>
        </w:tc>
        <w:tc>
          <w:tcPr>
            <w:tcW w:w="6580" w:type="dxa"/>
            <w:vAlign w:val="bottom"/>
          </w:tcPr>
          <w:p>
            <w:pPr>
              <w:ind w:left="80"/>
              <w:spacing w:after="0"/>
              <w:rPr>
                <w:sz w:val="20"/>
                <w:szCs w:val="20"/>
                <w:color w:val="auto"/>
              </w:rPr>
            </w:pPr>
            <w:r>
              <w:rPr>
                <w:rFonts w:ascii="Arial" w:cs="Arial" w:eastAsia="Arial" w:hAnsi="Arial"/>
                <w:sz w:val="18"/>
                <w:szCs w:val="18"/>
                <w:color w:val="auto"/>
              </w:rPr>
              <w:t>VOTING OF SECURITIES</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11.</w:t>
            </w:r>
          </w:p>
        </w:tc>
        <w:tc>
          <w:tcPr>
            <w:tcW w:w="6580" w:type="dxa"/>
            <w:vAlign w:val="bottom"/>
          </w:tcPr>
          <w:p>
            <w:pPr>
              <w:ind w:left="80"/>
              <w:spacing w:after="0"/>
              <w:rPr>
                <w:sz w:val="20"/>
                <w:szCs w:val="20"/>
                <w:color w:val="auto"/>
              </w:rPr>
            </w:pPr>
            <w:r>
              <w:rPr>
                <w:rFonts w:ascii="Arial" w:cs="Arial" w:eastAsia="Arial" w:hAnsi="Arial"/>
                <w:sz w:val="18"/>
                <w:szCs w:val="18"/>
                <w:color w:val="auto"/>
              </w:rPr>
              <w:t>EVIDENCE OF AUTHORITY</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12.</w:t>
            </w:r>
          </w:p>
        </w:tc>
        <w:tc>
          <w:tcPr>
            <w:tcW w:w="6580" w:type="dxa"/>
            <w:vAlign w:val="bottom"/>
          </w:tcPr>
          <w:p>
            <w:pPr>
              <w:ind w:left="80"/>
              <w:spacing w:after="0"/>
              <w:rPr>
                <w:sz w:val="20"/>
                <w:szCs w:val="20"/>
                <w:color w:val="auto"/>
              </w:rPr>
            </w:pPr>
            <w:r>
              <w:rPr>
                <w:rFonts w:ascii="Arial" w:cs="Arial" w:eastAsia="Arial" w:hAnsi="Arial"/>
                <w:sz w:val="18"/>
                <w:szCs w:val="18"/>
                <w:color w:val="auto"/>
              </w:rPr>
              <w:t>CERTIFICATE OF INCORPORATION</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13.</w:t>
            </w:r>
          </w:p>
        </w:tc>
        <w:tc>
          <w:tcPr>
            <w:tcW w:w="65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w w:val="99"/>
              </w:rPr>
              <w:t>SECTION 14.</w:t>
            </w:r>
          </w:p>
        </w:tc>
        <w:tc>
          <w:tcPr>
            <w:tcW w:w="6580" w:type="dxa"/>
            <w:vAlign w:val="bottom"/>
          </w:tcPr>
          <w:p>
            <w:pPr>
              <w:ind w:left="80"/>
              <w:spacing w:after="0"/>
              <w:rPr>
                <w:sz w:val="20"/>
                <w:szCs w:val="20"/>
                <w:color w:val="auto"/>
              </w:rPr>
            </w:pPr>
            <w:r>
              <w:rPr>
                <w:rFonts w:ascii="Arial" w:cs="Arial" w:eastAsia="Arial" w:hAnsi="Arial"/>
                <w:sz w:val="18"/>
                <w:szCs w:val="18"/>
                <w:color w:val="auto"/>
              </w:rPr>
              <w:t>PRONOUNS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540" w:type="dxa"/>
            <w:vAlign w:val="bottom"/>
          </w:tcPr>
          <w:p>
            <w:pPr>
              <w:ind w:left="420"/>
              <w:spacing w:after="0"/>
              <w:rPr>
                <w:sz w:val="20"/>
                <w:szCs w:val="20"/>
                <w:color w:val="auto"/>
              </w:rPr>
            </w:pPr>
            <w:r>
              <w:rPr>
                <w:rFonts w:ascii="Arial" w:cs="Arial" w:eastAsia="Arial" w:hAnsi="Arial"/>
                <w:sz w:val="18"/>
                <w:szCs w:val="18"/>
                <w:color w:val="auto"/>
              </w:rPr>
              <w:t>SECTION 1.</w:t>
            </w:r>
          </w:p>
        </w:tc>
        <w:tc>
          <w:tcPr>
            <w:tcW w:w="6580" w:type="dxa"/>
            <w:vAlign w:val="bottom"/>
          </w:tcPr>
          <w:p>
            <w:pPr>
              <w:ind w:left="80"/>
              <w:spacing w:after="0"/>
              <w:rPr>
                <w:sz w:val="20"/>
                <w:szCs w:val="20"/>
                <w:color w:val="auto"/>
              </w:rPr>
            </w:pPr>
            <w:r>
              <w:rPr>
                <w:rFonts w:ascii="Arial" w:cs="Arial" w:eastAsia="Arial" w:hAnsi="Arial"/>
                <w:sz w:val="18"/>
                <w:szCs w:val="18"/>
                <w:color w:val="auto"/>
              </w:rPr>
              <w:t>BY THE BOARD OF DIRECTORS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40" w:type="dxa"/>
            <w:vAlign w:val="bottom"/>
          </w:tcPr>
          <w:p>
            <w:pPr>
              <w:ind w:left="420"/>
              <w:spacing w:after="0"/>
              <w:rPr>
                <w:sz w:val="20"/>
                <w:szCs w:val="20"/>
                <w:color w:val="auto"/>
              </w:rPr>
            </w:pPr>
            <w:r>
              <w:rPr>
                <w:rFonts w:ascii="Arial" w:cs="Arial" w:eastAsia="Arial" w:hAnsi="Arial"/>
                <w:sz w:val="18"/>
                <w:szCs w:val="18"/>
                <w:color w:val="auto"/>
              </w:rPr>
              <w:t>SECTION 2.</w:t>
            </w:r>
          </w:p>
        </w:tc>
        <w:tc>
          <w:tcPr>
            <w:tcW w:w="6580" w:type="dxa"/>
            <w:vAlign w:val="bottom"/>
          </w:tcPr>
          <w:p>
            <w:pPr>
              <w:ind w:left="80"/>
              <w:spacing w:after="0"/>
              <w:rPr>
                <w:sz w:val="20"/>
                <w:szCs w:val="20"/>
                <w:color w:val="auto"/>
              </w:rPr>
            </w:pPr>
            <w:r>
              <w:rPr>
                <w:rFonts w:ascii="Arial" w:cs="Arial" w:eastAsia="Arial" w:hAnsi="Arial"/>
                <w:sz w:val="18"/>
                <w:szCs w:val="18"/>
                <w:color w:val="auto"/>
              </w:rPr>
              <w:t>BY THE STOCKHOLDERS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382" w:right="47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IDENTIFICATION; OFFICES</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NAME. The name of the corporation is Gossamer Bio,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4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4. PLACE OF KEEPING CORPORATE RECORDS. The records and documents required by law to be kept by the Corporation permanently shall be kept at the Corporation’s principal office or as the Board of Directors may designate.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Article III of these Bylaws and transact such other business as may properly be brought before the meeting.</w:t>
      </w:r>
    </w:p>
    <w:p>
      <w:pPr>
        <w:spacing w:after="0" w:line="14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7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11020"/>
          </w:cols>
          <w:pgMar w:left="440" w:top="270" w:right="439" w:bottom="1440" w:gutter="0" w:footer="0" w:header="0"/>
        </w:sectPr>
      </w:pPr>
    </w:p>
    <w:bookmarkStart w:id="257" w:name="page258"/>
    <w:bookmarkEnd w:id="257"/>
    <w:p>
      <w:pPr>
        <w:jc w:val="both"/>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NOTICE OF MEETINGS. Except as otherwise provided by law or waived as herein provided, whenever stockholders are required or permitted to take any action at a meeting, whether annual or special, written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written notice shall be given not less than ten (10) days nor more than sixty (60) days before the date of the meeting to each stockholder entitled to vote at the meeting. If mailed, notice is given when deposited in the United States mail, postage prepaid, directed to the stockholder at the stockholder’s address as it appears on the records of the Corporation. If electronically transmitted (in a manner consistent with Section 232 of the Delaware General Corporation Law), then notice is deemed given when transmitted and directed to a facsimile number or electronic mail address at which the stockholder has consented to receive notice. An affidavit of the Secretary or of the transfer agent or other agent of the Corporation that the notice has been given by a form of electronic transmission shall, in the absence of fraud,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17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When a meeting is adjourned to reconvene at the same or another place, if any, or by means of remote communications, if 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Article II of these Bylaws, notice need not be given of the adjourned meeting if the time and place thereof are announced at the meeting at which the adjournment is taken.</w:t>
      </w:r>
    </w:p>
    <w:p>
      <w:pPr>
        <w:spacing w:after="0" w:line="181"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6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thirty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58" w:name="page259"/>
    <w:bookmarkEnd w:id="2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date is fixed for the adjourned meeting. At the adjourned meeting, the corporation may transact any business which might have been transacted at the original meeting.</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FIXING OF RECORD DATE.</w:t>
      </w:r>
    </w:p>
    <w:p>
      <w:pPr>
        <w:spacing w:after="0" w:line="225" w:lineRule="exact"/>
        <w:rPr>
          <w:sz w:val="20"/>
          <w:szCs w:val="20"/>
          <w:color w:val="auto"/>
        </w:rPr>
      </w:pPr>
    </w:p>
    <w:p>
      <w:pPr>
        <w:jc w:val="both"/>
        <w:ind w:firstLine="885"/>
        <w:spacing w:after="0" w:line="254" w:lineRule="auto"/>
        <w:tabs>
          <w:tab w:leader="none" w:pos="144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sixty (60) days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2" w:lineRule="exact"/>
        <w:rPr>
          <w:rFonts w:ascii="Arial" w:cs="Arial" w:eastAsia="Arial" w:hAnsi="Arial"/>
          <w:sz w:val="18"/>
          <w:szCs w:val="18"/>
          <w:color w:val="auto"/>
        </w:rPr>
      </w:pPr>
    </w:p>
    <w:p>
      <w:pPr>
        <w:jc w:val="both"/>
        <w:ind w:firstLine="885"/>
        <w:spacing w:after="0" w:line="269" w:lineRule="auto"/>
        <w:tabs>
          <w:tab w:leader="none" w:pos="160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ten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82" w:lineRule="exact"/>
        <w:rPr>
          <w:rFonts w:ascii="Arial" w:cs="Arial" w:eastAsia="Arial" w:hAnsi="Arial"/>
          <w:sz w:val="17"/>
          <w:szCs w:val="17"/>
          <w:color w:val="auto"/>
        </w:rPr>
      </w:pPr>
    </w:p>
    <w:p>
      <w:pPr>
        <w:jc w:val="both"/>
        <w:ind w:firstLine="885"/>
        <w:spacing w:after="0" w:line="297" w:lineRule="auto"/>
        <w:tabs>
          <w:tab w:leader="none" w:pos="145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sixty (60) days prior to such action. If no record date is fixed, the record date for determining the stockholders for any such purpose shall be the close of business on the day on which the Board of Directors adopts the resolution relating thereto.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9" w:name="page260"/>
    <w:bookmarkEnd w:id="259"/>
    <w:p>
      <w:pPr>
        <w:jc w:val="both"/>
        <w:ind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VOTING LIST. The officer who has charge of the stock ledger of the Corporation shall prepare and make, at least ten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(i) by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to vote in person or by proxy at any meeting of the stockholders. The Corporation shall not be required to include electronic mail addresses or other electronic contact information on such list.</w:t>
      </w:r>
    </w:p>
    <w:p>
      <w:pPr>
        <w:spacing w:after="0" w:line="17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9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by proxy (executed or transmitted in a manner permitted by the Delaware General Corporation Law),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8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11. RATIFICATION OF ACTS OF DIRECTORS AND OFFICERS. Except as otherwise provided by law or by the Certificate of Incorporation of the Corporation, any transaction or contract or act of the Corporation or of the directors or the officers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170"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CONDUCT OF MEETINGS.</w:t>
      </w:r>
    </w:p>
    <w:p>
      <w:pPr>
        <w:spacing w:after="0" w:line="225" w:lineRule="exact"/>
        <w:rPr>
          <w:sz w:val="20"/>
          <w:szCs w:val="20"/>
          <w:color w:val="auto"/>
        </w:rPr>
      </w:pPr>
    </w:p>
    <w:p>
      <w:pPr>
        <w:jc w:val="both"/>
        <w:ind w:firstLine="885"/>
        <w:spacing w:after="0" w:line="297" w:lineRule="auto"/>
        <w:tabs>
          <w:tab w:leader="none" w:pos="1509"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58" w:lineRule="exact"/>
        <w:rPr>
          <w:rFonts w:ascii="Arial" w:cs="Arial" w:eastAsia="Arial" w:hAnsi="Arial"/>
          <w:sz w:val="16"/>
          <w:szCs w:val="16"/>
          <w:color w:val="auto"/>
        </w:rPr>
      </w:pPr>
    </w:p>
    <w:p>
      <w:pPr>
        <w:jc w:val="both"/>
        <w:ind w:firstLine="885"/>
        <w:spacing w:after="0" w:line="283" w:lineRule="auto"/>
        <w:tabs>
          <w:tab w:leader="none" w:pos="1505"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6" w:lineRule="exact"/>
        <w:rPr>
          <w:rFonts w:ascii="Arial" w:cs="Arial" w:eastAsia="Arial" w:hAnsi="Arial"/>
          <w:sz w:val="16"/>
          <w:szCs w:val="16"/>
          <w:color w:val="auto"/>
        </w:rPr>
      </w:pPr>
    </w:p>
    <w:p>
      <w:pPr>
        <w:jc w:val="both"/>
        <w:ind w:firstLine="4"/>
        <w:spacing w:after="0" w:line="255" w:lineRule="auto"/>
        <w:tabs>
          <w:tab w:leader="none" w:pos="3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0"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ACTION WITHOUT MEETING.</w:t>
      </w:r>
    </w:p>
    <w:p>
      <w:pPr>
        <w:spacing w:after="0" w:line="225" w:lineRule="exact"/>
        <w:rPr>
          <w:sz w:val="20"/>
          <w:szCs w:val="20"/>
          <w:color w:val="auto"/>
        </w:rPr>
      </w:pPr>
    </w:p>
    <w:p>
      <w:pPr>
        <w:jc w:val="both"/>
        <w:ind w:firstLine="885"/>
        <w:spacing w:after="0" w:line="259" w:lineRule="auto"/>
        <w:tabs>
          <w:tab w:leader="none" w:pos="15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78" w:lineRule="exact"/>
        <w:rPr>
          <w:rFonts w:ascii="Arial" w:cs="Arial" w:eastAsia="Arial" w:hAnsi="Arial"/>
          <w:sz w:val="18"/>
          <w:szCs w:val="18"/>
          <w:color w:val="auto"/>
        </w:rPr>
      </w:pPr>
    </w:p>
    <w:p>
      <w:pPr>
        <w:ind w:firstLine="885"/>
        <w:spacing w:after="0" w:line="277" w:lineRule="auto"/>
        <w:tabs>
          <w:tab w:leader="none" w:pos="16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consent shall be given to those stockholders who have not consented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61" w:name="page262"/>
    <w:bookmarkEnd w:id="26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47" w:lineRule="exact"/>
        <w:rPr>
          <w:sz w:val="20"/>
          <w:szCs w:val="20"/>
          <w:color w:val="auto"/>
        </w:rPr>
      </w:pPr>
    </w:p>
    <w:p>
      <w:pPr>
        <w:jc w:val="both"/>
        <w:ind w:firstLine="885"/>
        <w:spacing w:after="0" w:line="287" w:lineRule="auto"/>
        <w:tabs>
          <w:tab w:leader="none" w:pos="143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telegram, cablegram or other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 holder or by a person or persons authorized to act for the stockholder or proxy holder and (ii)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to an officer or agent of the Corporation having custody of the book in which the proceedings of meetings of stockholders are recorded.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8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4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2. NUMBER AND TENURE OF DIRECTORS. Subject to the rights of holders of any series of preferred stock to elect directors, the number of directors of the Corporation shall be determined from time to time by the stockholders or the Board of Directors. Each director shall hold office until the next annual meeting of stockholders and until such director’s successor is elected and qualified or until such director’s earlier death, resignation or removal.</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4. CHAIRMAN OF THE BOARD; VICE CHAIRMAN OF THE BOARD. The Board of Directors may appoint from its members a Chairman of the Board and a 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2" w:name="page263"/>
    <w:bookmarkEnd w:id="262"/>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of the Board, neither of whom need be an employee or officer of the corporation. If the Board of Directors appoints a Chairman of the Board, such Chairman shall perform such duties 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8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SECTION 5. QUORUM. The greater of (a) a majority of the directors at any time in office and (b) one-third of the number of directors fixed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4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9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63" w:name="page264"/>
    <w:bookmarkEnd w:id="263"/>
    <w:p>
      <w:pPr>
        <w:jc w:val="both"/>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87"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w:t>
      </w:r>
    </w:p>
    <w:p>
      <w:pPr>
        <w:jc w:val="both"/>
        <w:ind w:firstLine="4"/>
        <w:spacing w:after="0" w:line="254" w:lineRule="auto"/>
        <w:tabs>
          <w:tab w:leader="none" w:pos="28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9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64" w:name="page265"/>
    <w:bookmarkEnd w:id="264"/>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w:t>
      </w:r>
    </w:p>
    <w:p>
      <w:pPr>
        <w:jc w:val="both"/>
        <w:ind w:firstLine="4"/>
        <w:spacing w:after="0" w:line="252" w:lineRule="auto"/>
        <w:tabs>
          <w:tab w:leader="none" w:pos="21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92"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SECTION 1. GENERAL PROVISIONS. The officers of the corporation shall consist of a Chief Executive Officer, a President, a Secretary, a Chief Financial Officer or Treasurer, and such other officers with such other titles as the Board of Directors shall determine, including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7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SECTION 2. ELECTION AND TERM OF OFFICE. The Chief Executive Officer, President, Secretary and Chief Financial Officer or Treasurer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successor has been duly elected and qualified, unless a different term is specified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65" w:name="page266"/>
    <w:bookmarkEnd w:id="26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resolution electing or appointing such officer, or until his earlier death, resignation or removal. Election or appointment of an officer or agent shall not of itself create contract rights.</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4. VACANCIES. The Board of Directors may fill any vacancy occurring in any office for any reason and may, in its discretion, leave unfilled for such period as it may determine any offices other than those of Chief Executive Officer, President, Secretary, Chief Financial Officer and Treasurer.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78"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SECTION 6. THE PRESIDENT.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66" w:name="page267"/>
    <w:bookmarkEnd w:id="26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SECTION 7.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3"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records and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9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10. THE CHIEF FINANCIAL OFFICER OR TREASURER. The Chief Financial Officer or Treasurer shall perform such duties and shall have such powers as may from time to time be assigned by the Board of Directors or the Chief Executive Officer. The Chief Financial Officer or Treasurer shall perform such duties and have such powers as are incident to the office of Chief Financial Officer or Treasurer, including without limitation, the duty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67" w:name="page268"/>
    <w:bookmarkEnd w:id="267"/>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to have the custody of the corporate funds and securities and to keep full and accurate accounts of receipts and disbursements in books belonging to the Corporation and deposit all moneys and other valuable effects in the name and to the credit of the Corporation in such depositories as may be designated by the Board of Directors. The Chief Financial Officer or Treasurer shall disburse the funds of the Corporation as may be ordered by the Board of Directors, taking proper vouchers for such disbursements, and shall render to the President and the Board of Directors, as required by the Board of Directors, an account of all his transactions as Chief Financial Officer or Treasurer and of the financial condition of the Corporation. If required by the Board of Directors, the Chief Financial Officer or Treasurer shall give the Corporation a bond (which shall be renewed every six</w:t>
      </w:r>
    </w:p>
    <w:p>
      <w:pPr>
        <w:spacing w:after="0" w:line="5" w:lineRule="exact"/>
        <w:rPr>
          <w:sz w:val="20"/>
          <w:szCs w:val="20"/>
          <w:color w:val="auto"/>
        </w:rPr>
      </w:pPr>
    </w:p>
    <w:p>
      <w:pPr>
        <w:jc w:val="both"/>
        <w:ind w:firstLine="4"/>
        <w:spacing w:after="0" w:line="255" w:lineRule="auto"/>
        <w:tabs>
          <w:tab w:leader="none" w:pos="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9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Chief Financial Officer or Treasurer or in the event of his inability or refusal to act, perform the duties and exercise the powers of the Chief Financial Officer or Treasurer and shall perform such other duties and have such other powers as the Chief Executive Officer, the Board of Directors or the Chief Financial Officer or Treasurer may from time to time prescribe.</w:t>
      </w:r>
    </w:p>
    <w:p>
      <w:pPr>
        <w:spacing w:after="0" w:line="18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14. COMPENSATION. The Board of Directors shall have the authority to establish reasonable salaries, compensation or reimbursement of all officers for services to the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68" w:name="page269"/>
    <w:bookmarkEnd w:id="268"/>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w:t>
      </w:r>
      <w:r>
        <w:rPr>
          <w:sz w:val="20"/>
          <w:szCs w:val="20"/>
          <w:color w:val="auto"/>
        </w:rPr>
        <w:tab/>
      </w:r>
      <w:r>
        <w:rPr>
          <w:rFonts w:ascii="Arial" w:cs="Arial" w:eastAsia="Arial" w:hAnsi="Arial"/>
          <w:sz w:val="16"/>
          <w:szCs w:val="16"/>
          <w:color w:val="auto"/>
        </w:rPr>
        <w:t>CERTIFICATES OF SHARES; UNCERTIFICATED SHARES.</w:t>
      </w:r>
    </w:p>
    <w:p>
      <w:pPr>
        <w:spacing w:after="0" w:line="225" w:lineRule="exact"/>
        <w:rPr>
          <w:sz w:val="20"/>
          <w:szCs w:val="20"/>
          <w:color w:val="auto"/>
        </w:rPr>
      </w:pPr>
    </w:p>
    <w:p>
      <w:pPr>
        <w:jc w:val="both"/>
        <w:ind w:firstLine="885"/>
        <w:spacing w:after="0" w:line="255" w:lineRule="auto"/>
        <w:tabs>
          <w:tab w:leader="none" w:pos="15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w:t>
      </w:r>
    </w:p>
    <w:p>
      <w:pPr>
        <w:spacing w:after="0" w:line="193" w:lineRule="exact"/>
        <w:rPr>
          <w:rFonts w:ascii="Arial" w:cs="Arial" w:eastAsia="Arial" w:hAnsi="Arial"/>
          <w:sz w:val="18"/>
          <w:szCs w:val="18"/>
          <w:color w:val="auto"/>
        </w:rPr>
      </w:pPr>
    </w:p>
    <w:p>
      <w:pPr>
        <w:jc w:val="both"/>
        <w:ind w:firstLine="885"/>
        <w:spacing w:after="0" w:line="312" w:lineRule="auto"/>
        <w:tabs>
          <w:tab w:leader="none" w:pos="14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6" w:lineRule="exact"/>
        <w:rPr>
          <w:rFonts w:ascii="Arial" w:cs="Arial" w:eastAsia="Arial" w:hAnsi="Arial"/>
          <w:sz w:val="16"/>
          <w:szCs w:val="16"/>
          <w:color w:val="auto"/>
        </w:rPr>
      </w:pPr>
    </w:p>
    <w:p>
      <w:pPr>
        <w:jc w:val="both"/>
        <w:ind w:firstLine="885"/>
        <w:spacing w:after="0" w:line="272" w:lineRule="auto"/>
        <w:tabs>
          <w:tab w:leader="none" w:pos="161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rFonts w:ascii="Arial" w:cs="Arial" w:eastAsia="Arial" w:hAnsi="Arial"/>
          <w:sz w:val="17"/>
          <w:szCs w:val="17"/>
          <w:color w:val="auto"/>
        </w:rPr>
      </w:pPr>
    </w:p>
    <w:p>
      <w:pPr>
        <w:jc w:val="both"/>
        <w:ind w:firstLine="885"/>
        <w:spacing w:after="0" w:line="297" w:lineRule="auto"/>
        <w:tabs>
          <w:tab w:leader="none" w:pos="1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5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69" w:name="page270"/>
    <w:bookmarkEnd w:id="269"/>
    <w:p>
      <w:pPr>
        <w:jc w:val="both"/>
        <w:ind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SECTION 5.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8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6. REGULATIONS. The issue, transfer, conversion and registration of shares of stock of the corporation shall be governed by such other regulations as the Board of Directors may establish.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 AND RIGHT OF FIRST REFUSAL.</w:t>
      </w:r>
    </w:p>
    <w:p>
      <w:pPr>
        <w:spacing w:after="0" w:line="211"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SECTION 1. TRANSFERS. If a holder of any shares of stock of the Corporation (a “</w:t>
      </w:r>
      <w:r>
        <w:rPr>
          <w:rFonts w:ascii="Arial" w:cs="Arial" w:eastAsia="Arial" w:hAnsi="Arial"/>
          <w:sz w:val="16"/>
          <w:szCs w:val="16"/>
          <w:u w:val="single" w:color="auto"/>
          <w:color w:val="auto"/>
        </w:rPr>
        <w:t>Holder</w:t>
      </w:r>
      <w:r>
        <w:rPr>
          <w:rFonts w:ascii="Arial" w:cs="Arial" w:eastAsia="Arial" w:hAnsi="Arial"/>
          <w:sz w:val="16"/>
          <w:szCs w:val="16"/>
          <w:color w:val="auto"/>
        </w:rPr>
        <w:t>”) proposes to sell, assign, transfer, pledge, hypothecate or otherwise dispose of, by operation of law or otherwise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any such shares pursuant to a bona fide offer acceptable to such Holder, then Holder shall first give written notice of the proposed Transfer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Corporation. The Transfer Notice shall state the name the proposed transferee, the number of shares Holder proposes to transfer (the “</w:t>
      </w:r>
      <w:r>
        <w:rPr>
          <w:rFonts w:ascii="Arial" w:cs="Arial" w:eastAsia="Arial" w:hAnsi="Arial"/>
          <w:sz w:val="16"/>
          <w:szCs w:val="16"/>
          <w:u w:val="single" w:color="auto"/>
          <w:color w:val="auto"/>
        </w:rPr>
        <w:t>Offered Shares</w:t>
      </w:r>
      <w:r>
        <w:rPr>
          <w:rFonts w:ascii="Arial" w:cs="Arial" w:eastAsia="Arial" w:hAnsi="Arial"/>
          <w:sz w:val="16"/>
          <w:szCs w:val="16"/>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6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2. CONSENT TO TRANSFER. Following receipt of the Transfer Notice, the prior written consent of the Corporation (upon duly authorized action of its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70" w:name="page271"/>
    <w:bookmarkEnd w:id="270"/>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Directors) shall be required (and such consent may be withheld) if such transfer (i) would be to an individual, company or any other form of entity identified by the Corporation as a potential competitor or considered by the Corporation to be unfriendly; (ii) increases the risk of the Corporation having a class of equity security (other than an exempted security) held of record by either (A) 2,000 or more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restriction shall only apply after the Corporation has a class of equity security (other than an exempted security) held of record by more than 1,000 persons or (B) 500 or more persons who are not accredited investors, as described in Section 12(g) of the Securities and Exchange Act of 1934 (the “</w:t>
      </w:r>
      <w:r>
        <w:rPr>
          <w:rFonts w:ascii="Arial" w:cs="Arial" w:eastAsia="Arial" w:hAnsi="Arial"/>
          <w:sz w:val="16"/>
          <w:szCs w:val="16"/>
          <w:u w:val="single" w:color="auto"/>
          <w:color w:val="auto"/>
        </w:rPr>
        <w:t>1934 Act</w:t>
      </w:r>
      <w:r>
        <w:rPr>
          <w:rFonts w:ascii="Arial" w:cs="Arial" w:eastAsia="Arial" w:hAnsi="Arial"/>
          <w:sz w:val="16"/>
          <w:szCs w:val="16"/>
          <w:color w:val="auto"/>
        </w:rPr>
        <w:t>”), and Rule 12g5-1 promulgated thereunder, or otherwise requiring the Corporation to register any class of securities under the 1934 Act;</w:t>
      </w:r>
    </w:p>
    <w:p>
      <w:pPr>
        <w:spacing w:after="0" w:line="5" w:lineRule="exact"/>
        <w:rPr>
          <w:sz w:val="20"/>
          <w:szCs w:val="20"/>
          <w:color w:val="auto"/>
        </w:rPr>
      </w:pPr>
    </w:p>
    <w:p>
      <w:pPr>
        <w:jc w:val="both"/>
        <w:ind w:firstLine="4"/>
        <w:spacing w:after="0" w:line="281" w:lineRule="auto"/>
        <w:tabs>
          <w:tab w:leader="none" w:pos="32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would result in the loss of any federal or state securities law exemption relied upon by the Corporation in connection with the initial issuance of such shares or the issuance of any other securities; (iv) is facilitated in any manner by any public posting, message board, trading portal, internet site or similar method of communication, including without limitation any trading portal or internet site intended to facilitate secondary transfers of securities;</w:t>
      </w:r>
    </w:p>
    <w:p>
      <w:pPr>
        <w:spacing w:after="0" w:line="2" w:lineRule="exact"/>
        <w:rPr>
          <w:rFonts w:ascii="Arial" w:cs="Arial" w:eastAsia="Arial" w:hAnsi="Arial"/>
          <w:sz w:val="16"/>
          <w:szCs w:val="16"/>
          <w:color w:val="auto"/>
        </w:rPr>
      </w:pPr>
    </w:p>
    <w:p>
      <w:pPr>
        <w:jc w:val="both"/>
        <w:ind w:firstLine="4"/>
        <w:spacing w:after="0" w:line="292" w:lineRule="auto"/>
        <w:tabs>
          <w:tab w:leader="none" w:pos="25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is to be effected in a brokered transaction; (vi) represents a transfer of less than all of the shares then held by the stockholder and its affiliates or is to be made to more than a single transferee or (vii) is for any legitimate corporate purpose, as determined by the Corporation’s Board of Directors. The Corporation shall notify Holder within 30 days of receipt of the Transfer Notice indicating whether the proposed transfer requires such consent and if so, whether such consent has been provided (a “</w:t>
      </w:r>
      <w:r>
        <w:rPr>
          <w:rFonts w:ascii="Arial" w:cs="Arial" w:eastAsia="Arial" w:hAnsi="Arial"/>
          <w:sz w:val="16"/>
          <w:szCs w:val="16"/>
          <w:u w:val="single" w:color="auto"/>
          <w:color w:val="auto"/>
        </w:rPr>
        <w:t>Transfer Approval</w:t>
      </w:r>
      <w:r>
        <w:rPr>
          <w:rFonts w:ascii="Arial" w:cs="Arial" w:eastAsia="Arial" w:hAnsi="Arial"/>
          <w:sz w:val="16"/>
          <w:szCs w:val="16"/>
          <w:color w:val="auto"/>
        </w:rPr>
        <w:t>”) or withheld (a “</w:t>
      </w:r>
      <w:r>
        <w:rPr>
          <w:rFonts w:ascii="Arial" w:cs="Arial" w:eastAsia="Arial" w:hAnsi="Arial"/>
          <w:sz w:val="16"/>
          <w:szCs w:val="16"/>
          <w:u w:val="single" w:color="auto"/>
          <w:color w:val="auto"/>
        </w:rPr>
        <w:t>Transfer Denial</w:t>
      </w:r>
      <w:r>
        <w:rPr>
          <w:rFonts w:ascii="Arial" w:cs="Arial" w:eastAsia="Arial" w:hAnsi="Arial"/>
          <w:sz w:val="16"/>
          <w:szCs w:val="16"/>
          <w:color w:val="auto"/>
        </w:rPr>
        <w:t>”, and together with “Transfer Approval”, the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Determination</w:t>
      </w:r>
      <w:r>
        <w:rPr>
          <w:rFonts w:ascii="Arial" w:cs="Arial" w:eastAsia="Arial" w:hAnsi="Arial"/>
          <w:sz w:val="16"/>
          <w:szCs w:val="16"/>
          <w:color w:val="auto"/>
        </w:rPr>
        <w:t>”). For purposes of a clarity, a Holder shall not be entitled to transfer any shares if such proposed transfer results in a Transfer Denial.</w:t>
      </w:r>
    </w:p>
    <w:p>
      <w:pPr>
        <w:spacing w:after="0" w:line="16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RIGHT OF FIRST REFUSAL.</w:t>
      </w:r>
    </w:p>
    <w:p>
      <w:pPr>
        <w:spacing w:after="0" w:line="225" w:lineRule="exact"/>
        <w:rPr>
          <w:sz w:val="20"/>
          <w:szCs w:val="20"/>
          <w:color w:val="auto"/>
        </w:rPr>
      </w:pPr>
    </w:p>
    <w:p>
      <w:pPr>
        <w:jc w:val="both"/>
        <w:ind w:firstLine="885"/>
        <w:spacing w:after="0" w:line="270" w:lineRule="auto"/>
        <w:tabs>
          <w:tab w:leader="none" w:pos="151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xml:space="preserve">”). In the event the Corporation or its assigns, as applicable, elects to purchase all or part of the Offered Shares, it shall give written notice of such election to the Holder within such 30 day period. Within ten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177" w:lineRule="exact"/>
        <w:rPr>
          <w:rFonts w:ascii="Arial" w:cs="Arial" w:eastAsia="Arial" w:hAnsi="Arial"/>
          <w:sz w:val="17"/>
          <w:szCs w:val="17"/>
          <w:color w:val="auto"/>
        </w:rPr>
      </w:pPr>
    </w:p>
    <w:p>
      <w:pPr>
        <w:jc w:val="both"/>
        <w:ind w:firstLine="885"/>
        <w:spacing w:after="0" w:line="259" w:lineRule="auto"/>
        <w:tabs>
          <w:tab w:leader="none" w:pos="151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 not be on terms and conditions more favorable to the transferee than those contained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71" w:name="page272"/>
    <w:bookmarkEnd w:id="271"/>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173" w:lineRule="exact"/>
        <w:rPr>
          <w:sz w:val="20"/>
          <w:szCs w:val="20"/>
          <w:color w:val="auto"/>
        </w:rPr>
      </w:pPr>
    </w:p>
    <w:p>
      <w:pPr>
        <w:jc w:val="both"/>
        <w:ind w:firstLine="885"/>
        <w:spacing w:after="0" w:line="259" w:lineRule="auto"/>
        <w:tabs>
          <w:tab w:leader="none" w:pos="14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186" w:lineRule="exact"/>
        <w:rPr>
          <w:rFonts w:ascii="Arial" w:cs="Arial" w:eastAsia="Arial" w:hAnsi="Arial"/>
          <w:sz w:val="18"/>
          <w:szCs w:val="18"/>
          <w:color w:val="auto"/>
        </w:rPr>
      </w:pPr>
    </w:p>
    <w:p>
      <w:pPr>
        <w:ind w:left="1520" w:hanging="635"/>
        <w:spacing w:after="0"/>
        <w:tabs>
          <w:tab w:leader="none" w:pos="15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Corporation may assign its Right of First Refusal in any particular transaction under this Section 3 to one or more persons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entities.</w:t>
      </w:r>
    </w:p>
    <w:p>
      <w:pPr>
        <w:spacing w:after="0" w:line="210" w:lineRule="exact"/>
        <w:rPr>
          <w:rFonts w:ascii="Arial" w:cs="Arial" w:eastAsia="Arial" w:hAnsi="Arial"/>
          <w:sz w:val="16"/>
          <w:szCs w:val="16"/>
          <w:color w:val="auto"/>
        </w:rPr>
      </w:pPr>
    </w:p>
    <w:p>
      <w:pPr>
        <w:ind w:firstLine="885"/>
        <w:spacing w:after="0" w:line="277" w:lineRule="auto"/>
        <w:tabs>
          <w:tab w:leader="none" w:pos="14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provisions of this Section 3 shall not apply to any Transfer of preferred stock of the Corporation or the shares of common stock issued upon conversion thereof.</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EXCEPTIONS.</w:t>
      </w:r>
    </w:p>
    <w:p>
      <w:pPr>
        <w:spacing w:after="0" w:line="225" w:lineRule="exact"/>
        <w:rPr>
          <w:sz w:val="20"/>
          <w:szCs w:val="20"/>
          <w:color w:val="auto"/>
        </w:rPr>
      </w:pPr>
    </w:p>
    <w:p>
      <w:pPr>
        <w:ind w:left="1440" w:hanging="555"/>
        <w:spacing w:after="0"/>
        <w:tabs>
          <w:tab w:leader="none" w:pos="14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provisions of this Article VI may be waived with respect to any transfer upon duly authorized action of its Board of Directors.</w:t>
      </w:r>
    </w:p>
    <w:p>
      <w:pPr>
        <w:spacing w:after="0" w:line="248" w:lineRule="exact"/>
        <w:rPr>
          <w:rFonts w:ascii="Arial" w:cs="Arial" w:eastAsia="Arial" w:hAnsi="Arial"/>
          <w:sz w:val="16"/>
          <w:szCs w:val="16"/>
          <w:color w:val="auto"/>
        </w:rPr>
      </w:pPr>
    </w:p>
    <w:p>
      <w:pPr>
        <w:ind w:left="1460" w:hanging="575"/>
        <w:spacing w:after="0"/>
        <w:tabs>
          <w:tab w:leader="none" w:pos="1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restrictions set forth in Article VI, Section 3:</w:t>
      </w:r>
    </w:p>
    <w:p>
      <w:pPr>
        <w:spacing w:after="0" w:line="225" w:lineRule="exact"/>
        <w:rPr>
          <w:rFonts w:ascii="Arial" w:cs="Arial" w:eastAsia="Arial" w:hAnsi="Arial"/>
          <w:sz w:val="18"/>
          <w:szCs w:val="18"/>
          <w:color w:val="auto"/>
        </w:rPr>
      </w:pPr>
    </w:p>
    <w:p>
      <w:pPr>
        <w:jc w:val="both"/>
        <w:ind w:firstLine="1436"/>
        <w:spacing w:after="0" w:line="264" w:lineRule="auto"/>
        <w:tabs>
          <w:tab w:leader="none" w:pos="187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transfer to or for the benefit of any spouse, children, parents, uncles, aunts, siblings, grandchildren and any other relatives approved by the Board of Directors (collectively, “</w:t>
      </w:r>
      <w:r>
        <w:rPr>
          <w:rFonts w:ascii="Arial" w:cs="Arial" w:eastAsia="Arial" w:hAnsi="Arial"/>
          <w:sz w:val="18"/>
          <w:szCs w:val="18"/>
          <w:u w:val="single" w:color="auto"/>
          <w:color w:val="auto"/>
        </w:rPr>
        <w:t>Approved Relatives</w:t>
      </w:r>
      <w:r>
        <w:rPr>
          <w:rFonts w:ascii="Arial" w:cs="Arial" w:eastAsia="Arial" w:hAnsi="Arial"/>
          <w:sz w:val="18"/>
          <w:szCs w:val="18"/>
          <w:color w:val="auto"/>
        </w:rPr>
        <w:t>”) or to a trust established solely for the benefit of Purchaser and/or Approved Relatives;</w:t>
      </w:r>
    </w:p>
    <w:p>
      <w:pPr>
        <w:spacing w:after="0" w:line="181" w:lineRule="exact"/>
        <w:rPr>
          <w:rFonts w:ascii="Arial" w:cs="Arial" w:eastAsia="Arial" w:hAnsi="Arial"/>
          <w:sz w:val="18"/>
          <w:szCs w:val="18"/>
          <w:color w:val="auto"/>
        </w:rPr>
      </w:pPr>
    </w:p>
    <w:p>
      <w:pPr>
        <w:ind w:firstLine="1436"/>
        <w:spacing w:after="0" w:line="277" w:lineRule="auto"/>
        <w:tabs>
          <w:tab w:leader="none" w:pos="193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transfer made as part of the sale of all or substantially all of the shares of capital stock of the Corporation (including pursuant to a merger or consolidation);</w:t>
      </w:r>
    </w:p>
    <w:p>
      <w:pPr>
        <w:spacing w:after="0" w:line="170" w:lineRule="exact"/>
        <w:rPr>
          <w:rFonts w:ascii="Arial" w:cs="Arial" w:eastAsia="Arial" w:hAnsi="Arial"/>
          <w:sz w:val="18"/>
          <w:szCs w:val="18"/>
          <w:color w:val="auto"/>
        </w:rPr>
      </w:pPr>
    </w:p>
    <w:p>
      <w:pPr>
        <w:ind w:left="1860" w:hanging="424"/>
        <w:spacing w:after="0"/>
        <w:tabs>
          <w:tab w:leader="none" w:pos="18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Corporation under the Securities Act;</w:t>
      </w:r>
    </w:p>
    <w:p>
      <w:pPr>
        <w:spacing w:after="0" w:line="225" w:lineRule="exact"/>
        <w:rPr>
          <w:rFonts w:ascii="Arial" w:cs="Arial" w:eastAsia="Arial" w:hAnsi="Arial"/>
          <w:sz w:val="18"/>
          <w:szCs w:val="18"/>
          <w:color w:val="auto"/>
        </w:rPr>
      </w:pPr>
    </w:p>
    <w:p>
      <w:pPr>
        <w:ind w:left="1860" w:hanging="424"/>
        <w:spacing w:after="0"/>
        <w:tabs>
          <w:tab w:leader="none" w:pos="18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w:t>
      </w:r>
    </w:p>
    <w:p>
      <w:pPr>
        <w:spacing w:after="0" w:line="225" w:lineRule="exact"/>
        <w:rPr>
          <w:rFonts w:ascii="Arial" w:cs="Arial" w:eastAsia="Arial" w:hAnsi="Arial"/>
          <w:sz w:val="18"/>
          <w:szCs w:val="18"/>
          <w:color w:val="auto"/>
        </w:rPr>
      </w:pPr>
    </w:p>
    <w:p>
      <w:pPr>
        <w:ind w:firstLine="1436"/>
        <w:spacing w:after="0" w:line="277" w:lineRule="auto"/>
        <w:tabs>
          <w:tab w:leader="none" w:pos="193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72" w:name="page273"/>
    <w:bookmarkEnd w:id="27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or capital reorganization of the corporate stockholder, or pursuant to a sale of all or substantially all of the stock or assets of a corporate stockholder;</w:t>
      </w:r>
    </w:p>
    <w:p>
      <w:pPr>
        <w:spacing w:after="0" w:line="170" w:lineRule="exact"/>
        <w:rPr>
          <w:sz w:val="20"/>
          <w:szCs w:val="20"/>
          <w:color w:val="auto"/>
        </w:rPr>
      </w:pPr>
    </w:p>
    <w:p>
      <w:pPr>
        <w:ind w:left="1840" w:hanging="404"/>
        <w:spacing w:after="0"/>
        <w:tabs>
          <w:tab w:leader="none" w:pos="18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 and</w:t>
      </w:r>
    </w:p>
    <w:p>
      <w:pPr>
        <w:spacing w:after="0" w:line="225" w:lineRule="exact"/>
        <w:rPr>
          <w:rFonts w:ascii="Arial" w:cs="Arial" w:eastAsia="Arial" w:hAnsi="Arial"/>
          <w:sz w:val="18"/>
          <w:szCs w:val="18"/>
          <w:color w:val="auto"/>
        </w:rPr>
      </w:pPr>
    </w:p>
    <w:p>
      <w:pPr>
        <w:ind w:left="1860" w:hanging="424"/>
        <w:spacing w:after="0"/>
        <w:tabs>
          <w:tab w:leader="none" w:pos="18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 transfer of any or all of the shares held by a stockholder which is a limited or general partnership to any or all of its partners.</w:t>
      </w:r>
    </w:p>
    <w:p>
      <w:pPr>
        <w:spacing w:after="0" w:line="248" w:lineRule="exact"/>
        <w:rPr>
          <w:rFonts w:ascii="Arial" w:cs="Arial" w:eastAsia="Arial" w:hAnsi="Arial"/>
          <w:sz w:val="16"/>
          <w:szCs w:val="16"/>
          <w:color w:val="auto"/>
        </w:rPr>
      </w:pPr>
    </w:p>
    <w:p>
      <w:pPr>
        <w:jc w:val="both"/>
        <w:ind w:firstLine="885"/>
        <w:spacing w:after="0" w:line="259" w:lineRule="auto"/>
        <w:tabs>
          <w:tab w:leader="none" w:pos="149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transfer pursuant to Sections 4(b)(A)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7. LEGENDS. The certificates representing shares of stock of the corporation shall bear on their face the following legend so long as the foregoing Transfer restrictions are in effect:</w:t>
      </w:r>
    </w:p>
    <w:p>
      <w:pPr>
        <w:spacing w:after="0" w:line="62"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18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SECTION 8. CONFLICTS. To the extent the Corporation has entered into any written agreement with the stockholder attempting to Transfer shares that contains terms restricting such Transfer and grants the Corporation a right of first refusal with respect thereto (“Separate ROFR Terms”), then such Separate ROFR Terms shall supersede this Article VI and shall control such stockholder’s proposed Transfer of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 RIGHT TO INDEMNIFICATION OF DIRECTORS AND OFFICERS. The Corporation shall indemnify and hold harmless, to the fullest extent permitted by applicable law as it presently exists or may hereafter be amended, any person (an “Indemnified Person”) who was or is made or is threatened to be made a party or is otherwise involved in any action,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73" w:name="page274"/>
    <w:bookmarkEnd w:id="273"/>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suit or proceeding, whether civil, criminal, administrative or investigative (a “Proceeding”),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VI,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7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2. PREPAYMENT OF EXPENSES OF DIRECTORS AND OFFICERS.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 or otherwise.</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6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5. ADVANCEMENT OF EXPENSES OF EMPLOYEES AND AGENTS. The Corporation may pay the expenses (including attorneys’ fees) incurred by an employee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in defending any Proceeding in advance of its final disposition on such terms and conditions as may be determined by the Board of Directors.</w:t>
      </w:r>
    </w:p>
    <w:p>
      <w:pPr>
        <w:spacing w:after="0" w:line="24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6. NON-EXCLUSIVITY OF RIGHTS. The rights conferred on any person by this Article VI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 and (b) to indemnify or insure directors, officers and employees against liability in instances in which they may not otherwise be indemnified by the Corporation under the provisions of this Article VI.</w:t>
      </w:r>
    </w:p>
    <w:p>
      <w:pPr>
        <w:spacing w:after="0" w:line="18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SECTION 9. AMENDMENT OR REPEAL. Any repeal or modification of the foregoing provisions of this Article VI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BY ELECTRONIC TRANSMISSION</w:t>
      </w:r>
    </w:p>
    <w:p>
      <w:pPr>
        <w:spacing w:after="0" w:line="21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 NOTICE BY ELECTRONIC TRANSMISSION. Without limiting the manner by which notice otherwise may be given effectively to stockholders pursuant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75" w:name="page276"/>
    <w:bookmarkEnd w:id="27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Delaware General Corporation Law, the certificate of incorporation or these bylaws, any notice to stockholders given by the Company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7" w:lineRule="exact"/>
        <w:rPr>
          <w:sz w:val="20"/>
          <w:szCs w:val="20"/>
          <w:color w:val="auto"/>
        </w:rPr>
      </w:pPr>
    </w:p>
    <w:p>
      <w:pPr>
        <w:ind w:left="1480" w:hanging="595"/>
        <w:spacing w:after="0"/>
        <w:tabs>
          <w:tab w:leader="none" w:pos="14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is unable to deliver by electronic transmission two (2) consecutive notices given by the Company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consent; and</w:t>
      </w:r>
    </w:p>
    <w:p>
      <w:pPr>
        <w:spacing w:after="0" w:line="210" w:lineRule="exact"/>
        <w:rPr>
          <w:rFonts w:ascii="Arial" w:cs="Arial" w:eastAsia="Arial" w:hAnsi="Arial"/>
          <w:sz w:val="16"/>
          <w:szCs w:val="16"/>
          <w:color w:val="auto"/>
        </w:rPr>
      </w:pPr>
    </w:p>
    <w:p>
      <w:pPr>
        <w:ind w:firstLine="885"/>
        <w:spacing w:after="0" w:line="277" w:lineRule="auto"/>
        <w:tabs>
          <w:tab w:leader="none" w:pos="15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440" w:hanging="555"/>
        <w:spacing w:after="0"/>
        <w:tabs>
          <w:tab w:leader="none" w:pos="14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460" w:hanging="575"/>
        <w:spacing w:after="0"/>
        <w:tabs>
          <w:tab w:leader="none" w:pos="14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236" w:lineRule="exact"/>
        <w:rPr>
          <w:rFonts w:ascii="Arial" w:cs="Arial" w:eastAsia="Arial" w:hAnsi="Arial"/>
          <w:sz w:val="17"/>
          <w:szCs w:val="17"/>
          <w:color w:val="auto"/>
        </w:rPr>
      </w:pPr>
    </w:p>
    <w:p>
      <w:pPr>
        <w:ind w:left="1500" w:hanging="615"/>
        <w:spacing w:after="0"/>
        <w:tabs>
          <w:tab w:leader="none" w:pos="15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300" w:hanging="296"/>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420" w:hanging="535"/>
        <w:spacing w:after="0"/>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Company that the notice has been given by a form of electronic transmission shall, in the absence of fraud, be prima facie evidence of the facts stated therein.</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2. DEFINITION OF ELECTRONIC TRANSMISSION.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3. INAPPLICABILITY. Notice by a form of electronic transmission shall not apply to Sections 164, 296, 311, 312 or 324 of the Delaware General Corporation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76" w:name="page277"/>
    <w:bookmarkEnd w:id="276"/>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w:t>
      </w:r>
      <w:r>
        <w:rPr>
          <w:sz w:val="20"/>
          <w:szCs w:val="20"/>
          <w:color w:val="auto"/>
        </w:rPr>
        <w:tab/>
      </w:r>
      <w:r>
        <w:rPr>
          <w:rFonts w:ascii="Arial" w:cs="Arial" w:eastAsia="Arial" w:hAnsi="Arial"/>
          <w:sz w:val="16"/>
          <w:szCs w:val="16"/>
          <w:color w:val="auto"/>
        </w:rPr>
        <w:t>FISCAL YEAR. The fiscal year of the Corporation shall be fixed by resolution of the Board of Directors.</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8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5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81"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SECTION 5.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2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6.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7.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8. DEPOSITS. The funds of the Corporation may be deposited or invested in such bank account, in such investments or with such other depositaries as determined by the Board of Directors.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9.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10. VOTING OF SECURITIES. Except as the Board of Directors may otherwise designate, the Chief Executive Officer, the President, the Chief Financial Officer or Treasurer may waive notice of, vote, or appoint any person or persons to vote, on behalf of the corporation at, and act as, or appoint any person or persons to act as, proxy or attorney-in-fact 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77" w:name="page278"/>
    <w:bookmarkEnd w:id="27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corporation (with or without power of substitution) at, any meeting of stockholders or securityholders of any other entity, the securities of which may be held by this corporation.</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SECTION 11.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12. CERTIFICATE OF INCORPORATION.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13. SEVERABILITY.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SECTION 14. PRONOUNS. All pronouns used in these Bylaws shall be deemed to refer to the masculine, feminine or neuter, singular or plural, as the identity of the person or persons may require.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47"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4.2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July 20, 2018</w:t>
      </w:r>
    </w:p>
    <w:p>
      <w:pPr>
        <w:sectPr>
          <w:pgSz w:w="11900" w:h="16838" w:orient="portrait"/>
          <w:cols w:equalWidth="0" w:num="1">
            <w:col w:w="10020"/>
          </w:cols>
          <w:pgMar w:left="1440" w:top="121" w:right="4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TABLE OF CONTENTS</w:t>
            </w:r>
          </w:p>
        </w:tc>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56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428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40"/>
              <w:spacing w:after="0"/>
              <w:rPr>
                <w:sz w:val="20"/>
                <w:szCs w:val="20"/>
                <w:color w:val="auto"/>
              </w:rPr>
            </w:pPr>
            <w:r>
              <w:rPr>
                <w:rFonts w:ascii="Arial" w:cs="Arial" w:eastAsia="Arial" w:hAnsi="Arial"/>
                <w:sz w:val="18"/>
                <w:szCs w:val="18"/>
                <w:color w:val="auto"/>
              </w:rPr>
              <w:t>Registration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Demand Registration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Company Registration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2.3</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Underwriting Requirements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2.4</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Obligations of the Company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2.5</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Furnish Information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2.6</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Expenses of Registration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2.7</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Delay of Registration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2.8</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Indemnification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2.9</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Reports Under Exchange Act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2.10</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Limitations on Subsequent Registration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2.11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“Market Stand-off” Agreement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2.12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Restrictions on Transfer</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2.13</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Termination of Registration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6420" w:type="dxa"/>
            <w:vAlign w:val="bottom"/>
            <w:gridSpan w:val="4"/>
          </w:tcPr>
          <w:p>
            <w:pPr>
              <w:spacing w:after="0"/>
              <w:rPr>
                <w:sz w:val="20"/>
                <w:szCs w:val="20"/>
                <w:color w:val="auto"/>
              </w:rPr>
            </w:pPr>
            <w:r>
              <w:rPr>
                <w:rFonts w:ascii="Arial" w:cs="Arial" w:eastAsia="Arial" w:hAnsi="Arial"/>
                <w:sz w:val="18"/>
                <w:szCs w:val="18"/>
                <w:color w:val="auto"/>
              </w:rPr>
              <w:t>3. Information and Observer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Delivery of Financial Statements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Inspection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3.3</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Observer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3.4</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Termination of Information, Inspection and Observer Rights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3.5</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Confidentiality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3.6</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“Bad Actor” Covenant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6420" w:type="dxa"/>
            <w:vAlign w:val="bottom"/>
            <w:gridSpan w:val="4"/>
          </w:tcPr>
          <w:p>
            <w:pPr>
              <w:spacing w:after="0"/>
              <w:rPr>
                <w:sz w:val="20"/>
                <w:szCs w:val="20"/>
                <w:color w:val="auto"/>
              </w:rPr>
            </w:pPr>
            <w:r>
              <w:rPr>
                <w:rFonts w:ascii="Arial" w:cs="Arial" w:eastAsia="Arial" w:hAnsi="Arial"/>
                <w:sz w:val="18"/>
                <w:szCs w:val="18"/>
                <w:color w:val="auto"/>
              </w:rPr>
              <w:t>4. Rights to Future Stock Issuances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4.1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Right of First Offer</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4.2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Termination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6220" w:type="dxa"/>
            <w:vAlign w:val="bottom"/>
            <w:gridSpan w:val="3"/>
          </w:tcPr>
          <w:p>
            <w:pPr>
              <w:ind w:left="40"/>
              <w:spacing w:after="0"/>
              <w:rPr>
                <w:sz w:val="20"/>
                <w:szCs w:val="20"/>
                <w:color w:val="auto"/>
              </w:rPr>
            </w:pPr>
            <w:r>
              <w:rPr>
                <w:rFonts w:ascii="Arial" w:cs="Arial" w:eastAsia="Arial" w:hAnsi="Arial"/>
                <w:sz w:val="18"/>
                <w:szCs w:val="18"/>
                <w:color w:val="auto"/>
              </w:rPr>
              <w:t>Additional Covenants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Insurance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Employee Agreements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5.3</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Employee Stock</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5.4</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Matters Requiring Investor Director Approval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5.5</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Board Matters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5.6</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Successor Indemnification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5.7</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Expenses of Counsel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5.8</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Right to Conduct Activities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5.9</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Tax Reporting</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5.10</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Termination of Covenants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5.11</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Side Agreement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5.12</w:t>
            </w:r>
          </w:p>
        </w:tc>
        <w:tc>
          <w:tcPr>
            <w:tcW w:w="5760" w:type="dxa"/>
            <w:vAlign w:val="bottom"/>
            <w:gridSpan w:val="2"/>
          </w:tcPr>
          <w:p>
            <w:pPr>
              <w:ind w:left="120"/>
              <w:spacing w:after="0"/>
              <w:rPr>
                <w:sz w:val="20"/>
                <w:szCs w:val="20"/>
                <w:color w:val="auto"/>
              </w:rPr>
            </w:pPr>
            <w:r>
              <w:rPr>
                <w:rFonts w:ascii="Arial" w:cs="Arial" w:eastAsia="Arial" w:hAnsi="Arial"/>
                <w:sz w:val="18"/>
                <w:szCs w:val="18"/>
                <w:color w:val="auto"/>
              </w:rPr>
              <w:t>Termination of Covenants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6220" w:type="dxa"/>
            <w:vAlign w:val="bottom"/>
            <w:gridSpan w:val="3"/>
          </w:tcPr>
          <w:p>
            <w:pPr>
              <w:ind w:left="40"/>
              <w:spacing w:after="0"/>
              <w:rPr>
                <w:sz w:val="20"/>
                <w:szCs w:val="20"/>
                <w:color w:val="auto"/>
              </w:rPr>
            </w:pPr>
            <w:r>
              <w:rPr>
                <w:rFonts w:ascii="Arial" w:cs="Arial" w:eastAsia="Arial" w:hAnsi="Arial"/>
                <w:sz w:val="18"/>
                <w:szCs w:val="18"/>
                <w:color w:val="auto"/>
              </w:rPr>
              <w:t>Miscellaneous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i</w:t>
            </w: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0" w:name="page281"/>
    <w:bookmarkEnd w:id="280"/>
    <w:tbl>
      <w:tblPr>
        <w:tblLayout w:type="fixed"/>
        <w:tblInd w:w="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w:t>
            </w:r>
          </w:p>
        </w:tc>
        <w:tc>
          <w:tcPr>
            <w:tcW w:w="820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6.2</w:t>
            </w:r>
          </w:p>
        </w:tc>
        <w:tc>
          <w:tcPr>
            <w:tcW w:w="82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6.3</w:t>
            </w:r>
          </w:p>
        </w:tc>
        <w:tc>
          <w:tcPr>
            <w:tcW w:w="820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6.4</w:t>
            </w:r>
          </w:p>
        </w:tc>
        <w:tc>
          <w:tcPr>
            <w:tcW w:w="8200" w:type="dxa"/>
            <w:vAlign w:val="bottom"/>
          </w:tcPr>
          <w:p>
            <w:pPr>
              <w:ind w:left="120"/>
              <w:spacing w:after="0"/>
              <w:rPr>
                <w:sz w:val="20"/>
                <w:szCs w:val="20"/>
                <w:color w:val="auto"/>
              </w:rPr>
            </w:pPr>
            <w:r>
              <w:rPr>
                <w:rFonts w:ascii="Arial" w:cs="Arial" w:eastAsia="Arial" w:hAnsi="Arial"/>
                <w:sz w:val="18"/>
                <w:szCs w:val="18"/>
                <w:color w:val="auto"/>
              </w:rPr>
              <w:t>Titles and Subtitles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6.5</w:t>
            </w:r>
          </w:p>
        </w:tc>
        <w:tc>
          <w:tcPr>
            <w:tcW w:w="82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6.6</w:t>
            </w:r>
          </w:p>
        </w:tc>
        <w:tc>
          <w:tcPr>
            <w:tcW w:w="820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6.7</w:t>
            </w:r>
          </w:p>
        </w:tc>
        <w:tc>
          <w:tcPr>
            <w:tcW w:w="82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6.8</w:t>
            </w:r>
          </w:p>
        </w:tc>
        <w:tc>
          <w:tcPr>
            <w:tcW w:w="8200" w:type="dxa"/>
            <w:vAlign w:val="bottom"/>
          </w:tcPr>
          <w:p>
            <w:pPr>
              <w:ind w:left="120"/>
              <w:spacing w:after="0"/>
              <w:rPr>
                <w:sz w:val="20"/>
                <w:szCs w:val="20"/>
                <w:color w:val="auto"/>
              </w:rPr>
            </w:pPr>
            <w:r>
              <w:rPr>
                <w:rFonts w:ascii="Arial" w:cs="Arial" w:eastAsia="Arial" w:hAnsi="Arial"/>
                <w:sz w:val="18"/>
                <w:szCs w:val="18"/>
                <w:color w:val="auto"/>
              </w:rPr>
              <w:t>Aggregation of Stock</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6.9</w:t>
            </w:r>
          </w:p>
        </w:tc>
        <w:tc>
          <w:tcPr>
            <w:tcW w:w="8200" w:type="dxa"/>
            <w:vAlign w:val="bottom"/>
          </w:tcPr>
          <w:p>
            <w:pPr>
              <w:ind w:left="120"/>
              <w:spacing w:after="0"/>
              <w:rPr>
                <w:sz w:val="20"/>
                <w:szCs w:val="20"/>
                <w:color w:val="auto"/>
              </w:rPr>
            </w:pPr>
            <w:r>
              <w:rPr>
                <w:rFonts w:ascii="Arial" w:cs="Arial" w:eastAsia="Arial" w:hAnsi="Arial"/>
                <w:sz w:val="18"/>
                <w:szCs w:val="18"/>
                <w:color w:val="auto"/>
              </w:rPr>
              <w:t>Additional Investors</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6.10</w:t>
            </w:r>
          </w:p>
        </w:tc>
        <w:tc>
          <w:tcPr>
            <w:tcW w:w="820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6.11</w:t>
            </w:r>
          </w:p>
        </w:tc>
        <w:tc>
          <w:tcPr>
            <w:tcW w:w="8200" w:type="dxa"/>
            <w:vAlign w:val="bottom"/>
          </w:tcPr>
          <w:p>
            <w:pPr>
              <w:ind w:left="120"/>
              <w:spacing w:after="0"/>
              <w:rPr>
                <w:sz w:val="20"/>
                <w:szCs w:val="20"/>
                <w:color w:val="auto"/>
              </w:rPr>
            </w:pPr>
            <w:r>
              <w:rPr>
                <w:rFonts w:ascii="Arial" w:cs="Arial" w:eastAsia="Arial" w:hAnsi="Arial"/>
                <w:sz w:val="18"/>
                <w:szCs w:val="18"/>
                <w:color w:val="auto"/>
              </w:rPr>
              <w:t>Dispute Resolution</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6.12</w:t>
            </w:r>
          </w:p>
        </w:tc>
        <w:tc>
          <w:tcPr>
            <w:tcW w:w="820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6.13</w:t>
            </w:r>
          </w:p>
        </w:tc>
        <w:tc>
          <w:tcPr>
            <w:tcW w:w="8200" w:type="dxa"/>
            <w:vAlign w:val="bottom"/>
          </w:tcPr>
          <w:p>
            <w:pPr>
              <w:ind w:left="120"/>
              <w:spacing w:after="0"/>
              <w:rPr>
                <w:sz w:val="20"/>
                <w:szCs w:val="20"/>
                <w:color w:val="auto"/>
              </w:rPr>
            </w:pPr>
            <w:r>
              <w:rPr>
                <w:rFonts w:ascii="Arial" w:cs="Arial" w:eastAsia="Arial" w:hAnsi="Arial"/>
                <w:sz w:val="18"/>
                <w:szCs w:val="18"/>
                <w:color w:val="auto"/>
              </w:rPr>
              <w:t>Delays or Omissions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6.14</w:t>
            </w:r>
          </w:p>
        </w:tc>
        <w:tc>
          <w:tcPr>
            <w:tcW w:w="8200" w:type="dxa"/>
            <w:vAlign w:val="bottom"/>
          </w:tcPr>
          <w:p>
            <w:pPr>
              <w:ind w:left="120"/>
              <w:spacing w:after="0"/>
              <w:rPr>
                <w:sz w:val="20"/>
                <w:szCs w:val="20"/>
                <w:color w:val="auto"/>
              </w:rPr>
            </w:pPr>
            <w:r>
              <w:rPr>
                <w:rFonts w:ascii="Arial" w:cs="Arial" w:eastAsia="Arial" w:hAnsi="Arial"/>
                <w:sz w:val="18"/>
                <w:szCs w:val="18"/>
                <w:color w:val="auto"/>
              </w:rPr>
              <w:t>Acknowledgment</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6.15</w:t>
            </w:r>
          </w:p>
        </w:tc>
        <w:tc>
          <w:tcPr>
            <w:tcW w:w="8200" w:type="dxa"/>
            <w:vAlign w:val="bottom"/>
          </w:tcPr>
          <w:p>
            <w:pPr>
              <w:ind w:left="120"/>
              <w:spacing w:after="0"/>
              <w:rPr>
                <w:sz w:val="20"/>
                <w:szCs w:val="20"/>
                <w:color w:val="auto"/>
              </w:rPr>
            </w:pPr>
            <w:r>
              <w:rPr>
                <w:rFonts w:ascii="Arial" w:cs="Arial" w:eastAsia="Arial" w:hAnsi="Arial"/>
                <w:sz w:val="18"/>
                <w:szCs w:val="18"/>
                <w:color w:val="auto"/>
              </w:rPr>
              <w:t>Amendment and Restatement of Prior Agreement; Waiver of Right of First Refusal</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 Schedule of Investors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INVESTORS’ RIGHTS AGREEMENT</w:t>
      </w:r>
    </w:p>
    <w:p>
      <w:pPr>
        <w:spacing w:after="0" w:line="225" w:lineRule="exact"/>
        <w:rPr>
          <w:sz w:val="20"/>
          <w:szCs w:val="20"/>
          <w:color w:val="auto"/>
        </w:rPr>
      </w:pPr>
    </w:p>
    <w:p>
      <w:pPr>
        <w:jc w:val="both"/>
        <w:ind w:firstLine="881"/>
        <w:spacing w:after="0" w:line="314" w:lineRule="auto"/>
        <w:rPr>
          <w:sz w:val="20"/>
          <w:szCs w:val="20"/>
          <w:color w:val="auto"/>
        </w:rPr>
      </w:pPr>
      <w:r>
        <w:rPr>
          <w:rFonts w:ascii="Arial" w:cs="Arial" w:eastAsia="Arial" w:hAnsi="Arial"/>
          <w:sz w:val="16"/>
          <w:szCs w:val="16"/>
          <w:color w:val="auto"/>
        </w:rPr>
        <w:t>THIS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July 20, 2018, by and among Gossamer Bio,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of which is referred to in this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and each of the stockholders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each of whom is referred to herein as a “</w:t>
      </w:r>
      <w:r>
        <w:rPr>
          <w:rFonts w:ascii="Arial" w:cs="Arial" w:eastAsia="Arial" w:hAnsi="Arial"/>
          <w:sz w:val="16"/>
          <w:szCs w:val="16"/>
          <w:b w:val="1"/>
          <w:bCs w:val="1"/>
          <w:color w:val="auto"/>
        </w:rPr>
        <w:t>Key Holder</w:t>
      </w:r>
      <w:r>
        <w:rPr>
          <w:rFonts w:ascii="Arial" w:cs="Arial" w:eastAsia="Arial" w:hAnsi="Arial"/>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881"/>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certain of the Investors (the “</w:t>
      </w:r>
      <w:r>
        <w:rPr>
          <w:rFonts w:ascii="Arial" w:cs="Arial" w:eastAsia="Arial" w:hAnsi="Arial"/>
          <w:sz w:val="16"/>
          <w:szCs w:val="16"/>
          <w:b w:val="1"/>
          <w:bCs w:val="1"/>
          <w:color w:val="auto"/>
        </w:rPr>
        <w:t>Existing Investors</w:t>
      </w:r>
      <w:r>
        <w:rPr>
          <w:rFonts w:ascii="Arial" w:cs="Arial" w:eastAsia="Arial" w:hAnsi="Arial"/>
          <w:sz w:val="16"/>
          <w:szCs w:val="16"/>
          <w:color w:val="auto"/>
        </w:rPr>
        <w:t>”) hold shares of the Company’s Series Seed Preferred Stock,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$0.0001 per share (the “</w:t>
      </w:r>
      <w:r>
        <w:rPr>
          <w:rFonts w:ascii="Arial" w:cs="Arial" w:eastAsia="Arial" w:hAnsi="Arial"/>
          <w:sz w:val="16"/>
          <w:szCs w:val="16"/>
          <w:b w:val="1"/>
          <w:bCs w:val="1"/>
          <w:color w:val="auto"/>
        </w:rPr>
        <w:t>Series Seed Preferred Stock</w:t>
      </w:r>
      <w:r>
        <w:rPr>
          <w:rFonts w:ascii="Arial" w:cs="Arial" w:eastAsia="Arial" w:hAnsi="Arial"/>
          <w:sz w:val="16"/>
          <w:szCs w:val="16"/>
          <w:color w:val="auto"/>
        </w:rPr>
        <w:t>”), and/or Series A Preferred Stock, par value $0.0001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and possess registration rights, information rights, rights of first offer, and other rights pursuant to that certain Investors’ Rights Agreement dated as of January 4, 2018, by and among the Company and such Existing Investors (as amended from time to time, the “</w:t>
      </w:r>
      <w:r>
        <w:rPr>
          <w:rFonts w:ascii="Arial" w:cs="Arial" w:eastAsia="Arial" w:hAnsi="Arial"/>
          <w:sz w:val="16"/>
          <w:szCs w:val="16"/>
          <w:b w:val="1"/>
          <w:bCs w:val="1"/>
          <w:color w:val="auto"/>
        </w:rPr>
        <w:t>Prior Agreement</w:t>
      </w:r>
      <w:r>
        <w:rPr>
          <w:rFonts w:ascii="Arial" w:cs="Arial" w:eastAsia="Arial" w:hAnsi="Arial"/>
          <w:sz w:val="16"/>
          <w:szCs w:val="16"/>
          <w:color w:val="auto"/>
        </w:rPr>
        <w:t>”);</w:t>
      </w:r>
    </w:p>
    <w:p>
      <w:pPr>
        <w:spacing w:after="0" w:line="151"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sixty percent (60%) of the Registrable Securities (as defined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desire to amend and restate the Prior Agreement in its entirety and to accept the rights created pursuant to this Agreement in lieu of the rights granted to them under the Prior Agreement; and</w:t>
      </w:r>
    </w:p>
    <w:p>
      <w:pPr>
        <w:spacing w:after="0" w:line="17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Stock Purchase Agreement of even date herewith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Company and such Investors (as may be amended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9"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13"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For purposes of this definition, the terms “controlling,” “controlled by,” or “under common control with” shall mean the possession, directly or indirectly, of (i) the power to direct or cause the direction of the management and policies of a Person, whether through the ownership of voting securities, by contract, or otherwise, or (ii) the power to elect or appoint at least 50% of the directors, managers, general partners, or Persons exercising similar authority with respect to such Person. In relation to Hillhouse, the term “Affiliate” includes all investment funds, Persons or accounts directly or indirectly under the management of or advised by Hillhouse Capital Management, Ltd. or any of its Affiliates.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ARCH</w:t>
      </w:r>
      <w:r>
        <w:rPr>
          <w:rFonts w:ascii="Arial" w:cs="Arial" w:eastAsia="Arial" w:hAnsi="Arial"/>
          <w:sz w:val="18"/>
          <w:szCs w:val="18"/>
          <w:color w:val="auto"/>
        </w:rPr>
        <w:t>” means ARCH Venture Partners IX, L.P.</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means the Company’s Certificate of Incorporation, as the same may be amended from time to time.</w:t>
      </w:r>
    </w:p>
    <w:p>
      <w:pPr>
        <w:sectPr>
          <w:pgSz w:w="11900" w:h="16838" w:orient="portrait"/>
          <w:cols w:equalWidth="0" w:num="1">
            <w:col w:w="11020"/>
          </w:cols>
          <w:pgMar w:left="440" w:top="270" w:right="439" w:bottom="1440" w:gutter="0" w:footer="0" w:header="0"/>
        </w:sectPr>
      </w:pPr>
    </w:p>
    <w:bookmarkStart w:id="282" w:name="page283"/>
    <w:bookmarkEnd w:id="28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225"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as of any date, a Person engaged, directly or indirectly (including through any partnership, limited liability company, corporation, joint venture or similar arrangement (whether now existing or formed hereafter)), in the business conducted or proposed to be conducted by the Company on such date, but shall not include any financial investment firm or collective investment vehicle that, together with its Affiliates, holds less than thirty percent (30)% of the outstanding equity of any Competitor and does not, nor do any of its Affiliates, have a right to designate any members of the board of directors of any Competitor. Notwithstanding the foregoing, for as long as (i) a principal of Omega (as defined below) has the right to serve as a director of the Company, Omega shall not be deemed a Competitor, (ii) a principal of ARCH (as defined above) has the right to serve as a director of the Company, ARCH shall not be deemed a Competitor, and (iii) Hillhouse (as defined below) holds shares of the Company, Hillhouse shall not be deemed a Competitor.</w:t>
      </w:r>
    </w:p>
    <w:p>
      <w:pPr>
        <w:spacing w:after="0" w:line="185"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Hillhouse</w:t>
      </w:r>
      <w:r>
        <w:rPr>
          <w:rFonts w:ascii="Arial" w:cs="Arial" w:eastAsia="Arial" w:hAnsi="Arial"/>
          <w:sz w:val="18"/>
          <w:szCs w:val="18"/>
          <w:color w:val="auto"/>
        </w:rPr>
        <w:t>” means HH Goss Holdings LLC.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83" w:name="page284"/>
    <w:bookmarkEnd w:id="28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jc w:val="both"/>
        <w:ind w:firstLine="88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Holder Registrable Securities</w:t>
      </w:r>
      <w:r>
        <w:rPr>
          <w:rFonts w:ascii="Arial" w:cs="Arial" w:eastAsia="Arial" w:hAnsi="Arial"/>
          <w:sz w:val="18"/>
          <w:szCs w:val="18"/>
          <w:color w:val="auto"/>
        </w:rPr>
        <w:t>” means (i) the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7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3,000,000 shares of Preferred Stock or Common Stock issued on conversion thereof, as adjusted for any stock split, stock dividend, combination, or other recapitalization or reclassification effected after the date hereof.</w:t>
      </w:r>
    </w:p>
    <w:p>
      <w:pPr>
        <w:spacing w:after="0" w:line="17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Omega</w:t>
      </w:r>
      <w:r>
        <w:rPr>
          <w:rFonts w:ascii="Arial" w:cs="Arial" w:eastAsia="Arial" w:hAnsi="Arial"/>
          <w:sz w:val="18"/>
          <w:szCs w:val="18"/>
          <w:color w:val="auto"/>
        </w:rPr>
        <w:t>” means Omega Fund V, L.P.</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the Series A Directors and the Series B Director.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Series B Preferred Stock, Series A Preferred Stock and Series Seed Preferred Stock.</w:t>
      </w:r>
    </w:p>
    <w:p>
      <w:pPr>
        <w:spacing w:after="0" w:line="225"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after the date hereof; (iii) the Key Holder Registrable Securities, provided, that such Key Holder Registrable Securities shall not be deemed Registrable Securities and the Key Holders shall not be deemed Holders for purposes of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excluding in all cases, however, any Registrable Securities sold by a Person 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84" w:name="page285"/>
    <w:bookmarkEnd w:id="28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transaction in which the applicable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16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xml:space="preserve"> hereof.</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176"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that the holders of record of the Series A Preferred Stock are entitled to elect pursuant to the Company’s Certificate of Incorporation.</w:t>
      </w:r>
    </w:p>
    <w:p>
      <w:pPr>
        <w:spacing w:after="0" w:line="162"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Company’s Certificate of Incorporation.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shares of Series A Preferred Stock, $0.0001 par value per share,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the shares of Series B Preferred Stock, $0.0001 par value per share, of the Company.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Seed Preferred Stock</w:t>
      </w:r>
      <w:r>
        <w:rPr>
          <w:rFonts w:ascii="Arial" w:cs="Arial" w:eastAsia="Arial" w:hAnsi="Arial"/>
          <w:sz w:val="18"/>
          <w:szCs w:val="18"/>
          <w:color w:val="auto"/>
        </w:rPr>
        <w:t>” means the shares of Series Seed Preferred Stock, $0.0001 par value per share, of the Company.</w:t>
      </w:r>
    </w:p>
    <w:p>
      <w:pPr>
        <w:spacing w:after="0" w:line="229" w:lineRule="exact"/>
        <w:rPr>
          <w:sz w:val="20"/>
          <w:szCs w:val="20"/>
          <w:color w:val="auto"/>
        </w:rPr>
      </w:pPr>
    </w:p>
    <w:p>
      <w:pPr>
        <w:ind w:left="880" w:right="5340" w:hanging="436"/>
        <w:spacing w:after="0" w:line="375" w:lineRule="auto"/>
        <w:tabs>
          <w:tab w:leader="none" w:pos="754"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820" w:hanging="384"/>
        <w:spacing w:after="0"/>
        <w:tabs>
          <w:tab w:leader="none" w:pos="1820" w:val="left"/>
        </w:tabs>
        <w:numPr>
          <w:ilvl w:val="2"/>
          <w:numId w:val="173"/>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46" w:lineRule="exact"/>
        <w:rPr>
          <w:rFonts w:ascii="Arial" w:cs="Arial" w:eastAsia="Arial" w:hAnsi="Arial"/>
          <w:sz w:val="16"/>
          <w:szCs w:val="16"/>
          <w:color w:val="auto"/>
        </w:rPr>
      </w:pPr>
    </w:p>
    <w:p>
      <w:pPr>
        <w:jc w:val="both"/>
        <w:ind w:firstLine="4"/>
        <w:spacing w:after="0" w:line="255" w:lineRule="auto"/>
        <w:tabs>
          <w:tab w:leader="none" w:pos="44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after the effective date of the registration statement for the IPO, the Company receives a request from Major Investors holding at least thirty percent (30%) of the Registrable Securities then outstanding that the Company file a Form S-1 registration statement with respect to at least fifty percent (50%) of the Registrable Securities then outstanding (or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lesser percent if the anticipated aggregate offering price, net of Selling Expenses, would exceed $10 million), then the Company shall (x) within ten</w:t>
      </w:r>
    </w:p>
    <w:p>
      <w:pPr>
        <w:spacing w:after="0" w:line="35" w:lineRule="exact"/>
        <w:rPr>
          <w:sz w:val="20"/>
          <w:szCs w:val="20"/>
          <w:color w:val="auto"/>
        </w:rPr>
      </w:pPr>
    </w:p>
    <w:p>
      <w:pPr>
        <w:jc w:val="both"/>
        <w:ind w:firstLine="4"/>
        <w:spacing w:after="0" w:line="292" w:lineRule="auto"/>
        <w:tabs>
          <w:tab w:leader="none" w:pos="3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ninety (90)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firstLine="1436"/>
        <w:spacing w:after="0" w:line="271" w:lineRule="auto"/>
        <w:tabs>
          <w:tab w:leader="none" w:pos="1836"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Major Investors holding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firstLine="1436"/>
        <w:spacing w:after="0" w:line="283" w:lineRule="auto"/>
        <w:tabs>
          <w:tab w:leader="none" w:pos="191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twice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sixty</w:t>
      </w:r>
    </w:p>
    <w:p>
      <w:pPr>
        <w:spacing w:after="0" w:line="5" w:lineRule="exact"/>
        <w:rPr>
          <w:rFonts w:ascii="Arial" w:cs="Arial" w:eastAsia="Arial" w:hAnsi="Arial"/>
          <w:sz w:val="16"/>
          <w:szCs w:val="16"/>
          <w:color w:val="auto"/>
        </w:rPr>
      </w:pPr>
    </w:p>
    <w:p>
      <w:pPr>
        <w:ind w:left="340" w:hanging="336"/>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day period other than an Excluded Registration.</w:t>
      </w:r>
    </w:p>
    <w:p>
      <w:pPr>
        <w:spacing w:after="0" w:line="102" w:lineRule="exact"/>
        <w:rPr>
          <w:rFonts w:ascii="Arial" w:cs="Arial" w:eastAsia="Arial" w:hAnsi="Arial"/>
          <w:sz w:val="18"/>
          <w:szCs w:val="18"/>
          <w:color w:val="auto"/>
        </w:rPr>
      </w:pPr>
    </w:p>
    <w:p>
      <w:pPr>
        <w:jc w:val="both"/>
        <w:ind w:firstLine="1436"/>
        <w:spacing w:after="0" w:line="291" w:lineRule="auto"/>
        <w:tabs>
          <w:tab w:leader="none" w:pos="184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w:t>
      </w:r>
    </w:p>
    <w:p>
      <w:pPr>
        <w:jc w:val="both"/>
        <w:ind w:firstLine="4"/>
        <w:spacing w:after="0" w:line="270" w:lineRule="auto"/>
        <w:tabs>
          <w:tab w:leader="none" w:pos="45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2.1(a)</w:t>
      </w:r>
      <w:r>
        <w:rPr>
          <w:rFonts w:ascii="Arial" w:cs="Arial" w:eastAsia="Arial" w:hAnsi="Arial"/>
          <w:sz w:val="17"/>
          <w:szCs w:val="17"/>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86" w:name="page287"/>
    <w:bookmarkEnd w:id="286"/>
    <w:p>
      <w:pPr>
        <w:jc w:val="both"/>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178"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179"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jc w:val="both"/>
        <w:ind w:firstLine="1436"/>
        <w:spacing w:after="0" w:line="286" w:lineRule="auto"/>
        <w:tabs>
          <w:tab w:leader="none" w:pos="183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60" w:lineRule="exact"/>
        <w:rPr>
          <w:rFonts w:ascii="Arial" w:cs="Arial" w:eastAsia="Arial" w:hAnsi="Arial"/>
          <w:sz w:val="16"/>
          <w:szCs w:val="16"/>
          <w:color w:val="auto"/>
        </w:rPr>
      </w:pPr>
    </w:p>
    <w:p>
      <w:pPr>
        <w:jc w:val="both"/>
        <w:ind w:firstLine="1436"/>
        <w:spacing w:after="0" w:line="264" w:lineRule="auto"/>
        <w:tabs>
          <w:tab w:leader="none" w:pos="18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 connection with any offering involving an underwriting of shares of the Company’s capital stock pursuant to </w:t>
      </w:r>
      <w:r>
        <w:rPr>
          <w:rFonts w:ascii="Arial" w:cs="Arial" w:eastAsia="Arial" w:hAnsi="Arial"/>
          <w:sz w:val="18"/>
          <w:szCs w:val="18"/>
          <w:u w:val="single" w:color="auto"/>
          <w:color w:val="auto"/>
        </w:rPr>
        <w:t>Subsection 2.2</w:t>
      </w:r>
      <w:r>
        <w:rPr>
          <w:rFonts w:ascii="Arial" w:cs="Arial" w:eastAsia="Arial" w:hAnsi="Arial"/>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if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7" w:name="page288"/>
    <w:bookmarkEnd w:id="287"/>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the number of Registrable Securities included in the offering be reduced unless all other securities (other than securities to be sold by the Company) are first entirely excluded from the offering. For purposes of the provision in this </w:t>
      </w:r>
      <w:r>
        <w:rPr>
          <w:rFonts w:ascii="Arial" w:cs="Arial" w:eastAsia="Arial" w:hAnsi="Arial"/>
          <w:sz w:val="17"/>
          <w:szCs w:val="17"/>
          <w:u w:val="single" w:color="auto"/>
          <w:color w:val="auto"/>
        </w:rPr>
        <w:t>Subsection 2.3(b)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73" w:lineRule="exact"/>
        <w:rPr>
          <w:sz w:val="20"/>
          <w:szCs w:val="20"/>
          <w:color w:val="auto"/>
        </w:rPr>
      </w:pPr>
    </w:p>
    <w:p>
      <w:pPr>
        <w:jc w:val="both"/>
        <w:ind w:firstLine="1436"/>
        <w:spacing w:after="0" w:line="264" w:lineRule="auto"/>
        <w:tabs>
          <w:tab w:leader="none" w:pos="196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1"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Whenever required under this</w:t>
      </w:r>
      <w:r>
        <w:rPr>
          <w:rFonts w:ascii="Arial" w:cs="Arial" w:eastAsia="Arial" w:hAnsi="Arial"/>
          <w:sz w:val="17"/>
          <w:szCs w:val="17"/>
          <w:u w:val="single" w:color="auto"/>
          <w:color w:val="auto"/>
        </w:rPr>
        <w:t xml:space="preserve"> Section 2 </w:t>
      </w:r>
      <w:r>
        <w:rPr>
          <w:rFonts w:ascii="Arial" w:cs="Arial" w:eastAsia="Arial" w:hAnsi="Arial"/>
          <w:sz w:val="17"/>
          <w:szCs w:val="17"/>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jc w:val="both"/>
        <w:ind w:firstLine="1436"/>
        <w:spacing w:after="0" w:line="270" w:lineRule="auto"/>
        <w:tabs>
          <w:tab w:leader="none" w:pos="188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to the extent necessary to keep the registration statement effective until all such Registrable Securities are sold;</w:t>
      </w:r>
    </w:p>
    <w:p>
      <w:pPr>
        <w:spacing w:after="0" w:line="73" w:lineRule="exact"/>
        <w:rPr>
          <w:rFonts w:ascii="Arial" w:cs="Arial" w:eastAsia="Arial" w:hAnsi="Arial"/>
          <w:sz w:val="17"/>
          <w:szCs w:val="17"/>
          <w:color w:val="auto"/>
        </w:rPr>
      </w:pPr>
    </w:p>
    <w:p>
      <w:pPr>
        <w:jc w:val="both"/>
        <w:ind w:firstLine="1436"/>
        <w:spacing w:after="0" w:line="264" w:lineRule="auto"/>
        <w:tabs>
          <w:tab w:leader="none" w:pos="18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88" w:name="page289"/>
    <w:bookmarkEnd w:id="288"/>
    <w:p>
      <w:pPr>
        <w:ind w:firstLine="1436"/>
        <w:spacing w:after="0" w:line="342" w:lineRule="auto"/>
        <w:tabs>
          <w:tab w:leader="none" w:pos="1857"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5" w:lineRule="exact"/>
        <w:rPr>
          <w:rFonts w:ascii="Arial" w:cs="Arial" w:eastAsia="Arial" w:hAnsi="Arial"/>
          <w:sz w:val="16"/>
          <w:szCs w:val="16"/>
          <w:color w:val="auto"/>
        </w:rPr>
      </w:pPr>
    </w:p>
    <w:p>
      <w:pPr>
        <w:jc w:val="both"/>
        <w:ind w:firstLine="1436"/>
        <w:spacing w:after="0" w:line="259" w:lineRule="auto"/>
        <w:tabs>
          <w:tab w:leader="none" w:pos="18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8" w:lineRule="exact"/>
        <w:rPr>
          <w:rFonts w:ascii="Arial" w:cs="Arial" w:eastAsia="Arial" w:hAnsi="Arial"/>
          <w:sz w:val="18"/>
          <w:szCs w:val="18"/>
          <w:color w:val="auto"/>
        </w:rPr>
      </w:pPr>
    </w:p>
    <w:p>
      <w:pPr>
        <w:ind w:firstLine="1436"/>
        <w:spacing w:after="0" w:line="277" w:lineRule="auto"/>
        <w:tabs>
          <w:tab w:leader="none" w:pos="187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jc w:val="both"/>
        <w:ind w:firstLine="1436"/>
        <w:spacing w:after="0" w:line="264" w:lineRule="auto"/>
        <w:tabs>
          <w:tab w:leader="none" w:pos="185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3" w:lineRule="exact"/>
        <w:rPr>
          <w:rFonts w:ascii="Arial" w:cs="Arial" w:eastAsia="Arial" w:hAnsi="Arial"/>
          <w:sz w:val="18"/>
          <w:szCs w:val="18"/>
          <w:color w:val="auto"/>
        </w:rPr>
      </w:pPr>
    </w:p>
    <w:p>
      <w:pPr>
        <w:ind w:firstLine="1436"/>
        <w:spacing w:after="0" w:line="277" w:lineRule="auto"/>
        <w:tabs>
          <w:tab w:leader="none" w:pos="184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jc w:val="both"/>
        <w:ind w:firstLine="1436"/>
        <w:spacing w:after="0" w:line="255" w:lineRule="auto"/>
        <w:tabs>
          <w:tab w:leader="none" w:pos="187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5" w:lineRule="exact"/>
        <w:rPr>
          <w:rFonts w:ascii="Arial" w:cs="Arial" w:eastAsia="Arial" w:hAnsi="Arial"/>
          <w:sz w:val="18"/>
          <w:szCs w:val="18"/>
          <w:color w:val="auto"/>
        </w:rPr>
      </w:pPr>
    </w:p>
    <w:p>
      <w:pPr>
        <w:ind w:firstLine="1436"/>
        <w:spacing w:after="0" w:line="277" w:lineRule="auto"/>
        <w:tabs>
          <w:tab w:leader="none" w:pos="183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62" w:lineRule="exact"/>
        <w:rPr>
          <w:rFonts w:ascii="Arial" w:cs="Arial" w:eastAsia="Arial" w:hAnsi="Arial"/>
          <w:sz w:val="18"/>
          <w:szCs w:val="18"/>
          <w:color w:val="auto"/>
        </w:rPr>
      </w:pPr>
    </w:p>
    <w:p>
      <w:pPr>
        <w:ind w:firstLine="1436"/>
        <w:spacing w:after="0" w:line="277" w:lineRule="auto"/>
        <w:tabs>
          <w:tab w:leader="none" w:pos="18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1" w:lineRule="exact"/>
        <w:rPr>
          <w:sz w:val="20"/>
          <w:szCs w:val="20"/>
          <w:color w:val="auto"/>
        </w:rPr>
      </w:pPr>
    </w:p>
    <w:p>
      <w:pPr>
        <w:jc w:val="both"/>
        <w:ind w:firstLine="881"/>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Furnish Information</w:t>
      </w:r>
      <w:r>
        <w:rPr>
          <w:rFonts w:ascii="Arial" w:cs="Arial" w:eastAsia="Arial" w:hAnsi="Arial"/>
          <w:sz w:val="16"/>
          <w:szCs w:val="16"/>
          <w:color w:val="auto"/>
        </w:rPr>
        <w:t xml:space="preserve">. It shall be a condition precedent to the obligations of the Company to take any action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with respect to the Registrable Securities of any selling Holder that such Holder shall furnish to the Company such information regarding itself,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9" w:name="page290"/>
    <w:bookmarkEnd w:id="28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held by it, and the intended method of disposition of such securities as is reasonably required to effect the registration of such Holder’s Registrable Securities.</w:t>
      </w:r>
    </w:p>
    <w:p>
      <w:pPr>
        <w:spacing w:after="0" w:line="170"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of one counsel, not to exceed $40,000 per registration, for the selling Holders selected by the Holders of a majority of the Registrable Securities to be registered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shall have learned of a material adverse change in the financial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75" w:lineRule="exact"/>
        <w:rPr>
          <w:sz w:val="20"/>
          <w:szCs w:val="20"/>
          <w:color w:val="auto"/>
        </w:rPr>
      </w:pPr>
    </w:p>
    <w:p>
      <w:pPr>
        <w:jc w:val="both"/>
        <w:ind w:firstLine="88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117" w:lineRule="exact"/>
        <w:rPr>
          <w:sz w:val="20"/>
          <w:szCs w:val="20"/>
          <w:color w:val="auto"/>
        </w:rPr>
      </w:pPr>
    </w:p>
    <w:p>
      <w:pPr>
        <w:jc w:val="both"/>
        <w:ind w:firstLine="1436"/>
        <w:spacing w:after="0" w:line="270" w:lineRule="auto"/>
        <w:tabs>
          <w:tab w:leader="none" w:pos="181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9" w:lineRule="exact"/>
        <w:rPr>
          <w:rFonts w:ascii="Arial" w:cs="Arial" w:eastAsia="Arial" w:hAnsi="Arial"/>
          <w:sz w:val="17"/>
          <w:szCs w:val="17"/>
          <w:color w:val="auto"/>
        </w:rPr>
      </w:pPr>
    </w:p>
    <w:p>
      <w:pPr>
        <w:jc w:val="both"/>
        <w:ind w:firstLine="1436"/>
        <w:spacing w:after="0" w:line="264" w:lineRule="auto"/>
        <w:tabs>
          <w:tab w:leader="none" w:pos="18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90" w:name="page291"/>
    <w:bookmarkEnd w:id="290"/>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59" w:lineRule="exact"/>
        <w:rPr>
          <w:sz w:val="20"/>
          <w:szCs w:val="20"/>
          <w:color w:val="auto"/>
        </w:rPr>
      </w:pPr>
    </w:p>
    <w:p>
      <w:pPr>
        <w:jc w:val="both"/>
        <w:ind w:firstLine="1436"/>
        <w:spacing w:after="0" w:line="269" w:lineRule="auto"/>
        <w:tabs>
          <w:tab w:leader="none" w:pos="1933"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jc w:val="both"/>
        <w:ind w:firstLine="1436"/>
        <w:spacing w:after="0" w:line="286" w:lineRule="auto"/>
        <w:tabs>
          <w:tab w:leader="none" w:pos="1821"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jc w:val="both"/>
        <w:ind w:firstLine="4"/>
        <w:spacing w:after="0" w:line="287" w:lineRule="auto"/>
        <w:tabs>
          <w:tab w:leader="none" w:pos="27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91" w:name="page292"/>
    <w:bookmarkEnd w:id="291"/>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70" w:lineRule="exact"/>
        <w:rPr>
          <w:sz w:val="20"/>
          <w:szCs w:val="20"/>
          <w:color w:val="auto"/>
        </w:rPr>
      </w:pPr>
    </w:p>
    <w:p>
      <w:pPr>
        <w:jc w:val="both"/>
        <w:ind w:firstLine="1436"/>
        <w:spacing w:after="0" w:line="264" w:lineRule="auto"/>
        <w:tabs>
          <w:tab w:leader="none" w:pos="1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3" w:lineRule="exact"/>
        <w:rPr>
          <w:rFonts w:ascii="Arial" w:cs="Arial" w:eastAsia="Arial" w:hAnsi="Arial"/>
          <w:sz w:val="18"/>
          <w:szCs w:val="18"/>
          <w:color w:val="auto"/>
        </w:rPr>
      </w:pPr>
    </w:p>
    <w:p>
      <w:pPr>
        <w:jc w:val="both"/>
        <w:ind w:firstLine="1436"/>
        <w:spacing w:after="0" w:line="264" w:lineRule="auto"/>
        <w:tabs>
          <w:tab w:leader="none" w:pos="18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3" w:lineRule="exact"/>
        <w:rPr>
          <w:sz w:val="20"/>
          <w:szCs w:val="20"/>
          <w:color w:val="auto"/>
        </w:rPr>
      </w:pPr>
    </w:p>
    <w:p>
      <w:pPr>
        <w:ind w:firstLine="1436"/>
        <w:spacing w:after="0" w:line="277" w:lineRule="auto"/>
        <w:tabs>
          <w:tab w:leader="none" w:pos="18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62" w:lineRule="exact"/>
        <w:rPr>
          <w:rFonts w:ascii="Arial" w:cs="Arial" w:eastAsia="Arial" w:hAnsi="Arial"/>
          <w:sz w:val="18"/>
          <w:szCs w:val="18"/>
          <w:color w:val="auto"/>
        </w:rPr>
      </w:pPr>
    </w:p>
    <w:p>
      <w:pPr>
        <w:ind w:firstLine="1436"/>
        <w:spacing w:after="0" w:line="342" w:lineRule="auto"/>
        <w:tabs>
          <w:tab w:leader="none" w:pos="187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5" w:lineRule="exact"/>
        <w:rPr>
          <w:rFonts w:ascii="Arial" w:cs="Arial" w:eastAsia="Arial" w:hAnsi="Arial"/>
          <w:sz w:val="16"/>
          <w:szCs w:val="16"/>
          <w:color w:val="auto"/>
        </w:rPr>
      </w:pPr>
    </w:p>
    <w:p>
      <w:pPr>
        <w:jc w:val="both"/>
        <w:ind w:firstLine="1436"/>
        <w:spacing w:after="0" w:line="291" w:lineRule="auto"/>
        <w:tabs>
          <w:tab w:leader="none" w:pos="181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7" w:lineRule="exact"/>
        <w:rPr>
          <w:sz w:val="20"/>
          <w:szCs w:val="20"/>
          <w:color w:val="auto"/>
        </w:rPr>
      </w:pPr>
    </w:p>
    <w:p>
      <w:pPr>
        <w:jc w:val="both"/>
        <w:ind w:firstLine="881"/>
        <w:spacing w:after="0" w:line="29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of at least sixty-five percent (65%)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92" w:name="page293"/>
    <w:bookmarkEnd w:id="292"/>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(ii)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6.9.</w:t>
      </w:r>
    </w:p>
    <w:p>
      <w:pPr>
        <w:spacing w:after="0" w:line="147" w:lineRule="exact"/>
        <w:rPr>
          <w:sz w:val="20"/>
          <w:szCs w:val="20"/>
          <w:color w:val="auto"/>
        </w:rPr>
      </w:pPr>
    </w:p>
    <w:p>
      <w:pPr>
        <w:jc w:val="both"/>
        <w:ind w:firstLine="881"/>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or Form S-3, and ending on the date specified by the Company and the managing underwriter (such period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 shall apply only to the IPO (but, for the avoidance of doubt, shall not apply to shares acquired by the Holder in the IPO; provided that upon a transfer of such shares, no public disclosure or filing under the Exchange Act by, in the case of a sale into the market, the Holder, and in the case of all other types of transfers, any party to the transfer shall be required, or made voluntarily, during the Lock-up Period), (b) shall not apply to the sale of any shares to an underwriter pursuant to an underwriting agreement, (c) shall not apply to the transfer of any shares to any trust for the direct or indirect benefit of the Holder or the immediate family of the Holder, provided that the trustee of the trust agrees to be bound in writing by the restrictions set forth herein, and provided further that any such transfer shall not involve a disposition for value, (d) shall not apply, in the case of a Holder that is an entity, to the transfer of any shares to an Affiliate of such Holder or any of the Holder’s stockholders, members, partners or other equity holders, provided that such Affiliate, stockholder, member, partner or other equity holder agrees to be bound in writing by the restrictions set forth herein and no public disclosure or filing under the Exchange Act by any party to the transfer (the Holder, Affiliate, stockholder, member, partner or other equity holder ) shall be required, or made voluntarily, during the Lock-up Period, and (e) shall be applicable to the Holders only if all officers and directors are subject to the same restrictions and the Company obtains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directors, officers, and Holders owning more than one percent (1%) of the Company’s outstanding Common Stock (after giving effect to conversion into Common Stock of all outstanding Preferred Stock) subject to such agreements, based on the number of shares subject to such agreements, except that, notwithstanding the foregoing, the Company and the underwriters may, in their sole discretion, waive or terminate these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with respect to up to one percent (1%) of the Company’s then outstanding shares of the Common Stock.</w:t>
      </w:r>
    </w:p>
    <w:p>
      <w:pPr>
        <w:spacing w:after="0" w:line="225"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7" w:lineRule="exact"/>
        <w:rPr>
          <w:sz w:val="20"/>
          <w:szCs w:val="20"/>
          <w:color w:val="auto"/>
        </w:rPr>
      </w:pPr>
    </w:p>
    <w:p>
      <w:pPr>
        <w:jc w:val="both"/>
        <w:ind w:firstLine="1436"/>
        <w:spacing w:after="0" w:line="276" w:lineRule="auto"/>
        <w:tabs>
          <w:tab w:leader="none" w:pos="183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64" w:lineRule="exact"/>
        <w:rPr>
          <w:rFonts w:ascii="Arial" w:cs="Arial" w:eastAsia="Arial" w:hAnsi="Arial"/>
          <w:sz w:val="17"/>
          <w:szCs w:val="17"/>
          <w:color w:val="auto"/>
        </w:rPr>
      </w:pPr>
    </w:p>
    <w:p>
      <w:pPr>
        <w:jc w:val="both"/>
        <w:ind w:firstLine="1436"/>
        <w:spacing w:after="0" w:line="259" w:lineRule="auto"/>
        <w:tabs>
          <w:tab w:leader="none" w:pos="1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be notated with a legend substantially in the following form:</w:t>
      </w:r>
    </w:p>
    <w:p>
      <w:pPr>
        <w:spacing w:after="0" w:line="187"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1"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jc w:val="both"/>
        <w:ind w:firstLine="1436"/>
        <w:spacing w:after="0" w:line="284" w:lineRule="auto"/>
        <w:tabs>
          <w:tab w:leader="none" w:pos="193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of ownership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1" w:lineRule="exact"/>
        <w:rPr>
          <w:rFonts w:ascii="Arial" w:cs="Arial" w:eastAsia="Arial" w:hAnsi="Arial"/>
          <w:sz w:val="16"/>
          <w:szCs w:val="16"/>
          <w:color w:val="auto"/>
        </w:rPr>
      </w:pPr>
    </w:p>
    <w:p>
      <w:pPr>
        <w:jc w:val="both"/>
        <w:ind w:firstLine="4"/>
        <w:spacing w:after="0" w:line="255" w:lineRule="auto"/>
        <w:tabs>
          <w:tab w:leader="none" w:pos="3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94" w:name="page295"/>
    <w:bookmarkEnd w:id="29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given by the Holder to the Company. The Company will not require such a legal opinion or “no action” letter (x) in any transaction in compliance with SEC Rule 144; (y) in any transaction in which such Holder distributes Restricted Securities to an Affiliate of such Holder for no consideration; or</w:t>
      </w:r>
    </w:p>
    <w:p>
      <w:pPr>
        <w:jc w:val="both"/>
        <w:ind w:firstLine="4"/>
        <w:spacing w:after="0" w:line="290" w:lineRule="auto"/>
        <w:tabs>
          <w:tab w:leader="none" w:pos="2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in any transaction in which such Holder transfers Restricted Securities by gift, will or intestate succession to his or her Immediate Family Member or trust for the benefit of an individual Holder or one or more of such Holder’s Immediate Family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64"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1820" w:hanging="384"/>
        <w:spacing w:after="0"/>
        <w:tabs>
          <w:tab w:leader="none" w:pos="18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w:t>
      </w:r>
    </w:p>
    <w:p>
      <w:pPr>
        <w:spacing w:after="0" w:line="117" w:lineRule="exact"/>
        <w:rPr>
          <w:rFonts w:ascii="Arial" w:cs="Arial" w:eastAsia="Arial" w:hAnsi="Arial"/>
          <w:sz w:val="18"/>
          <w:szCs w:val="18"/>
          <w:color w:val="auto"/>
        </w:rPr>
      </w:pPr>
    </w:p>
    <w:p>
      <w:pPr>
        <w:ind w:firstLine="1436"/>
        <w:spacing w:after="0" w:line="277" w:lineRule="auto"/>
        <w:tabs>
          <w:tab w:leader="none" w:pos="18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62" w:lineRule="exact"/>
        <w:rPr>
          <w:rFonts w:ascii="Arial" w:cs="Arial" w:eastAsia="Arial" w:hAnsi="Arial"/>
          <w:sz w:val="18"/>
          <w:szCs w:val="18"/>
          <w:color w:val="auto"/>
        </w:rPr>
      </w:pPr>
    </w:p>
    <w:p>
      <w:pPr>
        <w:ind w:left="1820" w:hanging="384"/>
        <w:spacing w:after="0"/>
        <w:tabs>
          <w:tab w:leader="none" w:pos="18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225" w:lineRule="exact"/>
        <w:rPr>
          <w:sz w:val="20"/>
          <w:szCs w:val="20"/>
          <w:color w:val="auto"/>
        </w:rPr>
      </w:pPr>
    </w:p>
    <w:p>
      <w:pPr>
        <w:ind w:left="760" w:hanging="316"/>
        <w:spacing w:after="0"/>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has not reasonably determined that such Major Investor is a Competitor:</w:t>
      </w:r>
    </w:p>
    <w:p>
      <w:pPr>
        <w:spacing w:after="0" w:line="62" w:lineRule="exact"/>
        <w:rPr>
          <w:sz w:val="20"/>
          <w:szCs w:val="20"/>
          <w:color w:val="auto"/>
        </w:rPr>
      </w:pPr>
    </w:p>
    <w:p>
      <w:pPr>
        <w:ind w:left="1840" w:hanging="404"/>
        <w:spacing w:after="0"/>
        <w:tabs>
          <w:tab w:leader="none" w:pos="18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jc w:val="both"/>
        <w:ind w:firstLine="4"/>
        <w:spacing w:after="0" w:line="281" w:lineRule="auto"/>
        <w:tabs>
          <w:tab w:leader="none" w:pos="21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6"/>
          <w:szCs w:val="16"/>
          <w:u w:val="single" w:color="auto"/>
          <w:color w:val="auto"/>
        </w:rPr>
        <w:t>Subsection 3.1(e)</w:t>
      </w:r>
      <w:r>
        <w:rPr>
          <w:rFonts w:ascii="Arial" w:cs="Arial" w:eastAsia="Arial" w:hAnsi="Arial"/>
          <w:sz w:val="16"/>
          <w:szCs w:val="16"/>
          <w:color w:val="auto"/>
        </w:rPr>
        <w:t>) for such year, with an explanation of any material differences between such amounts and a schedule as to the sources and applications of funds for such year, and</w:t>
      </w:r>
    </w:p>
    <w:p>
      <w:pPr>
        <w:spacing w:after="0" w:line="2" w:lineRule="exact"/>
        <w:rPr>
          <w:rFonts w:ascii="Arial" w:cs="Arial" w:eastAsia="Arial" w:hAnsi="Arial"/>
          <w:sz w:val="16"/>
          <w:szCs w:val="16"/>
          <w:color w:val="auto"/>
        </w:rPr>
      </w:pPr>
    </w:p>
    <w:p>
      <w:pPr>
        <w:jc w:val="both"/>
        <w:ind w:firstLine="4"/>
        <w:spacing w:after="0" w:line="253" w:lineRule="auto"/>
        <w:tabs>
          <w:tab w:leader="none" w:pos="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 statement of stockholders’ equity as of the end of such year, all such financial statements audited and certified by independent public accountants of recognized standing selected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obligation to deliver such financial statements shall be suspended until the completion of the fiscal year ended December 31, 2018;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obligation that such financial statements be audited and certified may be waived by the Board (including a majority of the Preferred Directors, which majority includes the Series B Director), or the Requisite Holders (as such term is defined in the Certificate of Incorporation);</w:t>
      </w:r>
    </w:p>
    <w:p>
      <w:pPr>
        <w:spacing w:after="0" w:line="83" w:lineRule="exact"/>
        <w:rPr>
          <w:rFonts w:ascii="Arial" w:cs="Arial" w:eastAsia="Arial" w:hAnsi="Arial"/>
          <w:sz w:val="18"/>
          <w:szCs w:val="18"/>
          <w:color w:val="auto"/>
        </w:rPr>
      </w:pPr>
    </w:p>
    <w:p>
      <w:pPr>
        <w:jc w:val="both"/>
        <w:ind w:firstLine="1436"/>
        <w:spacing w:after="0" w:line="286" w:lineRule="auto"/>
        <w:tabs>
          <w:tab w:leader="none" w:pos="18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95" w:name="page296"/>
    <w:bookmarkEnd w:id="29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financial statements may (i) be subject to normal year-end audit adjustments; and (ii) not contain all notes thereto that may be required in accordance with GAAP);</w:t>
      </w:r>
    </w:p>
    <w:p>
      <w:pPr>
        <w:spacing w:after="0" w:line="62" w:lineRule="exact"/>
        <w:rPr>
          <w:sz w:val="20"/>
          <w:szCs w:val="20"/>
          <w:color w:val="auto"/>
        </w:rPr>
      </w:pPr>
    </w:p>
    <w:p>
      <w:pPr>
        <w:jc w:val="both"/>
        <w:ind w:firstLine="1436"/>
        <w:spacing w:after="0" w:line="255" w:lineRule="auto"/>
        <w:tabs>
          <w:tab w:leader="none" w:pos="185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81" w:lineRule="exact"/>
        <w:rPr>
          <w:rFonts w:ascii="Arial" w:cs="Arial" w:eastAsia="Arial" w:hAnsi="Arial"/>
          <w:sz w:val="18"/>
          <w:szCs w:val="18"/>
          <w:color w:val="auto"/>
        </w:rPr>
      </w:pPr>
    </w:p>
    <w:p>
      <w:pPr>
        <w:jc w:val="both"/>
        <w:ind w:firstLine="1436"/>
        <w:spacing w:after="0" w:line="259" w:lineRule="auto"/>
        <w:tabs>
          <w:tab w:leader="none" w:pos="186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w:t>
      </w:r>
    </w:p>
    <w:p>
      <w:pPr>
        <w:spacing w:after="0" w:line="78" w:lineRule="exact"/>
        <w:rPr>
          <w:rFonts w:ascii="Arial" w:cs="Arial" w:eastAsia="Arial" w:hAnsi="Arial"/>
          <w:sz w:val="18"/>
          <w:szCs w:val="18"/>
          <w:color w:val="auto"/>
        </w:rPr>
      </w:pPr>
    </w:p>
    <w:p>
      <w:pPr>
        <w:jc w:val="both"/>
        <w:ind w:firstLine="1436"/>
        <w:spacing w:after="0" w:line="312" w:lineRule="auto"/>
        <w:tabs>
          <w:tab w:leader="none" w:pos="185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and prepared on a monthly basis, including balance sheets, income statements, and statements of cash flow for such months and, promptly after prepared, any other budgets or revised budgets prepared by the Company; and</w:t>
      </w:r>
    </w:p>
    <w:p>
      <w:pPr>
        <w:spacing w:after="0" w:line="38" w:lineRule="exact"/>
        <w:rPr>
          <w:rFonts w:ascii="Arial" w:cs="Arial" w:eastAsia="Arial" w:hAnsi="Arial"/>
          <w:sz w:val="16"/>
          <w:szCs w:val="16"/>
          <w:color w:val="auto"/>
        </w:rPr>
      </w:pPr>
    </w:p>
    <w:p>
      <w:pPr>
        <w:jc w:val="both"/>
        <w:ind w:firstLine="1436"/>
        <w:spacing w:after="0" w:line="257" w:lineRule="auto"/>
        <w:tabs>
          <w:tab w:leader="none" w:pos="17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has not reasonably determined that such Major Investor is a Competitor), at such Major Investor’s expense, to visit and inspect the Company’s properties; examine its books of account and records; and discuss the Company’s affairs, finances, and accounts with its officers, during normal business hours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96" w:name="page297"/>
    <w:bookmarkEnd w:id="29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as may be 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87"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Observer Rights</w:t>
      </w:r>
      <w:r>
        <w:rPr>
          <w:rFonts w:ascii="Arial" w:cs="Arial" w:eastAsia="Arial" w:hAnsi="Arial"/>
          <w:sz w:val="17"/>
          <w:szCs w:val="17"/>
          <w:color w:val="auto"/>
        </w:rPr>
        <w:t>. As long as Hillhouse owns not less than twenty percent (20%) of the shares of Series B Preferred Stock it is purchasing under the Purchase Agreement (or an equivalent amount of Common Stock issued upon conversion thereof), the Company shall invite a representative of Hillhouse to attend all meetings of the Board in a nonvoting observer capacity and, in this respect, shall give such representative copies of all notices, minutes, consents, and other materials that it provides to its directors: provided, however, that such representative shall agree to hold in confidence and trust and to act in a fiduciary manner with respect to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w:t>
      </w:r>
    </w:p>
    <w:p>
      <w:pPr>
        <w:spacing w:after="0" w:line="179"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Termination of Information, Inspection and Observer Rights</w:t>
      </w:r>
      <w:r>
        <w:rPr>
          <w:rFonts w:ascii="Arial" w:cs="Arial" w:eastAsia="Arial" w:hAnsi="Arial"/>
          <w:sz w:val="16"/>
          <w:szCs w:val="16"/>
          <w:color w:val="auto"/>
        </w:rPr>
        <w:t>. The covenants set forth in Subsections 3.1, 3.2 and 3.3 shall terminate and be of no further force or effect (i) immediately before the consummation of a Qualified IPO, as such term is defined in the Company’s Certificate of Incorporation,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54"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Confidentiality; Name Use</w:t>
      </w:r>
      <w:r>
        <w:rPr>
          <w:rFonts w:ascii="Arial" w:cs="Arial" w:eastAsia="Arial" w:hAnsi="Arial"/>
          <w:sz w:val="16"/>
          <w:szCs w:val="16"/>
          <w:color w:val="auto"/>
        </w:rPr>
        <w:t>.</w:t>
      </w:r>
    </w:p>
    <w:p>
      <w:pPr>
        <w:spacing w:after="0" w:line="117" w:lineRule="exact"/>
        <w:rPr>
          <w:sz w:val="20"/>
          <w:szCs w:val="20"/>
          <w:color w:val="auto"/>
        </w:rPr>
      </w:pPr>
    </w:p>
    <w:p>
      <w:pPr>
        <w:jc w:val="both"/>
        <w:ind w:firstLine="1436"/>
        <w:spacing w:after="0" w:line="284" w:lineRule="auto"/>
        <w:tabs>
          <w:tab w:leader="none" w:pos="182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Subsection 3.5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provided, that an Investor may disclose confidential information</w:t>
      </w:r>
    </w:p>
    <w:p>
      <w:pPr>
        <w:spacing w:after="0" w:line="4" w:lineRule="exact"/>
        <w:rPr>
          <w:rFonts w:ascii="Arial" w:cs="Arial" w:eastAsia="Arial" w:hAnsi="Arial"/>
          <w:sz w:val="16"/>
          <w:szCs w:val="16"/>
          <w:color w:val="auto"/>
        </w:rPr>
      </w:pPr>
    </w:p>
    <w:p>
      <w:pPr>
        <w:jc w:val="both"/>
        <w:ind w:firstLine="4"/>
        <w:spacing w:after="0" w:line="281" w:lineRule="auto"/>
        <w:tabs>
          <w:tab w:leader="none" w:pos="23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its attorneys, accountants, consultants, and other professionals to the extent necessary to obtain their services in connection with monitoring its investment in the Company if such person is bound by an ethical duty to keep such information confidential or such person is bound by a confidentiality agreement with terms no less restrictive than, or otherwise agrees to be bound by the provisions, contained in this Subsection 3.5; (ii) to any prospective purchaser of any Registrable Securities from such Investor, if such prospective purchaser agrees to be bound by the provisions of this Subsection 3.5;</w:t>
      </w:r>
    </w:p>
    <w:p>
      <w:pPr>
        <w:spacing w:after="0" w:line="2" w:lineRule="exact"/>
        <w:rPr>
          <w:rFonts w:ascii="Arial" w:cs="Arial" w:eastAsia="Arial" w:hAnsi="Arial"/>
          <w:sz w:val="16"/>
          <w:szCs w:val="16"/>
          <w:color w:val="auto"/>
        </w:rPr>
      </w:pPr>
    </w:p>
    <w:p>
      <w:pPr>
        <w:jc w:val="both"/>
        <w:ind w:firstLine="4"/>
        <w:spacing w:after="0" w:line="254" w:lineRule="auto"/>
        <w:tabs>
          <w:tab w:leader="none" w:pos="3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97" w:name="page298"/>
    <w:bookmarkEnd w:id="297"/>
    <w:p>
      <w:pPr>
        <w:jc w:val="both"/>
        <w:ind w:firstLine="1436"/>
        <w:spacing w:after="0" w:line="264" w:lineRule="auto"/>
        <w:tabs>
          <w:tab w:leader="none" w:pos="1841"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prior written consent of Hillhouse, none of the parties hereto shall use, publish, reproduce, or refer to the name of Hillhouse and/or controlling persons, or the name “Hillhouse,” “ ,” “Gaoling,” “Lei Zhang” or any similar name, trademark or logo in any documents or materials, including for marketing or other purposes.</w:t>
      </w:r>
    </w:p>
    <w:p>
      <w:pPr>
        <w:spacing w:after="0" w:line="181"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“Bad Actor” Covenant</w:t>
      </w:r>
      <w:r>
        <w:rPr>
          <w:rFonts w:ascii="Arial" w:cs="Arial" w:eastAsia="Arial" w:hAnsi="Arial"/>
          <w:sz w:val="16"/>
          <w:szCs w:val="16"/>
          <w:color w:val="auto"/>
        </w:rPr>
        <w:t>. In the event the Company proposes an offering of its securities in reliance on Rule 506 of the Securities Act, the Company intends to conduct an inquiry of all Investors that beneficially own 20% or more of the Company’s then outstanding voting equity securities, calculated on the basis of voting power (each, a “</w:t>
      </w:r>
      <w:r>
        <w:rPr>
          <w:rFonts w:ascii="Arial" w:cs="Arial" w:eastAsia="Arial" w:hAnsi="Arial"/>
          <w:sz w:val="16"/>
          <w:szCs w:val="16"/>
          <w:b w:val="1"/>
          <w:bCs w:val="1"/>
          <w:color w:val="auto"/>
        </w:rPr>
        <w:t>20% Holder</w:t>
      </w:r>
      <w:r>
        <w:rPr>
          <w:rFonts w:ascii="Arial" w:cs="Arial" w:eastAsia="Arial" w:hAnsi="Arial"/>
          <w:sz w:val="16"/>
          <w:szCs w:val="16"/>
          <w:color w:val="auto"/>
        </w:rPr>
        <w:t>”), as to whether any 20% Holder or any Rule 506(d) Related Party of such 20% Holder is a “bad actor” within the meaning of Rule 506(d) promulgated under the Securities Act (each, a “</w:t>
      </w:r>
      <w:r>
        <w:rPr>
          <w:rFonts w:ascii="Arial" w:cs="Arial" w:eastAsia="Arial" w:hAnsi="Arial"/>
          <w:sz w:val="16"/>
          <w:szCs w:val="16"/>
          <w:b w:val="1"/>
          <w:bCs w:val="1"/>
          <w:color w:val="auto"/>
        </w:rPr>
        <w:t>Bad Actor</w:t>
      </w:r>
      <w:r>
        <w:rPr>
          <w:rFonts w:ascii="Arial" w:cs="Arial" w:eastAsia="Arial" w:hAnsi="Arial"/>
          <w:sz w:val="16"/>
          <w:szCs w:val="16"/>
          <w:color w:val="auto"/>
        </w:rPr>
        <w:t xml:space="preserve">”). Each Stockholder hereby agrees that it shall provide information reasonably requested by the Company in order to conduct its inquiry within five (5) business days after the date of the Company’s request therefor or as otherwise mutually agreed between such Stockholder and the Company. For purposes of this Agreement, </w:t>
      </w:r>
      <w:r>
        <w:rPr>
          <w:rFonts w:ascii="Arial" w:cs="Arial" w:eastAsia="Arial" w:hAnsi="Arial"/>
          <w:sz w:val="16"/>
          <w:szCs w:val="16"/>
          <w:b w:val="1"/>
          <w:bCs w:val="1"/>
          <w:color w:val="auto"/>
        </w:rPr>
        <w:t>“Rule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506(d) Related Party” </w:t>
      </w:r>
      <w:r>
        <w:rPr>
          <w:rFonts w:ascii="Arial" w:cs="Arial" w:eastAsia="Arial" w:hAnsi="Arial"/>
          <w:sz w:val="16"/>
          <w:szCs w:val="16"/>
          <w:color w:val="auto"/>
        </w:rPr>
        <w:t>shall mean a person or entity covered by the “Bad Actor disqualification” provision of Rule 506(d) of the Securities Act.</w:t>
      </w:r>
    </w:p>
    <w:p>
      <w:pPr>
        <w:spacing w:after="0" w:line="167" w:lineRule="exact"/>
        <w:rPr>
          <w:sz w:val="20"/>
          <w:szCs w:val="20"/>
          <w:color w:val="auto"/>
        </w:rPr>
      </w:pPr>
    </w:p>
    <w:p>
      <w:pPr>
        <w:ind w:left="880" w:right="7860" w:hanging="436"/>
        <w:spacing w:after="0" w:line="422" w:lineRule="auto"/>
        <w:tabs>
          <w:tab w:leader="none" w:pos="754"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Rights to Future Stock Issuances</w:t>
      </w:r>
      <w:r>
        <w:rPr>
          <w:rFonts w:ascii="Arial" w:cs="Arial" w:eastAsia="Arial" w:hAnsi="Arial"/>
          <w:sz w:val="16"/>
          <w:szCs w:val="16"/>
          <w:color w:val="auto"/>
        </w:rPr>
        <w:t xml:space="preserve">. 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1436"/>
        <w:spacing w:after="0" w:line="291" w:lineRule="auto"/>
        <w:tabs>
          <w:tab w:leader="none" w:pos="184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and LPE II (“</w:t>
      </w:r>
      <w:r>
        <w:rPr>
          <w:rFonts w:ascii="Arial" w:cs="Arial" w:eastAsia="Arial" w:hAnsi="Arial"/>
          <w:sz w:val="16"/>
          <w:szCs w:val="16"/>
          <w:b w:val="1"/>
          <w:bCs w:val="1"/>
          <w:color w:val="auto"/>
        </w:rPr>
        <w:t>LPE II</w:t>
      </w:r>
      <w:r>
        <w:rPr>
          <w:rFonts w:ascii="Arial" w:cs="Arial" w:eastAsia="Arial" w:hAnsi="Arial"/>
          <w:sz w:val="16"/>
          <w:szCs w:val="16"/>
          <w:color w:val="auto"/>
        </w:rPr>
        <w:t>” and each Major Investor and LPE II, a “</w:t>
      </w:r>
      <w:r>
        <w:rPr>
          <w:rFonts w:ascii="Arial" w:cs="Arial" w:eastAsia="Arial" w:hAnsi="Arial"/>
          <w:sz w:val="16"/>
          <w:szCs w:val="16"/>
          <w:b w:val="1"/>
          <w:bCs w:val="1"/>
          <w:color w:val="auto"/>
        </w:rPr>
        <w:t>Preemptive Rights Holder</w:t>
      </w:r>
      <w:r>
        <w:rPr>
          <w:rFonts w:ascii="Arial" w:cs="Arial" w:eastAsia="Arial" w:hAnsi="Arial"/>
          <w:sz w:val="16"/>
          <w:szCs w:val="16"/>
          <w:color w:val="auto"/>
        </w:rPr>
        <w:t xml:space="preserve">”). A Major Investor shall be entitled to apportion the right of first offer hereby granted to it in such proportions as it deems appropriate, among (i) itself and (ii)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(x) is not a Competitor, unless such party’s purchase of New Securities is otherwise consented to by the Board, and (y) agrees to enter into this Agreement and each of the Voting Agreement and Right of First Refusal and Co-Sale Agreement (as such terms are defined in the Purchase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shall not be entitled to any rights as a Major Investor or Preemptive Rights Holder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w:t>
      </w:r>
    </w:p>
    <w:p>
      <w:pPr>
        <w:spacing w:after="0" w:line="55" w:lineRule="exact"/>
        <w:rPr>
          <w:rFonts w:ascii="Arial" w:cs="Arial" w:eastAsia="Arial" w:hAnsi="Arial"/>
          <w:sz w:val="16"/>
          <w:szCs w:val="16"/>
          <w:color w:val="auto"/>
        </w:rPr>
      </w:pPr>
    </w:p>
    <w:p>
      <w:pPr>
        <w:jc w:val="both"/>
        <w:ind w:firstLine="1436"/>
        <w:spacing w:after="0" w:line="266" w:lineRule="auto"/>
        <w:tabs>
          <w:tab w:leader="none" w:pos="187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Preemptive Rights Holder, stating (i) its bona fide intention to offer such New Securities, (ii) the number of such New Securities to be offered, and (iii) the price and terms, if any, upon which it proposes to offer such New Securities.</w:t>
      </w:r>
    </w:p>
    <w:p>
      <w:pPr>
        <w:spacing w:after="0" w:line="72" w:lineRule="exact"/>
        <w:rPr>
          <w:rFonts w:ascii="Arial" w:cs="Arial" w:eastAsia="Arial" w:hAnsi="Arial"/>
          <w:sz w:val="18"/>
          <w:szCs w:val="18"/>
          <w:color w:val="auto"/>
        </w:rPr>
      </w:pPr>
    </w:p>
    <w:p>
      <w:pPr>
        <w:jc w:val="both"/>
        <w:ind w:firstLine="1436"/>
        <w:spacing w:after="0" w:line="270" w:lineRule="auto"/>
        <w:tabs>
          <w:tab w:leader="none" w:pos="185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Preemptive Rights Holder may elect to purchase or otherwise acquire, at the price and on the terms specified in the Offer Notice, up to that portion of such New Securities which equals the proportion that the Common Stock then held by such Preemptive Rights Holder (including all shares of Common Stock then issuable (directly or indirectly) upon conversion and/or exercise, as applicable, of the Preferred Stock and any other Derivative Securities then held by such Preemptive Rights Holder) bears to the total Common Stock of the Company then held by all Preemptive Rights Holders (including all shares of Common Stock then issuable (directly or indirectly) upon conversion and/or exercise, as applicable, of the Preferred Stock and any other Derivative Securities then held by all Preemptive Rights Holders). At the expiration of such twenty (20) day period, the Company shall promptly notify each Preemptive Rights Holder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of any other Preemptive Rights Holder’s failure to do likewise. During the ten (10) day period commencing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98" w:name="page299"/>
    <w:bookmarkEnd w:id="298"/>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the Company has given such notice, each Fully Exercising Investor may, by giving notice to the Company, elect to purchase or acquire, in addition to the number of shares specified above, up to that portion of the New Securities for which Preemptive Rights Holders were entitled to subscribe but that were not subscribed for by the Preemptive Rights Holders which is equal to the proportion that the Common Stock issued and held, or issuable (directly or indirectly) upon conversion and/or exercise, as applicable, of the Preferred Stock and any other Derivative Securities then held, by such Fully Exercising Investor bears to the Common Stock issued and held, or issuable (directly or indirectly) upon conversion and/or exercise, as applicable, of Preferred Stock and any other Derivative Securities then held, by all Fully Exercising Investors who wish to purchase such unsubscribed shares, or such greater amount of such New Securities as may be available as a result of any Fully Exercising Investor not fully exercising their right to acquire additional New Securities. The closing of any sale pursuant to this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shall occur within the later of ninety (90) days of the date that the Offer Notice is given and the date of initial sale of New Securities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or such later date as is reasonably required to obtain any required regulatory approvals.</w:t>
      </w:r>
    </w:p>
    <w:p>
      <w:pPr>
        <w:spacing w:after="0" w:line="70" w:lineRule="exact"/>
        <w:rPr>
          <w:sz w:val="20"/>
          <w:szCs w:val="20"/>
          <w:color w:val="auto"/>
        </w:rPr>
      </w:pPr>
    </w:p>
    <w:p>
      <w:pPr>
        <w:jc w:val="both"/>
        <w:ind w:firstLine="1436"/>
        <w:spacing w:after="0" w:line="293" w:lineRule="auto"/>
        <w:tabs>
          <w:tab w:leader="none" w:pos="189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4.1(c)</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Subsection 4.1(c)</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Preemptive Rights Holders in accordance with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firstLine="1436"/>
        <w:spacing w:after="0" w:line="264" w:lineRule="auto"/>
        <w:tabs>
          <w:tab w:leader="none" w:pos="185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Certificate of Incorporation); (ii) shares of Series B Preferred Stock issued pursuant to the Purchase Agreement; and (iii) shares of Common Stock issued in the IPO.</w:t>
      </w:r>
    </w:p>
    <w:p>
      <w:pPr>
        <w:spacing w:after="0" w:line="73" w:lineRule="exact"/>
        <w:rPr>
          <w:rFonts w:ascii="Arial" w:cs="Arial" w:eastAsia="Arial" w:hAnsi="Arial"/>
          <w:sz w:val="18"/>
          <w:szCs w:val="18"/>
          <w:color w:val="auto"/>
        </w:rPr>
      </w:pPr>
    </w:p>
    <w:p>
      <w:pPr>
        <w:ind w:left="1800" w:hanging="364"/>
        <w:spacing w:after="0"/>
        <w:tabs>
          <w:tab w:leader="none" w:pos="18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rights provided in this Subsection 4.1 may not be assigned or transferred by LPE II.</w:t>
      </w:r>
    </w:p>
    <w:p>
      <w:pPr>
        <w:spacing w:after="0" w:line="225"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Qualified IPO (as defined in the Certificate of Incorporation),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87" w:lineRule="exact"/>
        <w:rPr>
          <w:sz w:val="20"/>
          <w:szCs w:val="20"/>
          <w:color w:val="auto"/>
        </w:rPr>
      </w:pPr>
    </w:p>
    <w:p>
      <w:pPr>
        <w:ind w:left="760" w:hanging="316"/>
        <w:spacing w:after="0"/>
        <w:tabs>
          <w:tab w:leader="none" w:pos="7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use its commercially reasonable efforts to maintain, from financially sound and reputable insurers Directors and Officers liability insurance and term “key-person” insurance on Faheem Hasnain and Sheila Gujrathi, each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 including a majority of the Preferred Directors (which majority shall include the Series B Director), or prior approval by the Requisite Holders. Each Key Holder hereby covenants and agrees that, to the extent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99" w:name="page300"/>
    <w:bookmarkEnd w:id="29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Key Holder is named under such key-person policy, such Key Holder will execute and deliver to the Company, as reasonably requested, a written notice and consent form with respect to such policy. Notwithstanding any other provision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to the contrary, for so long as a Preferred Director is serving on the Board of Directors, the Company shall not cease to maintain a Directors and Officers liability insurance policy in the amount of the initial policy approved by the Board of Directors unless approved by such Preferred Director.</w:t>
      </w:r>
    </w:p>
    <w:p>
      <w:pPr>
        <w:spacing w:after="0" w:line="187"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nonsolicitation agreement, substantially in the form approved by the Board. In addition, the Company shall not amend, modify, terminate, waive, or otherwise alter, in whole or in part, any of the above-referenced agreements or any restricted stock agreement between the Company and any employee, without the consent of the Board, including a majority of the Preferred Directors (which majority shall include the Series B Director), or the consent of the Requisite Holders.</w:t>
      </w:r>
    </w:p>
    <w:p>
      <w:pPr>
        <w:spacing w:after="0" w:line="165" w:lineRule="exact"/>
        <w:rPr>
          <w:sz w:val="20"/>
          <w:szCs w:val="20"/>
          <w:color w:val="auto"/>
        </w:rPr>
      </w:pPr>
    </w:p>
    <w:p>
      <w:pPr>
        <w:jc w:val="both"/>
        <w:ind w:firstLine="881"/>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Stock</w:t>
      </w:r>
      <w:r>
        <w:rPr>
          <w:rFonts w:ascii="Arial" w:cs="Arial" w:eastAsia="Arial" w:hAnsi="Arial"/>
          <w:sz w:val="17"/>
          <w:szCs w:val="17"/>
          <w:color w:val="auto"/>
        </w:rPr>
        <w:t>. Unless otherwise approved by the Board, including a majority of the Preferred Directors (which majority shall include the Series B Director), or by the Requisite Holders,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Subsection 2.11. In addition, unless otherwise approved by the Board, including a majority of the Preferred Directors (which majority shall include the Series B Director), or by the Requisite Holders, the Company shall retain a “right of first refusal” on employee transfers until the Company’s IPO and shall have the right to repurchase unvested shares at cost upon termination of employment of a holder of restricted stock.</w:t>
      </w:r>
    </w:p>
    <w:p>
      <w:pPr>
        <w:spacing w:after="0" w:line="182"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either (x) the holders of Series A Preferred Stock are entitled to elect one or more Series A Directors or (y) the holders of the Series B Preferred Stock are entitled to elect one or more Series B Directors, the Company hereby covenants and agrees with each of the Investors that it shall not, nor shall it permit any subsidiary of the Company to, without approval of the Board, which approval must include the affirmative vote of a majority of the Preferred Directors (which majority shall include a Series B Director), or the approval of the Requisite Holders:</w:t>
      </w:r>
    </w:p>
    <w:p>
      <w:pPr>
        <w:spacing w:after="0" w:line="80" w:lineRule="exact"/>
        <w:rPr>
          <w:sz w:val="20"/>
          <w:szCs w:val="20"/>
          <w:color w:val="auto"/>
        </w:rPr>
      </w:pPr>
    </w:p>
    <w:p>
      <w:pPr>
        <w:ind w:firstLine="1436"/>
        <w:spacing w:after="0" w:line="277" w:lineRule="auto"/>
        <w:tabs>
          <w:tab w:leader="none" w:pos="181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62" w:lineRule="exact"/>
        <w:rPr>
          <w:rFonts w:ascii="Arial" w:cs="Arial" w:eastAsia="Arial" w:hAnsi="Arial"/>
          <w:sz w:val="18"/>
          <w:szCs w:val="18"/>
          <w:color w:val="auto"/>
        </w:rPr>
      </w:pPr>
    </w:p>
    <w:p>
      <w:pPr>
        <w:jc w:val="both"/>
        <w:ind w:firstLine="1436"/>
        <w:spacing w:after="0" w:line="259" w:lineRule="auto"/>
        <w:tabs>
          <w:tab w:leader="none" w:pos="188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in excess of $100,000 (in the case of individuals) or $500,000 (in the case of Persons that are not individuals), except advances and similar expenditures in the ordinary course of business or under the terms of an employee stock or option plan approved by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00" w:name="page301"/>
    <w:bookmarkEnd w:id="300"/>
    <w:p>
      <w:pPr>
        <w:ind w:firstLine="1436"/>
        <w:spacing w:after="0" w:line="277" w:lineRule="auto"/>
        <w:tabs>
          <w:tab w:leader="none" w:pos="18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directly or indirectly, or permit any subsidiary to guarantee, directly or indirectly, any indebtedness of any third party, except for trade accounts of the Company or any subsidiary arising in the ordinary course of business;</w:t>
      </w:r>
    </w:p>
    <w:p>
      <w:pPr>
        <w:spacing w:after="0" w:line="62" w:lineRule="exact"/>
        <w:rPr>
          <w:rFonts w:ascii="Arial" w:cs="Arial" w:eastAsia="Arial" w:hAnsi="Arial"/>
          <w:sz w:val="18"/>
          <w:szCs w:val="18"/>
          <w:color w:val="auto"/>
        </w:rPr>
      </w:pPr>
    </w:p>
    <w:p>
      <w:pPr>
        <w:ind w:left="1820" w:hanging="384"/>
        <w:spacing w:after="0"/>
        <w:tabs>
          <w:tab w:leader="none" w:pos="1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117" w:lineRule="exact"/>
        <w:rPr>
          <w:rFonts w:ascii="Arial" w:cs="Arial" w:eastAsia="Arial" w:hAnsi="Arial"/>
          <w:sz w:val="18"/>
          <w:szCs w:val="18"/>
          <w:color w:val="auto"/>
        </w:rPr>
      </w:pPr>
    </w:p>
    <w:p>
      <w:pPr>
        <w:ind w:firstLine="1436"/>
        <w:spacing w:after="0" w:line="277" w:lineRule="auto"/>
        <w:tabs>
          <w:tab w:leader="none" w:pos="18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incur any aggregate indebtedness in excess of $500,000 that is not already included in a budget approved by the Board, other than trade credit incurred in the ordinary course of business;</w:t>
      </w:r>
    </w:p>
    <w:p>
      <w:pPr>
        <w:spacing w:after="0" w:line="62" w:lineRule="exact"/>
        <w:rPr>
          <w:rFonts w:ascii="Arial" w:cs="Arial" w:eastAsia="Arial" w:hAnsi="Arial"/>
          <w:sz w:val="18"/>
          <w:szCs w:val="18"/>
          <w:color w:val="auto"/>
        </w:rPr>
      </w:pPr>
    </w:p>
    <w:p>
      <w:pPr>
        <w:jc w:val="both"/>
        <w:ind w:firstLine="1436"/>
        <w:spacing w:after="0" w:line="279" w:lineRule="auto"/>
        <w:tabs>
          <w:tab w:leader="none" w:pos="187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enter into or be a party to any transaction with any stockholder, director or officer of the Company or any “associate” (as defined in Rule 12b-2 promulgated under the Exchange Act) of any such Person, except for transactions contemplated by this Agreement and the Purchase Agreement or transactions (including agreements related to the compensation of the Company’s executive officers) made in the ordinary course of business upon fair and reasonable terms that are approved by a majority of the disinterested members of the Board;</w:t>
      </w:r>
    </w:p>
    <w:p>
      <w:pPr>
        <w:spacing w:after="0" w:line="63" w:lineRule="exact"/>
        <w:rPr>
          <w:rFonts w:ascii="Arial" w:cs="Arial" w:eastAsia="Arial" w:hAnsi="Arial"/>
          <w:sz w:val="17"/>
          <w:szCs w:val="17"/>
          <w:color w:val="auto"/>
        </w:rPr>
      </w:pPr>
    </w:p>
    <w:p>
      <w:pPr>
        <w:ind w:left="1900" w:hanging="464"/>
        <w:spacing w:after="0"/>
        <w:tabs>
          <w:tab w:leader="none" w:pos="1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increase the shares of Common Stock reserved for issuance under the Company’s equity incentive plan or adopt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 incentive plan;</w:t>
      </w:r>
    </w:p>
    <w:p>
      <w:pPr>
        <w:spacing w:after="0" w:line="102" w:lineRule="exact"/>
        <w:rPr>
          <w:rFonts w:ascii="Arial" w:cs="Arial" w:eastAsia="Arial" w:hAnsi="Arial"/>
          <w:sz w:val="16"/>
          <w:szCs w:val="16"/>
          <w:color w:val="auto"/>
        </w:rPr>
      </w:pPr>
    </w:p>
    <w:p>
      <w:pPr>
        <w:ind w:left="1820" w:hanging="384"/>
        <w:spacing w:after="0"/>
        <w:tabs>
          <w:tab w:leader="none" w:pos="1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hire or terminate the chief executive officer;</w:t>
      </w:r>
    </w:p>
    <w:p>
      <w:pPr>
        <w:spacing w:after="0" w:line="117" w:lineRule="exact"/>
        <w:rPr>
          <w:rFonts w:ascii="Arial" w:cs="Arial" w:eastAsia="Arial" w:hAnsi="Arial"/>
          <w:sz w:val="18"/>
          <w:szCs w:val="18"/>
          <w:color w:val="auto"/>
        </w:rPr>
      </w:pPr>
    </w:p>
    <w:p>
      <w:pPr>
        <w:jc w:val="both"/>
        <w:ind w:firstLine="1436"/>
        <w:spacing w:after="0" w:line="264" w:lineRule="auto"/>
        <w:tabs>
          <w:tab w:leader="none" w:pos="18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of money or assets which exceeds $5,000,000 in any single transaction or in the aggregate ten percent (10%) of the aggregate value of the Company’s net assets on a consolidated basis in any consecutive twelve-month period;</w:t>
      </w:r>
    </w:p>
    <w:p>
      <w:pPr>
        <w:spacing w:after="0" w:line="73" w:lineRule="exact"/>
        <w:rPr>
          <w:rFonts w:ascii="Arial" w:cs="Arial" w:eastAsia="Arial" w:hAnsi="Arial"/>
          <w:sz w:val="18"/>
          <w:szCs w:val="18"/>
          <w:color w:val="auto"/>
        </w:rPr>
      </w:pPr>
    </w:p>
    <w:p>
      <w:pPr>
        <w:jc w:val="both"/>
        <w:ind w:firstLine="1436"/>
        <w:spacing w:after="0" w:line="286" w:lineRule="auto"/>
        <w:tabs>
          <w:tab w:leader="none" w:pos="178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sell, lease, transfer, exclusively license or otherwise dispose of material assets and/or intellectual property of the Company or its subsidiaries, in one or a series of related transactions, the aggregate value of which exceeds $5,000,000 in any single transaction or in the aggregate ten percent (10%) of the aggregate value of the Company’s net assets on a consolidated basis in any consecutive twelve-month period;</w:t>
      </w:r>
    </w:p>
    <w:p>
      <w:pPr>
        <w:spacing w:after="0" w:line="57" w:lineRule="exact"/>
        <w:rPr>
          <w:rFonts w:ascii="Arial" w:cs="Arial" w:eastAsia="Arial" w:hAnsi="Arial"/>
          <w:sz w:val="17"/>
          <w:szCs w:val="17"/>
          <w:color w:val="auto"/>
        </w:rPr>
      </w:pPr>
    </w:p>
    <w:p>
      <w:pPr>
        <w:jc w:val="both"/>
        <w:ind w:firstLine="1436"/>
        <w:spacing w:after="0" w:line="286" w:lineRule="auto"/>
        <w:tabs>
          <w:tab w:leader="none" w:pos="195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acquire (by merger or stock or asset purchase or otherwise) any Person, business or asset in one or a series of related transactions, the aggregate value of which exceeds $5,000,0000 in any such one or series of related transactions or in the aggregate ten percent (10%) of the aggregate value of the Company’s net assets on a consolidated basis in any consecutive twelve-month period;</w:t>
      </w:r>
    </w:p>
    <w:p>
      <w:pPr>
        <w:spacing w:after="0" w:line="57" w:lineRule="exact"/>
        <w:rPr>
          <w:rFonts w:ascii="Arial" w:cs="Arial" w:eastAsia="Arial" w:hAnsi="Arial"/>
          <w:sz w:val="17"/>
          <w:szCs w:val="17"/>
          <w:color w:val="auto"/>
        </w:rPr>
      </w:pPr>
    </w:p>
    <w:p>
      <w:pPr>
        <w:ind w:left="1780" w:hanging="344"/>
        <w:spacing w:after="0"/>
        <w:tabs>
          <w:tab w:leader="none" w:pos="17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make any material change in the business plan or business scope;</w:t>
      </w:r>
    </w:p>
    <w:p>
      <w:pPr>
        <w:spacing w:after="0" w:line="117" w:lineRule="exact"/>
        <w:rPr>
          <w:rFonts w:ascii="Arial" w:cs="Arial" w:eastAsia="Arial" w:hAnsi="Arial"/>
          <w:sz w:val="18"/>
          <w:szCs w:val="18"/>
          <w:color w:val="auto"/>
        </w:rPr>
      </w:pPr>
    </w:p>
    <w:p>
      <w:pPr>
        <w:ind w:left="1880" w:hanging="444"/>
        <w:spacing w:after="0"/>
        <w:tabs>
          <w:tab w:leader="none" w:pos="18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settle any material litigation, arbitration or legal disputes;</w:t>
      </w:r>
    </w:p>
    <w:p>
      <w:pPr>
        <w:spacing w:after="0" w:line="117" w:lineRule="exact"/>
        <w:rPr>
          <w:rFonts w:ascii="Arial" w:cs="Arial" w:eastAsia="Arial" w:hAnsi="Arial"/>
          <w:sz w:val="18"/>
          <w:szCs w:val="18"/>
          <w:color w:val="auto"/>
        </w:rPr>
      </w:pPr>
    </w:p>
    <w:p>
      <w:pPr>
        <w:ind w:firstLine="1436"/>
        <w:spacing w:after="0" w:line="277" w:lineRule="auto"/>
        <w:tabs>
          <w:tab w:leader="none" w:pos="182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appoint or remove the Company’s auditor or change materially in accounting policies and standards, including financial year or tax year of the Company;</w:t>
      </w:r>
    </w:p>
    <w:p>
      <w:pPr>
        <w:spacing w:after="0" w:line="62" w:lineRule="exact"/>
        <w:rPr>
          <w:rFonts w:ascii="Arial" w:cs="Arial" w:eastAsia="Arial" w:hAnsi="Arial"/>
          <w:sz w:val="18"/>
          <w:szCs w:val="18"/>
          <w:color w:val="auto"/>
        </w:rPr>
      </w:pPr>
    </w:p>
    <w:p>
      <w:pPr>
        <w:ind w:firstLine="1436"/>
        <w:spacing w:after="0" w:line="277" w:lineRule="auto"/>
        <w:tabs>
          <w:tab w:leader="none" w:pos="18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effect any single capital expenditure, the value of which exceeds $5,000,000 in any single transaction or in the aggregate ten percent (10%) of the aggregate value of the Company’s net assets in any fiscal year;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01" w:name="page302"/>
    <w:bookmarkEnd w:id="301"/>
    <w:p>
      <w:pPr>
        <w:ind w:left="1880" w:hanging="444"/>
        <w:spacing w:after="0"/>
        <w:tabs>
          <w:tab w:leader="none" w:pos="18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an agreement to do any of the foregoing.</w:t>
      </w:r>
    </w:p>
    <w:p>
      <w:pPr>
        <w:spacing w:after="0" w:line="225"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For purposes of this Section 5.4, the value of any net assets shall be the value as determined by the Company in good faith. Upon the request of any Investor, the Company shall provide such Investor with reasonable written documentation supporting the basis of such determination of value, and provide such Investor with reasonable access to the personnel, properties, books and records of the Company for the purpose of evaluating the foregoing determination. If such Investor raises any reasonable objections to the foregoing determination, the Company shall consider in good faith such objections and make such revisions to the final determination of value as may be mutually agreed between the Company and such Investor. Notwithstanding anything to the contrary in this Section 5.4, such approval of the Board or the Requisite Holders shall not be required with respect to actions contemplated by any agreements entered into between the Company and its stockholder(s) on or prior to the date hereof.</w:t>
      </w:r>
    </w:p>
    <w:p>
      <w:pPr>
        <w:spacing w:after="0" w:line="167"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(which majority shall include a Series B Director) then in office, the Board shall meet at least quarterly in accordance with an agreed-upon schedule. The Company shall reimburse the directors for all reasonable out-of-pocket travel expenses incurred (consistent with the Company’s travel policy) in connection with attending meetings of the Board. The Company shall cause to be established, as soon as practicable after such request, and will maintain, an audit committee and a compensation committee, each of which shall consist solely of non-management directors. So long as ARCH is entitled to designate at least one (1) Series A Director, ARCH shall have the option to include at least one (1) director designated by it under the Voting Agreement on each committee of the Board. So long as Omega is entitled to designate at least one (1) Series A Director, Omega shall have the option to include at least one (1) director designated by it under the Voting Agreement on each committee of the Board. So long as Hillhouse is entitled to designate at least one (1) Series B Director, Hillhouse shall have the option to include at least one (1) director designated by it under the Voting Agreement on each committee of the Board.</w:t>
      </w:r>
    </w:p>
    <w:p>
      <w:pPr>
        <w:spacing w:after="0" w:line="167"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its Certificate of Incorporation, or elsewhere, as the case may be.</w:t>
      </w:r>
    </w:p>
    <w:p>
      <w:pPr>
        <w:spacing w:after="0" w:line="188"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the reasonable fees and disbursements of one counsel for the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which amount shall not exceed $100,000.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02" w:name="page303"/>
    <w:bookmarkEnd w:id="30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93" w:lineRule="exact"/>
        <w:rPr>
          <w:sz w:val="20"/>
          <w:szCs w:val="20"/>
          <w:color w:val="auto"/>
        </w:rPr>
      </w:pPr>
    </w:p>
    <w:p>
      <w:pPr>
        <w:jc w:val="both"/>
        <w:ind w:firstLine="881"/>
        <w:spacing w:after="0" w:line="26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The Company hereby agrees and acknowledges that Hillhouse, ARCH, Omega, Clough Capital Partners L.P., Samsara BioCapital, L.P. and their respective Affiliates are professional venture capital or similar investment funds (collectively, the “</w:t>
      </w:r>
      <w:r>
        <w:rPr>
          <w:rFonts w:ascii="Arial" w:cs="Arial" w:eastAsia="Arial" w:hAnsi="Arial"/>
          <w:sz w:val="17"/>
          <w:szCs w:val="17"/>
          <w:b w:val="1"/>
          <w:bCs w:val="1"/>
          <w:color w:val="auto"/>
        </w:rPr>
        <w:t>Funds</w:t>
      </w:r>
      <w:r>
        <w:rPr>
          <w:rFonts w:ascii="Arial" w:cs="Arial" w:eastAsia="Arial" w:hAnsi="Arial"/>
          <w:sz w:val="17"/>
          <w:szCs w:val="17"/>
          <w:color w:val="auto"/>
        </w:rPr>
        <w:t xml:space="preserve">”), and as such invest in numerous portfolio companies, some of which may be deemed competitive with the Company’s business (as currently conducted or as may be conducted in the future). The parties agree that no Fund or any Fund Affiliate investment fund or any of their Affiliates, or any of their or their Affiliates’ partners, officers or representatives, in his, her or its capacity as such, which manage or advise any such investment funds, shall be considered a Competitor of the Company solely as a result of such investment, management or advisory activities for purposes of this Agreement, and the Company agrees that, to the extent permitted under applicable law, neither the Funds nor their Affiliates shall be liable to the Company for any claim arising out of, or based upon, (i) the investment by a Fund or any of their Affiliates in any entity competitive with the Company, or (ii) actions taken by any partner, officer or other representative of a Fund or Fund Affiliate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relieve (x) any of the Funds from liability associated with the unauthorized use or disclosure of the Company’s confidential information obtained pursuant to this Agreement, or (y) any director or officer of the Company from any liability associated with his or her fiduciary duties to the Company.</w:t>
      </w:r>
    </w:p>
    <w:p>
      <w:pPr>
        <w:spacing w:after="0" w:line="188"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Tax Reporting</w:t>
      </w:r>
      <w:r>
        <w:rPr>
          <w:rFonts w:ascii="Arial" w:cs="Arial" w:eastAsia="Arial" w:hAnsi="Arial"/>
          <w:sz w:val="18"/>
          <w:szCs w:val="18"/>
          <w:color w:val="auto"/>
        </w:rPr>
        <w:t>. The Company will comply with any obligation imposed on the Company to make any filing (including any filing on Internal Revenue Service Form 5471) as a result of any interest that the Company holds in a non-U.S. Person or any activities that the Company conducts outside of the U.S. and shall include in such filing any information necessary to obviate (to the extent possible) any similar obligation to which any shareholder would otherwise be subject with respect to such interest or such activity. The Company shall reasonably promptly provide each Investor with a copy of any such filing.</w:t>
      </w:r>
    </w:p>
    <w:p>
      <w:pPr>
        <w:spacing w:after="0" w:line="188"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Amendment of Certificate of Incorporation</w:t>
      </w:r>
      <w:r>
        <w:rPr>
          <w:rFonts w:ascii="Arial" w:cs="Arial" w:eastAsia="Arial" w:hAnsi="Arial"/>
          <w:sz w:val="18"/>
          <w:szCs w:val="18"/>
          <w:color w:val="auto"/>
        </w:rPr>
        <w:t>. To the extent that on the 120-day anniversary of the date hereof, the number of issued and outstanding shares of Series B Preferred Stock is less than the number of authorized shares of Series B Preferred Stock as set forth in the Certificate of Incorporation, the Company shall amend, and the parties hereto hereby consents to the amendment of, the Certificate of Incorporation to reduce the number of authorized shares of Series B Preferred Stock as set forth in the Certificate of Incorporation to equal the number of issued and outstanding shares of Series B Preferred Stock.</w:t>
      </w:r>
    </w:p>
    <w:p>
      <w:pPr>
        <w:spacing w:after="0" w:line="188"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Side Agreement</w:t>
      </w:r>
      <w:r>
        <w:rPr>
          <w:rFonts w:ascii="Arial" w:cs="Arial" w:eastAsia="Arial" w:hAnsi="Arial"/>
          <w:sz w:val="18"/>
          <w:szCs w:val="18"/>
          <w:color w:val="auto"/>
        </w:rPr>
        <w:t>. If the Company provides any other existing or prospective stockholder of the Company other than Hillhouse any rights, privileges, preferences or other terms that are more favorable than, or in addition to, the rights, privileges, preferences or terms herein or in the other Transaction Agreements (as defined in the Purchase Agreement) or Certificate of Incorporation, the Company shall promptly, and in any event within three (3) business days, disclose such rights, privileges,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03" w:name="page304"/>
    <w:bookmarkEnd w:id="30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preferences or terms to Hillhouse, and, if so requested by Hillhouse, provide any such rights, privileges, preferences or terms to Hillhouse; provided that the foregoing provisions of this </w:t>
      </w:r>
      <w:r>
        <w:rPr>
          <w:rFonts w:ascii="Arial" w:cs="Arial" w:eastAsia="Arial" w:hAnsi="Arial"/>
          <w:sz w:val="18"/>
          <w:szCs w:val="18"/>
          <w:u w:val="single" w:color="auto"/>
          <w:color w:val="auto"/>
        </w:rPr>
        <w:t>Subsection 5.11</w:t>
      </w:r>
      <w:r>
        <w:rPr>
          <w:rFonts w:ascii="Arial" w:cs="Arial" w:eastAsia="Arial" w:hAnsi="Arial"/>
          <w:sz w:val="18"/>
          <w:szCs w:val="18"/>
          <w:color w:val="auto"/>
        </w:rPr>
        <w:t xml:space="preserve"> shall not apply to rights, privileges, preferences or terms granted to purchasers of any additional class or series of capital stock of the Company that is senior to, and has an Original Issue Price (as defined in the Certificate of Incorporation) higher than that of, the Series B Preferred Stock.</w:t>
      </w:r>
    </w:p>
    <w:p>
      <w:pPr>
        <w:spacing w:after="0" w:line="187"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Subsections 5.6</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shall terminate and be of no further force or effect (i) immediately before the consummation of the Qualified IPO, as such term is defined in the Company’s Certificate of Incorporation,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71" w:lineRule="exact"/>
        <w:rPr>
          <w:sz w:val="20"/>
          <w:szCs w:val="20"/>
          <w:color w:val="auto"/>
        </w:rPr>
      </w:pPr>
    </w:p>
    <w:p>
      <w:pPr>
        <w:ind w:left="760" w:hanging="316"/>
        <w:spacing w:after="0"/>
        <w:tabs>
          <w:tab w:leader="none" w:pos="7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5,000,000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2"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law of the State of Delaware.</w:t>
      </w:r>
    </w:p>
    <w:p>
      <w:pPr>
        <w:spacing w:after="0" w:line="225"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04" w:name="page305"/>
    <w:bookmarkEnd w:id="304"/>
    <w:p>
      <w:pPr>
        <w:jc w:val="both"/>
        <w:ind w:firstLine="88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hereto, or to the principal office of the Company and to the attention of the Chief Executive Officer, in the case of the Company or to such email address or physical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shall also be sent to Latham &amp; Watkins LLP, 12670 High Bluff Drive, San Diego, CA 92130; Attn: Matthew T. Bush; Phone: (858) 523-3962; email: matt.bush@lw.com, and if notice is given to the Purchasers, a copy shall also be sent to Goodwin Procter LLP, The New York Times Building, Suite 2801, One Exchange Square, 8 Connaught Place, Central, Hong Kong; Attn: Yash Rana; Phone: +852 3658 5300; Email: YRana@goodwinlaw.com; and Proskauer Rose LLP, One International Place, Boston, MA 02110; Attn: Ori Solomon; Phone: (617) 526-9889; email: osolomon@proskauer.com.</w:t>
      </w:r>
    </w:p>
    <w:p>
      <w:pPr>
        <w:spacing w:after="0" w:line="169"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117" w:lineRule="exact"/>
        <w:rPr>
          <w:sz w:val="20"/>
          <w:szCs w:val="20"/>
          <w:color w:val="auto"/>
        </w:rPr>
      </w:pPr>
    </w:p>
    <w:p>
      <w:pPr>
        <w:jc w:val="both"/>
        <w:ind w:firstLine="1436"/>
        <w:spacing w:after="0" w:line="273" w:lineRule="auto"/>
        <w:tabs>
          <w:tab w:leader="none" w:pos="190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Any term of this Agreement may be amended and the observance of any term of this Agreement may be waived (either generally or in a particular instance, and either retroactively or prospectively) only with the written consent of the Company and the holders of at least sixty-five percent (65%) of the Preferred Stock (voting together as a single class and on an as-converted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shall be deemed to be a waiver);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provision hereof may be waived by any waiving party on such party’s own behalf, without the consent of any other party.</w:t>
      </w:r>
    </w:p>
    <w:p>
      <w:pPr>
        <w:spacing w:after="0" w:line="70" w:lineRule="exact"/>
        <w:rPr>
          <w:rFonts w:ascii="Arial" w:cs="Arial" w:eastAsia="Arial" w:hAnsi="Arial"/>
          <w:sz w:val="17"/>
          <w:szCs w:val="17"/>
          <w:color w:val="auto"/>
        </w:rPr>
      </w:pPr>
    </w:p>
    <w:p>
      <w:pPr>
        <w:jc w:val="both"/>
        <w:ind w:firstLine="1436"/>
        <w:spacing w:after="0" w:line="268" w:lineRule="auto"/>
        <w:tabs>
          <w:tab w:leader="none" w:pos="183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Notwithstanding the foregoing, this Agreement may not be amended or terminated and the observance of any term hereof may not be waived with respect to any Investor or LPE II without the written consent of such Investor or LPE II (as applicable), unless such amendment, termination, or waiver applies to all Investors and LPE II (if applicable) and no obligation or right of any Investor or LPE II (if applicable) is adversely affected in a manner different than the other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and LPE II if such waiver does so by its terms, notwithstanding the fact that certain Investors may nonetheless, by agreement with the Company, purchase securities in such transaction,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however, that no Investor that consented to such waiver shall be permitted (and the Company shall not permit any such Investor) to purchase securities in such transaction, unless LPE II is offered the right to participate in such transaction on a pro rata basis with such Investors based on the actual amount of securities purchased (such that the amount of securities offered to LPE II is at least the product of (x) the aggregate amount of such applicable securities purchased by all such Investors and (y) LPE II’s as-converted to Common Stock holdings divided by such Investors’ aggregate as-converted to Common Stock holdings), it being agreed that such right may be offered subsequent to the initial closing of any such transaction, so long as LPE II shall be given no less than 20 calendar days following the earlier of receipt of the Offer Notice or a notice containing substantially the same information as an Offer Notice to elect to exercise such participation right.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sectPr>
      </w:pPr>
    </w:p>
    <w:bookmarkStart w:id="305" w:name="page306"/>
    <w:bookmarkEnd w:id="305"/>
    <w:p>
      <w:pPr>
        <w:jc w:val="both"/>
        <w:ind w:firstLine="1436"/>
        <w:spacing w:after="0" w:line="259" w:lineRule="auto"/>
        <w:tabs>
          <w:tab w:leader="none" w:pos="18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Registrable Securities held by the Key Holders.</w:t>
      </w:r>
    </w:p>
    <w:p>
      <w:pPr>
        <w:spacing w:after="0" w:line="78" w:lineRule="exact"/>
        <w:rPr>
          <w:rFonts w:ascii="Arial" w:cs="Arial" w:eastAsia="Arial" w:hAnsi="Arial"/>
          <w:sz w:val="18"/>
          <w:szCs w:val="18"/>
          <w:color w:val="auto"/>
        </w:rPr>
      </w:pPr>
    </w:p>
    <w:p>
      <w:pPr>
        <w:jc w:val="both"/>
        <w:ind w:firstLine="1436"/>
        <w:spacing w:after="0" w:line="257" w:lineRule="auto"/>
        <w:tabs>
          <w:tab w:leader="none" w:pos="18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8"/>
          <w:szCs w:val="18"/>
          <w:u w:val="single" w:color="auto"/>
          <w:color w:val="auto"/>
        </w:rPr>
        <w:t>Subsection 6.6</w:t>
      </w:r>
      <w:r>
        <w:rPr>
          <w:rFonts w:ascii="Arial" w:cs="Arial" w:eastAsia="Arial" w:hAnsi="Arial"/>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80" w:lineRule="exact"/>
        <w:rPr>
          <w:rFonts w:ascii="Arial" w:cs="Arial" w:eastAsia="Arial" w:hAnsi="Arial"/>
          <w:sz w:val="18"/>
          <w:szCs w:val="18"/>
          <w:color w:val="auto"/>
        </w:rPr>
      </w:pPr>
    </w:p>
    <w:p>
      <w:pPr>
        <w:jc w:val="both"/>
        <w:ind w:firstLine="1436"/>
        <w:spacing w:after="0" w:line="287" w:lineRule="auto"/>
        <w:tabs>
          <w:tab w:leader="none" w:pos="19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 except with respect to a waiver entered into in compliance with Section 6.6(b) above, Section 4, including the definition of “Preemptive Rights Holder” thereunder, shall not be amended or waived in a manner that denies LPE II the right to participate in future financing rounds in substantially the same manner set forth herein without the written consent of LPE II so long as it holds at least 4,955,752 shares of capital stock of the Company (as adjusted for any stock split, stock dividend, combination, or other recapitalization or reclassification), (ii) Section 6.6(e)(i) and this Section 6.6(e)(ii) shall not be amended or waived without the written consent of LPE II so long as it holds at least 4,955,752 shares of capital stock of the Company (as adjusted for any stock split, stock dividend, combination, or other recapitalization or reclassification), (iii) the third to last sentence of </w:t>
      </w:r>
      <w:r>
        <w:rPr>
          <w:rFonts w:ascii="Arial" w:cs="Arial" w:eastAsia="Arial" w:hAnsi="Arial"/>
          <w:sz w:val="16"/>
          <w:szCs w:val="16"/>
          <w:u w:val="single" w:color="auto"/>
          <w:color w:val="auto"/>
        </w:rPr>
        <w:t>Subsection 5.5</w:t>
      </w:r>
      <w:r>
        <w:rPr>
          <w:rFonts w:ascii="Arial" w:cs="Arial" w:eastAsia="Arial" w:hAnsi="Arial"/>
          <w:sz w:val="16"/>
          <w:szCs w:val="16"/>
          <w:color w:val="auto"/>
        </w:rPr>
        <w:t xml:space="preserve"> shall not be amended or waived without the written consent of ARCH so long as it remains entitled to designate at least one (1) Series A Director pursuant to the Voting Agreement, (iv) the penultimate sentence of </w:t>
      </w:r>
      <w:r>
        <w:rPr>
          <w:rFonts w:ascii="Arial" w:cs="Arial" w:eastAsia="Arial" w:hAnsi="Arial"/>
          <w:sz w:val="16"/>
          <w:szCs w:val="16"/>
          <w:u w:val="single" w:color="auto"/>
          <w:color w:val="auto"/>
        </w:rPr>
        <w:t>Subsection 5.5</w:t>
      </w:r>
      <w:r>
        <w:rPr>
          <w:rFonts w:ascii="Arial" w:cs="Arial" w:eastAsia="Arial" w:hAnsi="Arial"/>
          <w:sz w:val="16"/>
          <w:szCs w:val="16"/>
          <w:color w:val="auto"/>
        </w:rPr>
        <w:t xml:space="preserve"> shall not be amended or waived without the written consent of Omega so long as it remains entitled to designate at least one (1) Series A Director pursuant to the Voting Agreement, and (v) the last sentence of </w:t>
      </w:r>
      <w:r>
        <w:rPr>
          <w:rFonts w:ascii="Arial" w:cs="Arial" w:eastAsia="Arial" w:hAnsi="Arial"/>
          <w:sz w:val="16"/>
          <w:szCs w:val="16"/>
          <w:u w:val="single" w:color="auto"/>
          <w:color w:val="auto"/>
        </w:rPr>
        <w:t>Subsection 5.5</w:t>
      </w:r>
      <w:r>
        <w:rPr>
          <w:rFonts w:ascii="Arial" w:cs="Arial" w:eastAsia="Arial" w:hAnsi="Arial"/>
          <w:sz w:val="16"/>
          <w:szCs w:val="16"/>
          <w:color w:val="auto"/>
        </w:rPr>
        <w:t xml:space="preserve"> shall not be amended or waived without the written consent of Hillhouse so long as it remains entitled to designate at least one (1) Series B Director pursuant to the Voting Agreement.</w:t>
      </w:r>
    </w:p>
    <w:p>
      <w:pPr>
        <w:spacing w:after="0" w:line="173"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1" w:lineRule="exact"/>
        <w:rPr>
          <w:sz w:val="20"/>
          <w:szCs w:val="20"/>
          <w:color w:val="auto"/>
        </w:rPr>
      </w:pPr>
    </w:p>
    <w:p>
      <w:pPr>
        <w:jc w:val="both"/>
        <w:ind w:firstLine="881"/>
        <w:spacing w:after="0" w:line="27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Series B Preferred Stock after the date hereof, any purchaser of such shares of Series B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3" w:right="439" w:bottom="1440" w:gutter="0" w:footer="0" w:header="0"/>
        </w:sectPr>
      </w:pPr>
    </w:p>
    <w:bookmarkStart w:id="306" w:name="page307"/>
    <w:bookmarkEnd w:id="306"/>
    <w:p>
      <w:pPr>
        <w:jc w:val="both"/>
        <w:ind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1" w:lineRule="exact"/>
        <w:rPr>
          <w:sz w:val="20"/>
          <w:szCs w:val="20"/>
          <w:color w:val="auto"/>
        </w:rPr>
      </w:pPr>
    </w:p>
    <w:p>
      <w:pPr>
        <w:jc w:val="both"/>
        <w:ind w:firstLine="881"/>
        <w:spacing w:after="0" w:line="268"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Any unresolved controversy or claim arising out of or relating to this Agreement, except as (i) otherwise provided in this Agreement, or (ii) any such controversies or claims arising out of the Company’s intellectual property rights for which a provisional remedy or equitable relief is sought, shall be submitted to arbitration by one arbitrator mutually agreed upon by the parties, and if no agreement can be reached within thirty (30) days after names of potential arbitrators have been proposed by the American Arbitration Association (the “</w:t>
      </w:r>
      <w:r>
        <w:rPr>
          <w:rFonts w:ascii="Arial" w:cs="Arial" w:eastAsia="Arial" w:hAnsi="Arial"/>
          <w:sz w:val="17"/>
          <w:szCs w:val="17"/>
          <w:b w:val="1"/>
          <w:bCs w:val="1"/>
          <w:color w:val="auto"/>
        </w:rPr>
        <w:t>AAA</w:t>
      </w:r>
      <w:r>
        <w:rPr>
          <w:rFonts w:ascii="Arial" w:cs="Arial" w:eastAsia="Arial" w:hAnsi="Arial"/>
          <w:sz w:val="17"/>
          <w:szCs w:val="17"/>
          <w:color w:val="auto"/>
        </w:rPr>
        <w:t>”), then by one arbitrator having reasonable experience in corporate finance transactions of the type provided for in this Agreement and who is chosen by the AAA. The arbitration shall take place in San Diego, California, in accordance with the AAA rules then in effect, and judgment upon any award rendered in such arbitration will be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the Delaware Code of Civil Procedure, the arbitrator shall be required to provide in writing to the parties the basis for the award or order of such arbitrator, and a court reporter shall record all hearings, with such record constituting the official transcript of such proceedings. Each party will bear its own costs in respect of any disputes arising under this Agreement. Each of the parties to this Agreement consents to personal jurisdiction for any equitable action sought in the U.S. District Court for the District of Delaware or the Court of Chancery of the State of Delaware.</w:t>
      </w:r>
    </w:p>
    <w:p>
      <w:pPr>
        <w:spacing w:after="0" w:line="185" w:lineRule="exact"/>
        <w:rPr>
          <w:sz w:val="20"/>
          <w:szCs w:val="20"/>
          <w:color w:val="auto"/>
        </w:rPr>
      </w:pPr>
    </w:p>
    <w:p>
      <w:pPr>
        <w:jc w:val="both"/>
        <w:ind w:firstLine="881"/>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2" w:lineRule="exact"/>
        <w:rPr>
          <w:sz w:val="20"/>
          <w:szCs w:val="20"/>
          <w:color w:val="auto"/>
        </w:rPr>
      </w:pPr>
    </w:p>
    <w:p>
      <w:pPr>
        <w:jc w:val="both"/>
        <w:ind w:firstLine="881"/>
        <w:spacing w:after="0" w:line="29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58"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Acknowledgment</w:t>
      </w:r>
      <w:r>
        <w:rPr>
          <w:rFonts w:ascii="Arial" w:cs="Arial" w:eastAsia="Arial" w:hAnsi="Arial"/>
          <w:sz w:val="18"/>
          <w:szCs w:val="18"/>
          <w:color w:val="auto"/>
        </w:rPr>
        <w:t>. The Company acknowledges that the Investors are in the business of venture capital investing and therefore review the business plans and related proprietary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7" w:name="page308"/>
    <w:bookmarkEnd w:id="30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81" w:lineRule="exact"/>
        <w:rPr>
          <w:sz w:val="20"/>
          <w:szCs w:val="20"/>
          <w:color w:val="auto"/>
        </w:rPr>
      </w:pPr>
    </w:p>
    <w:p>
      <w:pPr>
        <w:jc w:val="both"/>
        <w:ind w:firstLine="881"/>
        <w:spacing w:after="0" w:line="297" w:lineRule="auto"/>
        <w:rPr>
          <w:sz w:val="20"/>
          <w:szCs w:val="20"/>
          <w:color w:val="auto"/>
        </w:rPr>
      </w:pPr>
      <w:r>
        <w:rPr>
          <w:rFonts w:ascii="Arial" w:cs="Arial" w:eastAsia="Arial" w:hAnsi="Arial"/>
          <w:sz w:val="16"/>
          <w:szCs w:val="16"/>
          <w:color w:val="auto"/>
        </w:rPr>
        <w:t>6.15 Amendment and Restatement of Prior Agreement; Waiver of Right of First Offer. Upon execution of this Agreement by the Company and Existing Investors holding at least sixty percent (60%) of the Registrable Securities under the Prior Agreement, the Prior Agreement shall thereafter be of no further force and effect and is hereby amended in its entirety and restated herein, and all provisions of rights granted and covenants made in the Prior Agreement are hereby waived, released and superseded in their entirety and shall have no further force or effect including, without limitation, all rights of first offer and any notice period associated therewith otherwise applicable to the transactions contemplated by the Purchase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Faheem Hasnain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 AND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HASNAIN REVOCABLE TRUST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Faheem Hasnain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 AND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JORDAN Y. COHEN AND SHEILA K. GUJRATHI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LIVING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MYLES J. HASNAIN IRREVOCABLE TRUST NUMBER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ONE, DATED MARCH 8, 2017</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Eric Weitzen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Eric I. Weitzen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540"/>
          </w:cols>
          <w:pgMar w:left="880" w:top="274" w:right="47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AARON D. HASNAIN IRREVOCABLE TRUST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NUMBER ONE, DATED MARCH 8, 2017</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Eric Weitzen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Eric I. Weitzen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JADEN K. COHEN IRREVOCABLE TRUST NUMBER 1,</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DATED NOVEMBER 7, 2017</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Sunil Gujrathi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Sunil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560"/>
          </w:cols>
          <w:pgMar w:left="880" w:top="274" w:right="45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SORREL K. COHEN IRREVOCABLE TRUST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NUMBER 1, DATED NOVEMBER 7, 2017</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Sunil Gujrathi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Sunil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HH GOSS HOLDINGS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Colm O’Connell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OMEGA FUND V,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Omega Fund V GP,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Omega Fund V GP Manager,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Richard Lim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Richard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ARCH Venture Fund IX,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ARCH Venture Fund IX Overage, L.P.</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ARCH Venture Fund IX, L.P.</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ARCH Venture Partners IX, L.P.</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ARCH Venture Partners IX, LLC</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Mark McDonnell</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-130810</wp:posOffset>
            </wp:positionV>
            <wp:extent cx="2675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Mark McDonnell</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ARCH Venture Fund IX Overage, L.P.</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ARCH Venture Partners IX Overage, L.P.</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ARCH Venture Partners IX, LLC</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Mark McDonnell</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-130810</wp:posOffset>
            </wp:positionV>
            <wp:extent cx="2675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Mark McDonnell</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PLATINUM FALCON B 2018 RSC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 Humaid Bin Butti Bin Humaid Bin Bishr AlMarri</w:t>
      </w:r>
    </w:p>
    <w:p>
      <w:pPr>
        <w:spacing w:after="0" w:line="3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Humaid Bin Butti Bin Humaid Bin Bishr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-130810</wp:posOffset>
            </wp:positionV>
            <wp:extent cx="26244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AlMarri</w:t>
      </w:r>
    </w:p>
    <w:p>
      <w:pPr>
        <w:spacing w:after="0" w:line="9" w:lineRule="exact"/>
        <w:rPr>
          <w:sz w:val="20"/>
          <w:szCs w:val="20"/>
          <w:color w:val="auto"/>
        </w:rPr>
      </w:pPr>
    </w:p>
    <w:p>
      <w:pPr>
        <w:ind w:left="650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Ahmed Mohamed Ghubash Saeed AlMarri</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Ahmed Mohamed Ghubash Saeed AlMarri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-123190</wp:posOffset>
            </wp:positionV>
            <wp:extent cx="26244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4" w:lineRule="exact"/>
        <w:rPr>
          <w:sz w:val="20"/>
          <w:szCs w:val="20"/>
          <w:color w:val="auto"/>
        </w:rPr>
      </w:pPr>
    </w:p>
    <w:p>
      <w:pPr>
        <w:ind w:left="650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ARTAL INTERNATIONAL S.C.A.</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Artal International Management S.A.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Managing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Anne Goffard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BAUPOST PRIVATE INVESTMENTS A-3,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Baupost Limited Partnership 1983 A-1,</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BAUPOST PRIVATE INVESTMENTS B-3,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Baupost Limited Partnership 1983 B-1,</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BAUPOST PRIVATE INVESTMENTS C-3,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Baupost Limited Partnership 1983 C-1,</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21" w:name="page322"/>
    <w:bookmarkEnd w:id="32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BAUPOST PRIVATE INVESTMENTS H-3,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HB Institutional Limited Partnership,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BAUPOST PRIVATE INVESTMENTS P-3,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PB Institutional Limited Partnership,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BAUPOST PRIVATE INVESTMENTS Y-3,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YB Institutional Limited Partnership,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BAUPOST PRIVATE INVESTMENTS BVI-3,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Baupost Value Partners, L.P.-I,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9560"/>
          </w:cols>
          <w:pgMar w:left="1440" w:top="490" w:right="899" w:bottom="1440" w:gutter="0" w:footer="0" w:header="0"/>
        </w:sectPr>
      </w:pPr>
    </w:p>
    <w:bookmarkStart w:id="322" w:name="page323"/>
    <w:bookmarkEnd w:id="32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BAUPOST PRIVATE INVESTMENTS BVII-3,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Baupost Value Partners, L.P.-II,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BAUPOST PRIVATE INVESTMENTS BVIII-3,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Baupost Value Partners, L.P.-III,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BAUPOST PRIVATE INVESTMENTS BVIV-3,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Baupost Value Partners, L.P.-IV,</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By: The Baupost Group, L.L.C.,</w:t>
      </w:r>
    </w:p>
    <w:p>
      <w:pPr>
        <w:spacing w:after="0" w:line="2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its managing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Ciongoli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Partner</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9680"/>
          </w:cols>
          <w:pgMar w:left="1440" w:top="489" w:right="779"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FAR REACH PTE.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Yuan Sun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Yuan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24" w:name="page325"/>
    <w:bookmarkEnd w:id="3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POLARIS PARTNERS VIII,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for Itself and as Nominee for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POLARIS ENTREPRENEURS’ FUND VIII,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Polaris Partners GP VIII,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Max Eisenberg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25" w:name="page326"/>
    <w:bookmarkEnd w:id="3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BAY CITY CAPITAL GF XINDE INTERNATIONAL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LIFE SCIENCES USD FUND, 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Bay City Capital Gf XINDE Investment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Management Co.</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Fred Craves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Fred Craves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ECOR1 CAPITAL FUND,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EcoR1 Capital, LLC, its General Partner</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Oleg Nodelman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-130810</wp:posOffset>
            </wp:positionV>
            <wp:extent cx="24180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682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ECOR1 CAPITAL FUND QUALIFIED,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EcoR1 Capital, LLC, its General Partner</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Oleg Nodelman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-130810</wp:posOffset>
            </wp:positionV>
            <wp:extent cx="24180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CORMORANT GLOBAL HEALTHCARE MASTER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FUND, 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Bihua Chen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the GP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CORMORANT PRIVATE HEALTHCARE FUND 1, LP</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Bihua Chen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the GP</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ALEXANDRIA VENTURE INVESTMENTS,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ALEXANDRIA REAL ESTATE EQUITIES,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Maryland corporation, 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Aaron Jacobson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 Corporate Counsel</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PIVOTAL ALPHA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Sun Txintong &amp; Tank Chun Wai Nelson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Sun Xintong &amp; Tank Chun Wai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Directors</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31" w:name="page332"/>
    <w:bookmarkEnd w:id="3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SAMSARA BIOCAPITAL,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Samsara BioCapital GP, LLC, 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Srinivas Akkaraju</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Srinivas Akkaraju,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CITADEL MULTI-STRATEGY EQUITIES MASTER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FUND LTD.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Citadel Advisors LLC, its portfolio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Noah Goldberg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CLOUGH HEALTHCARE MASTER FUND,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Clough Capital Partners L.P., its investment adviser</w:t>
      </w:r>
    </w:p>
    <w:p>
      <w:pPr>
        <w:spacing w:after="0" w:line="2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J. Gillis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Daniel J.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CLOUGH GLOBAL EQUITY FUND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Clough Capital Partners L.P., its investment adviser</w:t>
      </w:r>
    </w:p>
    <w:p>
      <w:pPr>
        <w:spacing w:after="0" w:line="2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J. Gillis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Daniel J.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Clough Capital Partners L.P., its investment adviser</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J. Gillis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Daniel J.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MARSHFIELD ADVISERS,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Scott Carman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Scott Carman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Portfolio Manager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35" w:name="page336"/>
    <w:bookmarkEnd w:id="3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MILLPOND TRUST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Robert F. Raucci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Robert F. Raucci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36" w:name="page337"/>
    <w:bookmarkEnd w:id="3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ALTITUDE LIFE SCIENCE VENTURES FUND II, L.P.</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Altitude Life Science Ventures Fund II, LLC, its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Maki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David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ALTITUDE LIFE SCIENCE VENTURES SIDE FUND II,</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Altitude Life Science Ventures Fund II, LLC, its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Maki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David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440"/>
          </w:cols>
          <w:pgMar w:left="880" w:top="274" w:right="579" w:bottom="1440" w:gutter="0" w:footer="0" w:header="0"/>
        </w:sectPr>
      </w:pPr>
    </w:p>
    <w:bookmarkStart w:id="337" w:name="page338"/>
    <w:bookmarkEnd w:id="3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MONASHEE CAPITAL MASTER FUND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Jeff Muller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Jeff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CCO</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38" w:name="page339"/>
    <w:bookmarkEnd w:id="3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AJL INVESTMENTS,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Steven R. Altman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Steven R.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39" w:name="page340"/>
    <w:bookmarkEnd w:id="3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PTOLEMY CAPITAL,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Ortelius,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Mitch Otolski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Mitch Otolski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Agent</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LEERINK HOLDINGS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Joseph R. Gentile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LEERINK PARTNERS CO-INVESTMENT FUND, LLC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Joseph R. Gentile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Joseph R.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1" w:name="page342"/>
    <w:bookmarkEnd w:id="3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JEANETTE AND ULF SAMUELSSON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Jeanette Samuelsson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Jeanette Samuelsson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Ulf Samuelsson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Ulf Samuelsson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2" w:name="page343"/>
    <w:bookmarkEnd w:id="3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THEODORE SHARP LIGETY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Theodore Sharp Ligety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43" w:name="page344"/>
    <w:bookmarkEnd w:id="3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FRED COUPLES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O. Lynn Roach, Jr., Power-of-Attorney for Fred Couples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O. Lynn Roach, Jr., Power-of-Attorney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For Fred Couples</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520"/>
          </w:cols>
          <w:pgMar w:left="880" w:top="273" w:right="499" w:bottom="1440" w:gutter="0" w:footer="0" w:header="0"/>
        </w:sectPr>
      </w:pPr>
    </w:p>
    <w:bookmarkStart w:id="344" w:name="page345"/>
    <w:bookmarkEnd w:id="3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JOEL AND ELIZABETH QUENNEVILLE</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Joel Quenneville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Joel Quenneville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Elizabeth Quenneville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Elizabeth Quenneville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KOTPIL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Mark Liptok</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Mark Liptok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6" w:name="page347"/>
    <w:bookmarkEnd w:id="3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STEVEN HENRY ZACK</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Steven Henry Zack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GIRAUDO</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Daniel Giraudo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48" w:name="page349"/>
    <w:bookmarkEnd w:id="3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TENACITY HOLDINGS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George Machan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George Machan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HILL N DALE OF KENTUCKY,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John G. Sikura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John G. Sikura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0" w:name="page351"/>
    <w:bookmarkEnd w:id="3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ANGIE VASSAR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Angie Vassar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1" w:name="page352"/>
    <w:bookmarkEnd w:id="3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OPITECK TRUST DATED NOVEMBER 3, 2015</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Nancy-Anne Opiteck</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Nancy-Anne Opiteck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Trustee of the Family Trust Dated Nov. 3, 2015</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520"/>
          </w:cols>
          <w:pgMar w:left="880" w:top="274" w:right="499" w:bottom="1440" w:gutter="0" w:footer="0" w:header="0"/>
        </w:sectPr>
      </w:pPr>
    </w:p>
    <w:bookmarkStart w:id="352" w:name="page353"/>
    <w:bookmarkEnd w:id="3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OPITECK TRUST DATED NOVEMBER 3, 2015</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Gregory J. Opiteck</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Gregory J. Opiteck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53" w:name="page354"/>
    <w:bookmarkEnd w:id="3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NIHAR MAHENDRA BHAKTA</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Nihar Mahendra Bhakta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BRYAN GIRAUDO</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Bryan Giraudo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5" w:name="page356"/>
    <w:bookmarkEnd w:id="3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WAAGE TRUST DATED JUNE 11, 2008</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/s/Christian Waage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PATRICK HAUPT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Patrick Haupt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7" w:name="page358"/>
    <w:bookmarkEnd w:id="3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LARRY ZISMAN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Larry Zisman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8" w:name="page359"/>
    <w:bookmarkEnd w:id="3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AMY WOO AND MATTHEW RICHARD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Amy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Matthew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59" w:name="page360"/>
    <w:bookmarkEnd w:id="3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MCCAFFREY FAMILY TRUST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Ramona McCaffrey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Ramona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0" w:name="page361"/>
    <w:bookmarkEnd w:id="3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EVAN BELCHER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James Evan Belcher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JEFF BOERNEKE</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Jeff Boerneke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2" w:name="page363"/>
    <w:bookmarkEnd w:id="3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JILL HOWE AND RODNEY HOWE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Jill Howe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Jill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Rodney Howe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Rodney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TENBROECK-MEAD FAMILY TRUST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Tonya Mead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Tonya Mead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jc w:val="center"/>
        <w:ind w:left="404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Craig TenBroeck</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Craig TenBroeck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4" w:name="page365"/>
    <w:bookmarkEnd w:id="3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ARANDA</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Richard Aranda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5" w:name="page366"/>
    <w:bookmarkEnd w:id="3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HECTOR ORTEGA</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Hector Ortega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66" w:name="page367"/>
    <w:bookmarkEnd w:id="3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DEANNA WEBER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Deanna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3" w:right="639" w:bottom="1440" w:gutter="0" w:footer="0" w:header="0"/>
        </w:sectPr>
      </w:pPr>
    </w:p>
    <w:bookmarkStart w:id="367" w:name="page368"/>
    <w:bookmarkEnd w:id="3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A. AND DEANNA M. FLOETER 2000</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William A. Floeter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William A. Floeter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Deanna M. Floeter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Deanna M. Floeter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Trustee</w:t>
      </w:r>
    </w:p>
    <w:p>
      <w:pPr>
        <w:spacing w:after="0" w:line="13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380"/>
          </w:cols>
          <w:pgMar w:left="880" w:top="274" w:right="639" w:bottom="1440" w:gutter="0" w:footer="0" w:header="0"/>
        </w:sectPr>
      </w:pPr>
    </w:p>
    <w:bookmarkStart w:id="368" w:name="page369"/>
    <w:bookmarkEnd w:id="368"/>
    <w:p>
      <w:pPr>
        <w:jc w:val="right"/>
        <w:ind w:right="39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INVESTORS</w:t>
      </w:r>
    </w:p>
    <w:p>
      <w:pPr>
        <w:spacing w:after="0" w:line="337" w:lineRule="exact"/>
        <w:rPr>
          <w:sz w:val="20"/>
          <w:szCs w:val="20"/>
          <w:color w:val="auto"/>
        </w:rPr>
      </w:pPr>
    </w:p>
    <w:p>
      <w:pPr>
        <w:ind w:right="7599" w:firstLine="4"/>
        <w:spacing w:after="0" w:line="269" w:lineRule="auto"/>
        <w:tabs>
          <w:tab w:leader="none" w:pos="30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Goss Holdings LLC Address: Suite 2202, 22nd Floor Two International Finance Centre 8 Finance Street</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Central, Hong Kong</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Attn: Michael Yi / Ting Jia</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Email: myi@hillhousecap.com; ting.jia@hhresearch.com</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 a copy to: Adam Hornung</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Email: Legal@hillhousecap.com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mandatory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Exchange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2801, 8 Connaught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Yash Rana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 3658 5353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yrana@goodwinlaw.com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ARCH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8755 W. Higgins Road, Suite 1025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McDonnell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(773) 380-6600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mmcdonnell@archventure.com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mandatory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Ori Solomon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 526-9889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osolomon@proskauer.com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ARCH VENTURE FUND IX OVERAGE,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ARCH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8755 W. Higgins Road, Suite 1025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McDonnell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(773) 380-6600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mmcdonnell@archventure.com</w:t>
      </w:r>
    </w:p>
    <w:p>
      <w:pPr>
        <w:sectPr>
          <w:pgSz w:w="11900" w:h="16838" w:orient="portrait"/>
          <w:cols w:equalWidth="0" w:num="1">
            <w:col w:w="10019"/>
          </w:cols>
          <w:pgMar w:left="440" w:top="270" w:right="1440"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mandatory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Ori Solomon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 526-9889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osolomon@proskauer.com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OMEGA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185 Dartmouth Street, Suite 502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ALTITUDE LIFE SCIENCE VENTURES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ALTITUDE LIFE SCIENCE VENTURES SIDE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1014 Market St,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Kirkland, WA 98033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Maki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dmaki@altitudelsv.com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GREGG ALAN TIMONY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7333 Calle Pera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gtimony@gossamerbio.com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NIHAR MAHENDRA BHAKTA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3430 Sitio Sandia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nbhakta@gossamerbio.com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AMY WOO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13522 Cielo Ranch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awoo@gossamerbio.com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ROWBOTTOM MOORJANI TRUST DATED AUGUST 8,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8389 Reagan Glen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mrowbottom@gossamerbio.com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nisha.moorjani@gmail.com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409 Illinois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oleg@ecor1cap.com; sarah@ecor1cap.com; eco@agilefs.com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QUALIFIED,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409 Illinois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ectPr>
          <w:pgSz w:w="11900" w:h="16838" w:orient="portrait"/>
          <w:cols w:equalWidth="0" w:num="1">
            <w:col w:w="10019"/>
          </w:cols>
          <w:pgMar w:left="440" w:top="274" w:right="1440"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Email: oleg@ecor1cap.com; sarah@ecor1cap.com; eco@agilefs.com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CARYN LORRAINE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710 Neptune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Encinitas, CA 92024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caryn@dsc-associates.com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JILL AND RODNEY HOWE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414 Vars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Alpine, CA 91901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jhowe@gossamerbio.com; jill.rodney1@cox.net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AJAY K. GUPTA AND SILVIA S. GUPTA FAMILY TRUST U/A DTD 5/25/2007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Ajay K. Gupta,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4551 Rancho Del Mar Trail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gupta@thinkingbeyond.com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FRANKLIN M.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257 Park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franklin@fmb-research.com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MARCUS AND KIMBERLEY BOEHM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2811 Maple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mfboehm@gmail.com; skphillipsboehm@gmail.com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BROOKS WONG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Jennifer Brooks,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1352 Ahlrich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Encinitas, CA 92024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jbrooks@gossamerbio.com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ALEXANDRIA VENTURE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385 E. Colorado Blvd., Suite 299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jkabakoff@are.com; investments@are.com; msmith@are.com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KASIBHATLA TRUST DATED AUGUST 5, 2003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13073 Dressage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skasibhatl@aol.com; skasibhatla@gossamerbio.com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RAHD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477 N. Lindbergh Blvd,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rheyman@heymanbiotech.com; PVogel@argosfamilyoffice;</w:t>
      </w:r>
    </w:p>
    <w:p>
      <w:pPr>
        <w:sectPr>
          <w:pgSz w:w="11900" w:h="16838" w:orient="portrait"/>
          <w:cols w:equalWidth="0" w:num="1">
            <w:col w:w="10019"/>
          </w:cols>
          <w:pgMar w:left="440" w:top="273"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HButkovich@argoscapitalpartners.com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 K. STEPHENSON AND CHRYSA MINEO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2624 Ellentown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 92037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mineochrysa@gmail.com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G&amp;H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Stefan J. Palmer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 Seaport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spalmer@gunder.com; jengerman@gunder.com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HEATHER D.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14012 Sycamore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hsmith@gossamerbio.com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ROWLINGS FAMILY TRUST, DATED 7/19/2001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Colin E. Rowlings and Weiping Xu, Trustees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5484 Shannon Ridge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crowlings@gossamerbio.com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 LI AND NING ZHAO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185 Regency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1883 Nong Hua Mu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Pudong, Shanghai 201204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geli@wuxiapptec.com and zhao_ning@wuxiapptec.com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RICHARD ARANDA OR MARLENE ARANDA, TRUSTEES OF THE ARANDA TRUST DATED NOVEMBER 4,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16329 Santa Cristobal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raranda@gossamerbio.com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RASTETTER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1401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Santa Fe, CA 92067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whrmgr@gmail.com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KEITH LENDEN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289 Arundel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Carlos, CA 94070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keith.lenden@gmail.com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JAYNE E. HASTEDT AND JAMSHED B. GHANDHI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Knoll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Carlos, CA 94017</w:t>
      </w:r>
    </w:p>
    <w:p>
      <w:pPr>
        <w:sectPr>
          <w:pgSz w:w="11900" w:h="16838" w:orient="portrait"/>
          <w:cols w:equalWidth="0" w:num="1">
            <w:col w:w="10019"/>
          </w:cols>
          <w:pgMar w:left="440" w:top="273" w:right="1440" w:bottom="1440" w:gutter="0" w:footer="0" w:header="0"/>
        </w:sectPr>
      </w:pPr>
    </w:p>
    <w:bookmarkStart w:id="372" w:name="page373"/>
    <w:bookmarkEnd w:id="37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Email: jayne@jdppharma.com and jamshedg@gmail.com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2004 RUCK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Town Center Drive, 20th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 92626-1925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charles.ruck@lw.com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CHESTON J. LARSON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Cheston.Larson@lw.com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VP COMPANY INVESTMENTS 2016,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W.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90013-1010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Nathan.Cho@lw.com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Investment.Administration@lw.com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ZISMAN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Harold Elish, UBS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lzisman@gossamerbio.com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MATTHEW T. BUSH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Matt.Bush@lw.com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 SCOTT SHEAN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Town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 92626-1925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scott.shean@lw.com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CHINOWSKY FAMILY TRUST, DATED AUGUST 1, 2014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Steven.Chinowsky@lw.com</w:t>
      </w:r>
    </w:p>
    <w:p>
      <w:pPr>
        <w:sectPr>
          <w:pgSz w:w="11900" w:h="16838" w:orient="portrait"/>
          <w:cols w:equalWidth="0" w:num="1">
            <w:col w:w="10019"/>
          </w:cols>
          <w:pgMar w:left="440" w:top="274" w:right="1440"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THOMAS ORAN DANIEL LIVING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927929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tomdaniel.md@gmail.com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BOND ROAD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anashat@polarispartners.com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HASNAIN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4840 Rancho Del Mar Trail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fhasnain@gossamerbio.com</w:t>
      </w:r>
    </w:p>
    <w:p>
      <w:pPr>
        <w:spacing w:after="0" w:line="211" w:lineRule="exact"/>
        <w:rPr>
          <w:sz w:val="20"/>
          <w:szCs w:val="20"/>
          <w:color w:val="auto"/>
        </w:rPr>
      </w:pPr>
    </w:p>
    <w:p>
      <w:pPr>
        <w:ind w:right="4919"/>
        <w:spacing w:after="0" w:line="258" w:lineRule="auto"/>
        <w:rPr>
          <w:sz w:val="20"/>
          <w:szCs w:val="20"/>
          <w:color w:val="auto"/>
        </w:rPr>
      </w:pPr>
      <w:r>
        <w:rPr>
          <w:rFonts w:ascii="Arial" w:cs="Arial" w:eastAsia="Arial" w:hAnsi="Arial"/>
          <w:sz w:val="18"/>
          <w:szCs w:val="18"/>
          <w:color w:val="auto"/>
        </w:rPr>
        <w:t>JORDAN Y. COHEN AND SHEILA K. GUJRATHI LIVING TRUST P.O. Box 1395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Rancho Santa Fe, CA 92067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sgujrathi@gossamerbio.com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BRYAN GIRAUDO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2744 Steiner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bgiraudo@gossamerbio.com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DANIEL GIRAUDO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 Presidio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dan@giraudobakeries.com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ARTAL INTERNATIONAL S.C.A.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Artal International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44, rue de la Vallée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 2661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Anne Goffard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Invus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Philippe Amouyal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pa@Invus.com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A-3,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B-3,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C-3,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H-3,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P-3,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Y-3,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BVI-3, L.L.C.</w:t>
      </w:r>
    </w:p>
    <w:p>
      <w:pPr>
        <w:sectPr>
          <w:pgSz w:w="11900" w:h="16838" w:orient="portrait"/>
          <w:cols w:equalWidth="0" w:num="1">
            <w:col w:w="10019"/>
          </w:cols>
          <w:pgMar w:left="440" w:top="274" w:right="1440"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BAUPOST PRIVATE INVESTMENTS BVII-3,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BVIII-3,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BAUPOST PRIVATE INVESTMENTS BVIV-3,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St. James Ave.,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1.617.988.4872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gac@baupost.com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FAR REACH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Rm2865, 28F, AIA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Connaught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Chuang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michael.chuang@sironacap.com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PARTNERS VIII,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Marina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Amir Nashat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anashat@polarispartners.com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BAY CITY CAPITAL GF XINDE INTERNATIONAL LIFE SCIENCES USD FUND,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750 Battery Street,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Naheed Misfeldt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naheed@baycitycapital.com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QUALIFIED,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409 Illinois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Oleg Nodelman,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oleg@ecor1cap.com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CORMORANT PRIVATE HEALTHCARE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Jay Scollins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scollins@comorant-asset.com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ALEXANDRIA VENTURE INVESTMENTS, LLC, a Delaware limited liability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385 E. Colorado Blvd., Suite 299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Jacobson, VP – Corporate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Kabakoff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jkabakoff@are.com</w:t>
      </w:r>
    </w:p>
    <w:p>
      <w:pPr>
        <w:sectPr>
          <w:pgSz w:w="11900" w:h="16838" w:orient="portrait"/>
          <w:cols w:equalWidth="0" w:num="1">
            <w:col w:w="10019"/>
          </w:cols>
          <w:pgMar w:left="440" w:top="274" w:right="1440"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PIVOTAL ALPHA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23/F Nan Fung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88 Connaught Road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Terence LamEmail: psupport@nftcapital.com, pe@nftcapital.com, terence.lam@nftcapital.com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SAMSARA BIOCAPITAL,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628 Middlefield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Srinivas Akkaraju, MD, PhD,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srini@samsaracap.com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CITADEL MULTI-STRATEGY EQUITIES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Noah Goldberg, 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noah.goldberg@citadel.com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CLOUGH HEALTHCARE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CLOUGH GLOBAL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CLOUGH GLOBAL OPPORTUNITIES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Clough Capital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Post Office Square,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Daniel J. Gillis, Chief Compliance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MHearle@cloughcapital.com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MARSHFIELD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East South Temple Street,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Scott Carman, Head of Private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801.715.0146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MILLPOND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Robert F. Raucci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505 Park Avenue,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RFR@forthmanagement.com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MONASHEE CAPITAL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Monashee Investment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 High Street, 28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 Muller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tom@monasheecap.com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AJL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 Prospect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 92037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Steven R. Altman</w:t>
      </w:r>
    </w:p>
    <w:p>
      <w:pPr>
        <w:sectPr>
          <w:pgSz w:w="11900" w:h="16838" w:orient="portrait"/>
          <w:cols w:equalWidth="0" w:num="1">
            <w:col w:w="10019"/>
          </w:cols>
          <w:pgMar w:left="440" w:top="273" w:right="1440"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Phone: 619-787-0228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steve@ajlinvestments.com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PTOLEMY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 Prospect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 92037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mitch@fsinvestors.com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LEERINK PARTNERS CO-INVESTMENT FUND,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Stuart.Nayman@leerink.com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JEANETTE AND ULF SAMUELSSON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6783 Onyx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ulfs5@hotmail.com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THEODORE SHARP LIGETY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969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City, UT 84060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tligety1@yahoo.com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FRED COUPLES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Lynn Roach, Jr. (Power-of-Attorney)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Players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1851 Alexander Bell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 20191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703 476-1717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703 476-7816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Lroach@playersgroupinc.com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JOEL AND ELIZABETH QUENNEVILLE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S. Oak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Hinsdale, IL 60521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jcoachq@aol.com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KOTPIL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5-1400 Cornwall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Oakville, Ontario, Canada L6J 7W5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Liptok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905 829 9480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Mliptok@centralts.com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HENRY ZACK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Old Cottage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Kitchener, Ontario, Canada</w:t>
      </w:r>
    </w:p>
    <w:p>
      <w:pPr>
        <w:sectPr>
          <w:pgSz w:w="11900" w:h="16838" w:orient="portrait"/>
          <w:cols w:equalWidth="0" w:num="1">
            <w:col w:w="10019"/>
          </w:cols>
          <w:pgMar w:left="440" w:top="274" w:right="1440"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N2K4K2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shzack12@gmail.com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TENACITY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36 Sommerville House Phillips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Helier Jersey JE4 9NU Channel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Machan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Trevor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Baudet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(44-1534) 824000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(44-1534) 824010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verite@verite.co.je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HILL N DALE OF KENTUCKY,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 N Yarnallton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KY 40511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G. Sikura,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Jsikura@hillndalefarms.com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ANGIE VASSAR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11199 Morning Creek Drive,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OPITECK TRUST DATED NOVEMBER 3,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5215 Caminito Exquisito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gopiteck@gossamerbio.com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WAAGE TRUST DATED JUNE 11,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1035 Stratford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 Mar, CA 92014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cwaage@gossamerbio.com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PATRICK HAUPT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7134 Sitio Destino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phaupt@gossamerbio.com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LARRY ZISMAN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Harold Elish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 18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lzisman@gossamerbio.com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AMY WOO AND MATTHEW RICHARD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13522 Cielo Ranch Road</w:t>
      </w:r>
    </w:p>
    <w:p>
      <w:pPr>
        <w:sectPr>
          <w:pgSz w:w="11900" w:h="16838" w:orient="portrait"/>
          <w:cols w:equalWidth="0" w:num="1">
            <w:col w:w="10019"/>
          </w:cols>
          <w:pgMar w:left="440" w:top="273" w:right="1440"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 Diego, CA 92130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awoo@gossamerbio.com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MCCAFFREY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4944 Cass Street, Unit 706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rmccaffrey@gossamerbio.com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EVAN BELCHER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2040 Columbia St., Apt #506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ebelcher@gossamerbio.com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JEFFREY BOERNEKE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463 Bay Meadows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Solana Beach, CA 92075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jboerneke@gossamerbio.com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JILL HOWE AND RODNEY HOWE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414 Vars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Alpine, CA 91901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TENBROECK-MEAD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15695 Corte Raposo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tmead@gossamerbio.com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RICHARD ARANDA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16329 Santa Cristobal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raranda@gossamerbio.com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HECTOR ORTEGA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181800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181800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Email: hortega@gossamerbio.com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DEANNA WEBER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7365 Rondel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dweber@gossamerbio.com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WILLIAM A. AND DEANNA M. FLOETER 2000 TRUST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10513 Corte Jardin Del Mar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dfloeter@gossamerbio.com</w:t>
      </w:r>
    </w:p>
    <w:p>
      <w:pPr>
        <w:sectPr>
          <w:pgSz w:w="11900" w:h="16838" w:orient="portrait"/>
          <w:cols w:equalWidth="0" w:num="1">
            <w:col w:w="10019"/>
          </w:cols>
          <w:pgMar w:left="440" w:top="274" w:right="1440" w:bottom="1440" w:gutter="0" w:footer="0" w:header="0"/>
        </w:sectPr>
      </w:pPr>
    </w:p>
    <w:bookmarkStart w:id="379" w:name="page380"/>
    <w:bookmarkEnd w:id="379"/>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KEY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HASNAIN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4840 Rancho Del Mar Trail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JORDAN Y. COHEN AND SHEILA K. GUJRATHI LIVING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1395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Santa Fe, CA 92067</w:t>
      </w:r>
    </w:p>
    <w:p>
      <w:pPr>
        <w:spacing w:after="0" w:line="211" w:lineRule="exact"/>
        <w:rPr>
          <w:sz w:val="20"/>
          <w:szCs w:val="20"/>
          <w:color w:val="auto"/>
        </w:rPr>
      </w:pPr>
    </w:p>
    <w:p>
      <w:pPr>
        <w:ind w:right="3279"/>
        <w:spacing w:after="0" w:line="258" w:lineRule="auto"/>
        <w:rPr>
          <w:sz w:val="20"/>
          <w:szCs w:val="20"/>
          <w:color w:val="auto"/>
        </w:rPr>
      </w:pPr>
      <w:r>
        <w:rPr>
          <w:rFonts w:ascii="Arial" w:cs="Arial" w:eastAsia="Arial" w:hAnsi="Arial"/>
          <w:sz w:val="18"/>
          <w:szCs w:val="18"/>
          <w:color w:val="auto"/>
        </w:rPr>
        <w:t>MYLES J. HASNAIN IRREVOCABLE TRUST NUMBER ONE, DATED MARCH 8, 2017 c/o Eric I. Weitzen, Esq.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Weitzen, Phillips &amp; Weinberg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12730 High Bluff Drive,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858-793-0300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eric@weitzenphillips.com</w:t>
      </w:r>
    </w:p>
    <w:p>
      <w:pPr>
        <w:spacing w:after="0" w:line="211" w:lineRule="exact"/>
        <w:rPr>
          <w:sz w:val="20"/>
          <w:szCs w:val="20"/>
          <w:color w:val="auto"/>
        </w:rPr>
      </w:pPr>
    </w:p>
    <w:p>
      <w:pPr>
        <w:ind w:right="3179"/>
        <w:spacing w:after="0" w:line="258" w:lineRule="auto"/>
        <w:rPr>
          <w:sz w:val="20"/>
          <w:szCs w:val="20"/>
          <w:color w:val="auto"/>
        </w:rPr>
      </w:pPr>
      <w:r>
        <w:rPr>
          <w:rFonts w:ascii="Arial" w:cs="Arial" w:eastAsia="Arial" w:hAnsi="Arial"/>
          <w:sz w:val="18"/>
          <w:szCs w:val="18"/>
          <w:color w:val="auto"/>
        </w:rPr>
        <w:t>AARON D. HASNAIN IRREVOCABLE TRUST NUMBER ONE, DATED MARCH 8, 2017 c/o Eric I. Weitzen, Esq.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Weitzen, Phillips &amp; Weinberg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12730 High Bluff Drive,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858-793-0300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eric@weitzenphillips.com</w:t>
      </w:r>
    </w:p>
    <w:p>
      <w:pPr>
        <w:spacing w:after="0" w:line="211" w:lineRule="exact"/>
        <w:rPr>
          <w:sz w:val="20"/>
          <w:szCs w:val="20"/>
          <w:color w:val="auto"/>
        </w:rPr>
      </w:pPr>
    </w:p>
    <w:p>
      <w:pPr>
        <w:ind w:right="3379"/>
        <w:spacing w:after="0" w:line="258" w:lineRule="auto"/>
        <w:rPr>
          <w:sz w:val="20"/>
          <w:szCs w:val="20"/>
          <w:color w:val="auto"/>
        </w:rPr>
      </w:pPr>
      <w:r>
        <w:rPr>
          <w:rFonts w:ascii="Arial" w:cs="Arial" w:eastAsia="Arial" w:hAnsi="Arial"/>
          <w:sz w:val="18"/>
          <w:szCs w:val="18"/>
          <w:color w:val="auto"/>
        </w:rPr>
        <w:t>JADEN K. COHEN IRREVOCABLE TRUST NUMBER 1, DATED NOVEMBER 7, 2017 c/o Sunil Gujrathi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11745 Glowing Sunset 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sunilguj@gmail.com</w:t>
      </w:r>
    </w:p>
    <w:p>
      <w:pPr>
        <w:spacing w:after="0" w:line="211" w:lineRule="exact"/>
        <w:rPr>
          <w:sz w:val="20"/>
          <w:szCs w:val="20"/>
          <w:color w:val="auto"/>
        </w:rPr>
      </w:pPr>
    </w:p>
    <w:p>
      <w:pPr>
        <w:ind w:right="3259"/>
        <w:spacing w:after="0" w:line="258" w:lineRule="auto"/>
        <w:rPr>
          <w:sz w:val="20"/>
          <w:szCs w:val="20"/>
          <w:color w:val="auto"/>
        </w:rPr>
      </w:pPr>
      <w:r>
        <w:rPr>
          <w:rFonts w:ascii="Arial" w:cs="Arial" w:eastAsia="Arial" w:hAnsi="Arial"/>
          <w:sz w:val="18"/>
          <w:szCs w:val="18"/>
          <w:color w:val="auto"/>
        </w:rPr>
        <w:t>SORREL K. COHEN IRREVOCABLE TRUST NUMBER 1, DATED NOVEMBER 7, 2017 c/o Sunil Gujrathi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11745 Glowing Sunset 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sunilguj@gmail.com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LPE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Hagasmari 3 201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Kopavogur Iceland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sigurdur@islandssjodir.is; Richard.Nairn@bmogam.com</w:t>
      </w:r>
    </w:p>
    <w:p>
      <w:pPr>
        <w:sectPr>
          <w:pgSz w:w="11900" w:h="16838" w:orient="portrait"/>
          <w:cols w:equalWidth="0" w:num="1">
            <w:col w:w="10019"/>
          </w:cols>
          <w:pgMar w:left="440" w:top="270" w:right="1440"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121" w:lineRule="exact"/>
        <w:rPr>
          <w:sz w:val="20"/>
          <w:szCs w:val="20"/>
          <w:color w:val="auto"/>
        </w:rPr>
      </w:pPr>
    </w:p>
    <w:p>
      <w:pPr>
        <w:ind w:left="760" w:hanging="316"/>
        <w:spacing w:after="0"/>
        <w:tabs>
          <w:tab w:leader="none" w:pos="760"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Section 11 below.</w:t>
      </w:r>
    </w:p>
    <w:p>
      <w:pPr>
        <w:spacing w:after="0" w:line="187" w:lineRule="exact"/>
        <w:rPr>
          <w:sz w:val="20"/>
          <w:szCs w:val="20"/>
          <w:color w:val="auto"/>
        </w:rPr>
      </w:pPr>
    </w:p>
    <w:p>
      <w:pPr>
        <w:ind w:left="760" w:hanging="316"/>
        <w:spacing w:after="0"/>
        <w:tabs>
          <w:tab w:leader="none" w:pos="7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25" w:lineRule="exact"/>
        <w:rPr>
          <w:sz w:val="20"/>
          <w:szCs w:val="20"/>
          <w:color w:val="auto"/>
        </w:rPr>
      </w:pPr>
    </w:p>
    <w:p>
      <w:pPr>
        <w:ind w:left="760" w:hanging="316"/>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 and Delegation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71" w:lineRule="auto"/>
        <w:tabs>
          <w:tab w:leader="none" w:pos="1329"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Plan will be administered by the Administrator. The Administrator shall have authority to determine which</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78" w:lineRule="exact"/>
        <w:rPr>
          <w:rFonts w:ascii="Arial" w:cs="Arial" w:eastAsia="Arial" w:hAnsi="Arial"/>
          <w:sz w:val="17"/>
          <w:szCs w:val="17"/>
          <w:color w:val="auto"/>
        </w:rPr>
      </w:pPr>
    </w:p>
    <w:p>
      <w:pPr>
        <w:ind w:firstLine="885"/>
        <w:spacing w:after="0" w:line="308" w:lineRule="auto"/>
        <w:tabs>
          <w:tab w:leader="none" w:pos="1285"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Appointment of Committees. </w:t>
      </w:r>
      <w:r>
        <w:rPr>
          <w:rFonts w:ascii="Arial" w:cs="Arial" w:eastAsia="Arial" w:hAnsi="Arial"/>
          <w:sz w:val="17"/>
          <w:szCs w:val="17"/>
          <w:color w:val="auto"/>
        </w:rPr>
        <w:t>To the extent permitted by Applicable Laws, the Board may delegate any or all of its powers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to one or more Committees. The Board may abolish any Committee at any time and re-vest in itself any previously delegated authority.</w:t>
      </w:r>
    </w:p>
    <w:p>
      <w:pPr>
        <w:spacing w:after="0" w:line="146" w:lineRule="exact"/>
        <w:rPr>
          <w:rFonts w:ascii="Arial" w:cs="Arial" w:eastAsia="Arial" w:hAnsi="Arial"/>
          <w:sz w:val="17"/>
          <w:szCs w:val="17"/>
          <w:color w:val="auto"/>
        </w:rPr>
      </w:pPr>
    </w:p>
    <w:p>
      <w:pPr>
        <w:ind w:left="760" w:hanging="316"/>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Stock Available for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89" w:lineRule="auto"/>
        <w:tabs>
          <w:tab w:leader="none" w:pos="1302"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Number of Shares. </w:t>
      </w:r>
      <w:r>
        <w:rPr>
          <w:rFonts w:ascii="Arial" w:cs="Arial" w:eastAsia="Arial" w:hAnsi="Arial"/>
          <w:sz w:val="16"/>
          <w:szCs w:val="16"/>
          <w:color w:val="auto"/>
        </w:rPr>
        <w:t>Subject to adjustment under Section 8 hereof, Awards may be made under the Plan covering up to 285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w:t>
      </w:r>
    </w:p>
    <w:p>
      <w:pPr>
        <w:sectPr>
          <w:pgSz w:w="11900" w:h="16838" w:orient="portrait"/>
          <w:cols w:equalWidth="0" w:num="1">
            <w:col w:w="11020"/>
          </w:cols>
          <w:pgMar w:left="440" w:top="121" w:right="439" w:bottom="1440" w:gutter="0" w:footer="0" w:header="0"/>
        </w:sectPr>
      </w:pPr>
    </w:p>
    <w:bookmarkStart w:id="381" w:name="page382"/>
    <w:bookmarkEnd w:id="38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under the Code. Shares of Common Stock issued under the Plan may consist in whole or in part of authorized but unissued shares, shares purchased on the open market or treasury shares.</w:t>
      </w:r>
    </w:p>
    <w:p>
      <w:pPr>
        <w:spacing w:after="0" w:line="170" w:lineRule="exact"/>
        <w:rPr>
          <w:sz w:val="20"/>
          <w:szCs w:val="20"/>
          <w:color w:val="auto"/>
        </w:rPr>
      </w:pPr>
    </w:p>
    <w:p>
      <w:pPr>
        <w:jc w:val="both"/>
        <w:ind w:firstLine="885"/>
        <w:spacing w:after="0" w:line="276" w:lineRule="auto"/>
        <w:tabs>
          <w:tab w:leader="none" w:pos="1298" w:val="left"/>
        </w:tabs>
        <w:numPr>
          <w:ilvl w:val="1"/>
          <w:numId w:val="214"/>
        </w:numPr>
        <w:rPr>
          <w:rFonts w:ascii="Arial" w:cs="Arial" w:eastAsia="Arial" w:hAnsi="Arial"/>
          <w:sz w:val="17"/>
          <w:szCs w:val="17"/>
          <w:color w:val="auto"/>
        </w:rPr>
      </w:pPr>
      <w:r>
        <w:rPr>
          <w:rFonts w:ascii="Arial" w:cs="Arial" w:eastAsia="Arial" w:hAnsi="Arial"/>
          <w:sz w:val="17"/>
          <w:szCs w:val="17"/>
          <w:i w:val="1"/>
          <w:iCs w:val="1"/>
          <w:color w:val="auto"/>
        </w:rPr>
        <w:t>Substitute Awards</w:t>
      </w:r>
      <w:r>
        <w:rPr>
          <w:rFonts w:ascii="Arial" w:cs="Arial" w:eastAsia="Arial" w:hAnsi="Arial"/>
          <w:sz w:val="17"/>
          <w:szCs w:val="17"/>
          <w:color w:val="auto"/>
        </w:rPr>
        <w:t>. In connection with a merger or consolidation of an entity with the Company or the acquisition by the Company of</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4(a) hereof, except as may be required by reason of Section 422 of the Code.</w:t>
      </w:r>
    </w:p>
    <w:p>
      <w:pPr>
        <w:spacing w:after="0" w:line="172" w:lineRule="exact"/>
        <w:rPr>
          <w:rFonts w:ascii="Arial" w:cs="Arial" w:eastAsia="Arial" w:hAnsi="Arial"/>
          <w:sz w:val="17"/>
          <w:szCs w:val="17"/>
          <w:color w:val="auto"/>
        </w:rPr>
      </w:pPr>
    </w:p>
    <w:p>
      <w:pPr>
        <w:ind w:left="760" w:hanging="316"/>
        <w:spacing w:after="0"/>
        <w:tabs>
          <w:tab w:leader="none" w:pos="760" w:val="left"/>
        </w:tabs>
        <w:numPr>
          <w:ilvl w:val="0"/>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356"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Administrator may grant Options to any Service Provider, subject to the limitations on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Administrator shall determine the number of shares of Common Stock to be covered by each Option, the exercise price of each Option and the conditions and limitations applicable to the exercise of each Option, including conditions relating to Applicable Laws, as it considers necessary or advisable.</w:t>
      </w:r>
    </w:p>
    <w:p>
      <w:pPr>
        <w:spacing w:after="0" w:line="186" w:lineRule="exact"/>
        <w:rPr>
          <w:rFonts w:ascii="Arial" w:cs="Arial" w:eastAsia="Arial" w:hAnsi="Arial"/>
          <w:sz w:val="18"/>
          <w:szCs w:val="18"/>
          <w:color w:val="auto"/>
        </w:rPr>
      </w:pPr>
    </w:p>
    <w:p>
      <w:pPr>
        <w:jc w:val="both"/>
        <w:ind w:firstLine="885"/>
        <w:spacing w:after="0" w:line="269" w:lineRule="auto"/>
        <w:tabs>
          <w:tab w:leader="none" w:pos="1285" w:val="left"/>
        </w:tabs>
        <w:numPr>
          <w:ilvl w:val="1"/>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 Administrator may grant Options intended to qualify as Incentive Stock Options only to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182" w:lineRule="exact"/>
        <w:rPr>
          <w:rFonts w:ascii="Arial" w:cs="Arial" w:eastAsia="Arial" w:hAnsi="Arial"/>
          <w:sz w:val="17"/>
          <w:szCs w:val="17"/>
          <w:color w:val="auto"/>
        </w:rPr>
      </w:pPr>
    </w:p>
    <w:p>
      <w:pPr>
        <w:jc w:val="both"/>
        <w:ind w:firstLine="885"/>
        <w:spacing w:after="0" w:line="255" w:lineRule="auto"/>
        <w:tabs>
          <w:tab w:leader="none" w:pos="1302"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Administrator shall establish the exercise price of each Option and specify the exercise price in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93" w:lineRule="exact"/>
        <w:rPr>
          <w:rFonts w:ascii="Arial" w:cs="Arial" w:eastAsia="Arial" w:hAnsi="Arial"/>
          <w:sz w:val="18"/>
          <w:szCs w:val="18"/>
          <w:color w:val="auto"/>
        </w:rPr>
      </w:pPr>
    </w:p>
    <w:p>
      <w:pPr>
        <w:jc w:val="both"/>
        <w:ind w:firstLine="885"/>
        <w:spacing w:after="0" w:line="276" w:lineRule="auto"/>
        <w:tabs>
          <w:tab w:leader="none" w:pos="1298" w:val="left"/>
        </w:tabs>
        <w:numPr>
          <w:ilvl w:val="1"/>
          <w:numId w:val="215"/>
        </w:numPr>
        <w:rPr>
          <w:rFonts w:ascii="Arial" w:cs="Arial" w:eastAsia="Arial" w:hAnsi="Arial"/>
          <w:sz w:val="17"/>
          <w:szCs w:val="17"/>
          <w:color w:val="auto"/>
        </w:rPr>
      </w:pPr>
      <w:r>
        <w:rPr>
          <w:rFonts w:ascii="Arial" w:cs="Arial" w:eastAsia="Arial" w:hAnsi="Arial"/>
          <w:sz w:val="17"/>
          <w:szCs w:val="17"/>
          <w:i w:val="1"/>
          <w:iCs w:val="1"/>
          <w:color w:val="auto"/>
        </w:rPr>
        <w:t xml:space="preserve">Duration of Options. </w:t>
      </w:r>
      <w:r>
        <w:rPr>
          <w:rFonts w:ascii="Arial" w:cs="Arial" w:eastAsia="Arial" w:hAnsi="Arial"/>
          <w:sz w:val="17"/>
          <w:szCs w:val="17"/>
          <w:color w:val="auto"/>
        </w:rPr>
        <w:t>Each Option shall be exercisable at such times and subject to such terms and conditions as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may 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82" w:name="page383"/>
    <w:bookmarkEnd w:id="382"/>
    <w:p>
      <w:pPr>
        <w:jc w:val="both"/>
        <w:ind w:firstLine="885"/>
        <w:spacing w:after="0" w:line="289" w:lineRule="auto"/>
        <w:tabs>
          <w:tab w:leader="none" w:pos="1261"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Exercise of Option; Notification of Disposition. </w:t>
      </w:r>
      <w:r>
        <w:rPr>
          <w:rFonts w:ascii="Arial" w:cs="Arial" w:eastAsia="Arial" w:hAnsi="Arial"/>
          <w:sz w:val="16"/>
          <w:szCs w:val="16"/>
          <w:color w:val="auto"/>
        </w:rPr>
        <w:t>Options may be exercised by delivery to the Company of a written notice of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in a form approved by the Administrator (which may be an electronic form), signed by the person authorized to exercise the Option, together with payment in full (i) as specified in Section 5(f) hereof for the number of shares for which the Option is exercised and (ii) as specified in Section 9(e)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66" w:lineRule="exact"/>
        <w:rPr>
          <w:rFonts w:ascii="Arial" w:cs="Arial" w:eastAsia="Arial" w:hAnsi="Arial"/>
          <w:sz w:val="16"/>
          <w:szCs w:val="16"/>
          <w:color w:val="auto"/>
        </w:rPr>
      </w:pPr>
    </w:p>
    <w:p>
      <w:pPr>
        <w:jc w:val="both"/>
        <w:ind w:firstLine="885"/>
        <w:spacing w:after="0" w:line="264" w:lineRule="auto"/>
        <w:tabs>
          <w:tab w:leader="none" w:pos="1255"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Payment Upon Exercise. </w:t>
      </w:r>
      <w:r>
        <w:rPr>
          <w:rFonts w:ascii="Arial" w:cs="Arial" w:eastAsia="Arial" w:hAnsi="Arial"/>
          <w:sz w:val="18"/>
          <w:szCs w:val="18"/>
          <w:color w:val="auto"/>
        </w:rPr>
        <w:t>Common Stock purchased upon the exercise of an Option granted under the Plan shall be paid for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by wire transfer of immediately available funds or by check, payable to the order of the Company, or, subject to Section 10(h), any Company insider trading policy (including, without limitation, any blackout periods) and Applicable Laws, by:</w:t>
      </w:r>
    </w:p>
    <w:p>
      <w:pPr>
        <w:spacing w:after="0" w:line="73" w:lineRule="exact"/>
        <w:rPr>
          <w:rFonts w:ascii="Arial" w:cs="Arial" w:eastAsia="Arial" w:hAnsi="Arial"/>
          <w:sz w:val="18"/>
          <w:szCs w:val="18"/>
          <w:color w:val="auto"/>
        </w:rPr>
      </w:pPr>
    </w:p>
    <w:p>
      <w:pPr>
        <w:jc w:val="both"/>
        <w:ind w:left="880" w:firstLine="411"/>
        <w:spacing w:after="0" w:line="276" w:lineRule="auto"/>
        <w:tabs>
          <w:tab w:leader="none" w:pos="1655" w:val="left"/>
        </w:tabs>
        <w:numPr>
          <w:ilvl w:val="1"/>
          <w:numId w:val="216"/>
        </w:numPr>
        <w:rPr>
          <w:rFonts w:ascii="Arial" w:cs="Arial" w:eastAsia="Arial" w:hAnsi="Arial"/>
          <w:sz w:val="17"/>
          <w:szCs w:val="17"/>
          <w:color w:val="auto"/>
        </w:rPr>
      </w:pPr>
      <w:r>
        <w:rPr>
          <w:rFonts w:ascii="Arial" w:cs="Arial" w:eastAsia="Arial" w:hAnsi="Arial"/>
          <w:sz w:val="17"/>
          <w:szCs w:val="17"/>
          <w:color w:val="auto"/>
        </w:rPr>
        <w:t>if the Company is a Publicly Listed Company, unless the Administrator otherwise determines,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w:t>
      </w:r>
    </w:p>
    <w:p>
      <w:pPr>
        <w:spacing w:after="0" w:line="64" w:lineRule="exact"/>
        <w:rPr>
          <w:rFonts w:ascii="Arial" w:cs="Arial" w:eastAsia="Arial" w:hAnsi="Arial"/>
          <w:sz w:val="17"/>
          <w:szCs w:val="17"/>
          <w:color w:val="auto"/>
        </w:rPr>
      </w:pPr>
    </w:p>
    <w:p>
      <w:pPr>
        <w:jc w:val="both"/>
        <w:ind w:left="880" w:firstLine="411"/>
        <w:spacing w:after="0" w:line="291" w:lineRule="auto"/>
        <w:tabs>
          <w:tab w:leader="none" w:pos="168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to the extent permitted by the Administrator, delivery (either by actual delivery or attestation) of shares of Common Stock owned by the Participant valued at their Fair Market Value, provided (A) such method of payment is then permitted under Applicable Laws,</w:t>
      </w:r>
    </w:p>
    <w:p>
      <w:pPr>
        <w:jc w:val="both"/>
        <w:ind w:left="880"/>
        <w:spacing w:after="0" w:line="255" w:lineRule="auto"/>
        <w:rPr>
          <w:rFonts w:ascii="Arial" w:cs="Arial" w:eastAsia="Arial" w:hAnsi="Arial"/>
          <w:sz w:val="16"/>
          <w:szCs w:val="16"/>
          <w:color w:val="auto"/>
        </w:rPr>
      </w:pPr>
      <w:r>
        <w:rPr>
          <w:rFonts w:ascii="Arial" w:cs="Arial" w:eastAsia="Arial" w:hAnsi="Arial"/>
          <w:sz w:val="18"/>
          <w:szCs w:val="18"/>
          <w:color w:val="auto"/>
        </w:rPr>
        <w:t>(B)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82" w:lineRule="exact"/>
        <w:rPr>
          <w:rFonts w:ascii="Arial" w:cs="Arial" w:eastAsia="Arial" w:hAnsi="Arial"/>
          <w:sz w:val="16"/>
          <w:szCs w:val="16"/>
          <w:color w:val="auto"/>
        </w:rPr>
      </w:pPr>
    </w:p>
    <w:p>
      <w:pPr>
        <w:ind w:left="880" w:firstLine="411"/>
        <w:spacing w:after="0" w:line="277" w:lineRule="auto"/>
        <w:tabs>
          <w:tab w:leader="none" w:pos="177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of Common Stock then issuable upon exercise of the Option valued at their Fair Market Value on the date of exercise;</w:t>
      </w:r>
    </w:p>
    <w:p>
      <w:pPr>
        <w:spacing w:after="0" w:line="62" w:lineRule="exact"/>
        <w:rPr>
          <w:rFonts w:ascii="Arial" w:cs="Arial" w:eastAsia="Arial" w:hAnsi="Arial"/>
          <w:sz w:val="18"/>
          <w:szCs w:val="18"/>
          <w:color w:val="auto"/>
        </w:rPr>
      </w:pPr>
    </w:p>
    <w:p>
      <w:pPr>
        <w:ind w:left="880" w:firstLine="411"/>
        <w:spacing w:after="0" w:line="277" w:lineRule="auto"/>
        <w:tabs>
          <w:tab w:leader="none" w:pos="185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of the Participant to the Company on terms determined by the Administrator;</w:t>
      </w:r>
    </w:p>
    <w:p>
      <w:pPr>
        <w:spacing w:after="0" w:line="62" w:lineRule="exact"/>
        <w:rPr>
          <w:rFonts w:ascii="Arial" w:cs="Arial" w:eastAsia="Arial" w:hAnsi="Arial"/>
          <w:sz w:val="18"/>
          <w:szCs w:val="18"/>
          <w:color w:val="auto"/>
        </w:rPr>
      </w:pPr>
    </w:p>
    <w:p>
      <w:pPr>
        <w:ind w:left="880" w:firstLine="411"/>
        <w:spacing w:after="0" w:line="277" w:lineRule="auto"/>
        <w:tabs>
          <w:tab w:leader="none" w:pos="1803"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property of any other kind which constitutes good and valuable consideration as determined by the Administrator; or</w:t>
      </w:r>
    </w:p>
    <w:p>
      <w:pPr>
        <w:spacing w:after="0" w:line="62" w:lineRule="exact"/>
        <w:rPr>
          <w:rFonts w:ascii="Arial" w:cs="Arial" w:eastAsia="Arial" w:hAnsi="Arial"/>
          <w:sz w:val="18"/>
          <w:szCs w:val="18"/>
          <w:color w:val="auto"/>
        </w:rPr>
      </w:pPr>
    </w:p>
    <w:p>
      <w:pPr>
        <w:ind w:left="1820" w:hanging="529"/>
        <w:spacing w:after="0"/>
        <w:tabs>
          <w:tab w:leader="none" w:pos="18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to the extent permitted by the Administrator, any combination of the above permitted forms of payment (including cash or</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check).</w:t>
      </w:r>
    </w:p>
    <w:p>
      <w:pPr>
        <w:spacing w:after="0" w:line="210" w:lineRule="exact"/>
        <w:rPr>
          <w:rFonts w:ascii="Arial" w:cs="Arial" w:eastAsia="Arial" w:hAnsi="Arial"/>
          <w:sz w:val="17"/>
          <w:szCs w:val="17"/>
          <w:color w:val="auto"/>
        </w:rPr>
      </w:pPr>
    </w:p>
    <w:p>
      <w:pPr>
        <w:ind w:firstLine="885"/>
        <w:spacing w:after="0" w:line="342" w:lineRule="auto"/>
        <w:tabs>
          <w:tab w:leader="none" w:pos="1271"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Early Exercise of Options</w:t>
      </w:r>
      <w:r>
        <w:rPr>
          <w:rFonts w:ascii="Arial" w:cs="Arial" w:eastAsia="Arial" w:hAnsi="Arial"/>
          <w:sz w:val="16"/>
          <w:szCs w:val="16"/>
          <w:color w:val="auto"/>
        </w:rPr>
        <w:t>. The Administrator may provide in the terms of an Award Agreement that the Service Provider may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in whole or in part prior to the full vesting of the Option in exchange for unvested shares of Restricted Stock with respect to any unvested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83" w:name="page384"/>
    <w:bookmarkEnd w:id="38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the Option so exercised. Shares of Restricted Stock acquired upon the exercise of any unvested portion of an Option shall be subject to such terms and conditions as the Administrator shall determine.</w:t>
      </w:r>
    </w:p>
    <w:p>
      <w:pPr>
        <w:spacing w:after="0" w:line="170" w:lineRule="exact"/>
        <w:rPr>
          <w:sz w:val="20"/>
          <w:szCs w:val="20"/>
          <w:color w:val="auto"/>
        </w:rPr>
      </w:pPr>
    </w:p>
    <w:p>
      <w:pPr>
        <w:ind w:left="760" w:hanging="316"/>
        <w:spacing w:after="0"/>
        <w:tabs>
          <w:tab w:leader="none" w:pos="760" w:val="left"/>
        </w:tabs>
        <w:numPr>
          <w:ilvl w:val="0"/>
          <w:numId w:val="217"/>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Restricted Stock Units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885"/>
        <w:spacing w:after="0" w:line="255" w:lineRule="auto"/>
        <w:tabs>
          <w:tab w:leader="none" w:pos="1288"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Administrator may grant Restricted Stock, or the right to purchase Restricted Stock, to any Service Provider,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93" w:lineRule="exact"/>
        <w:rPr>
          <w:rFonts w:ascii="Arial" w:cs="Arial" w:eastAsia="Arial" w:hAnsi="Arial"/>
          <w:sz w:val="18"/>
          <w:szCs w:val="18"/>
          <w:color w:val="auto"/>
        </w:rPr>
      </w:pPr>
    </w:p>
    <w:p>
      <w:pPr>
        <w:jc w:val="both"/>
        <w:ind w:firstLine="885"/>
        <w:spacing w:after="0" w:line="264" w:lineRule="auto"/>
        <w:tabs>
          <w:tab w:leader="none" w:pos="1353"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Terms and Conditions for All Restricted Stock and Restricted Stock Unit Awards</w:t>
      </w:r>
      <w:r>
        <w:rPr>
          <w:rFonts w:ascii="Arial" w:cs="Arial" w:eastAsia="Arial" w:hAnsi="Arial"/>
          <w:sz w:val="18"/>
          <w:szCs w:val="18"/>
          <w:color w:val="auto"/>
        </w:rPr>
        <w:t>. The Administrator shall determine and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Award Agreement the terms and conditions applicable to each Restricted Stock and Restricted Stock Unit Award, including the conditions for vesting and repurchase (or forfeiture) and the issue price, in each case, if any.</w:t>
      </w:r>
    </w:p>
    <w:p>
      <w:pPr>
        <w:spacing w:after="0" w:line="181" w:lineRule="exact"/>
        <w:rPr>
          <w:rFonts w:ascii="Arial" w:cs="Arial" w:eastAsia="Arial" w:hAnsi="Arial"/>
          <w:sz w:val="18"/>
          <w:szCs w:val="18"/>
          <w:color w:val="auto"/>
        </w:rPr>
      </w:pPr>
    </w:p>
    <w:p>
      <w:pPr>
        <w:ind w:left="1260" w:hanging="375"/>
        <w:spacing w:after="0"/>
        <w:tabs>
          <w:tab w:leader="none" w:pos="1260"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firstLine="411"/>
        <w:spacing w:after="0" w:line="289" w:lineRule="auto"/>
        <w:tabs>
          <w:tab w:leader="none" w:pos="1635" w:val="left"/>
        </w:tabs>
        <w:numPr>
          <w:ilvl w:val="2"/>
          <w:numId w:val="217"/>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Participants holding shares of Restricted Stock will be entitled to all ordinary cash dividends paid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the extent such dividends have a record date that is on or after the date on which the Participant to whom such Restricted Shares are granted becomes the record holder of such Restricted Shares,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58" w:lineRule="exact"/>
        <w:rPr>
          <w:rFonts w:ascii="Arial" w:cs="Arial" w:eastAsia="Arial" w:hAnsi="Arial"/>
          <w:sz w:val="16"/>
          <w:szCs w:val="16"/>
          <w:color w:val="auto"/>
        </w:rPr>
      </w:pPr>
    </w:p>
    <w:p>
      <w:pPr>
        <w:ind w:left="880" w:firstLine="411"/>
        <w:spacing w:after="0" w:line="308" w:lineRule="auto"/>
        <w:tabs>
          <w:tab w:leader="none" w:pos="1793" w:val="left"/>
        </w:tabs>
        <w:numPr>
          <w:ilvl w:val="2"/>
          <w:numId w:val="217"/>
        </w:numPr>
        <w:rPr>
          <w:rFonts w:ascii="Arial" w:cs="Arial" w:eastAsia="Arial" w:hAnsi="Arial"/>
          <w:sz w:val="17"/>
          <w:szCs w:val="17"/>
          <w:color w:val="auto"/>
        </w:rPr>
      </w:pPr>
      <w:r>
        <w:rPr>
          <w:rFonts w:ascii="Arial" w:cs="Arial" w:eastAsia="Arial" w:hAnsi="Arial"/>
          <w:sz w:val="17"/>
          <w:szCs w:val="17"/>
          <w:i w:val="1"/>
          <w:iCs w:val="1"/>
          <w:color w:val="auto"/>
        </w:rPr>
        <w:t>Stock Certificates</w:t>
      </w:r>
      <w:r>
        <w:rPr>
          <w:rFonts w:ascii="Arial" w:cs="Arial" w:eastAsia="Arial" w:hAnsi="Arial"/>
          <w:sz w:val="17"/>
          <w:szCs w:val="17"/>
          <w:color w:val="auto"/>
        </w:rPr>
        <w:t>. The Company may require that any stock certificates issued in respect of shares of Restricted Stock be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deposited in escrow by the Participant, together with a stock power endorsed in blank, with the Company (or its designee).</w:t>
      </w:r>
    </w:p>
    <w:p>
      <w:pPr>
        <w:spacing w:after="0" w:line="146" w:lineRule="exact"/>
        <w:rPr>
          <w:rFonts w:ascii="Arial" w:cs="Arial" w:eastAsia="Arial" w:hAnsi="Arial"/>
          <w:sz w:val="17"/>
          <w:szCs w:val="17"/>
          <w:color w:val="auto"/>
        </w:rPr>
      </w:pPr>
    </w:p>
    <w:p>
      <w:pPr>
        <w:ind w:left="1280" w:hanging="395"/>
        <w:spacing w:after="0"/>
        <w:tabs>
          <w:tab w:leader="none" w:pos="1280"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Additional Provisions Relating to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firstLine="411"/>
        <w:spacing w:after="0" w:line="297" w:lineRule="auto"/>
        <w:tabs>
          <w:tab w:leader="none" w:pos="1635" w:val="left"/>
        </w:tabs>
        <w:numPr>
          <w:ilvl w:val="2"/>
          <w:numId w:val="217"/>
        </w:numPr>
        <w:rPr>
          <w:rFonts w:ascii="Arial" w:cs="Arial" w:eastAsia="Arial" w:hAnsi="Arial"/>
          <w:sz w:val="16"/>
          <w:szCs w:val="16"/>
          <w:color w:val="auto"/>
        </w:rPr>
      </w:pPr>
      <w:r>
        <w:rPr>
          <w:rFonts w:ascii="Arial" w:cs="Arial" w:eastAsia="Arial" w:hAnsi="Arial"/>
          <w:sz w:val="16"/>
          <w:szCs w:val="16"/>
          <w:i w:val="1"/>
          <w:iCs w:val="1"/>
          <w:color w:val="auto"/>
        </w:rPr>
        <w:t>Settlement</w:t>
      </w:r>
      <w:r>
        <w:rPr>
          <w:rFonts w:ascii="Arial" w:cs="Arial" w:eastAsia="Arial" w:hAnsi="Arial"/>
          <w:sz w:val="16"/>
          <w:szCs w:val="16"/>
          <w:color w:val="auto"/>
        </w:rPr>
        <w:t>. Upon the vesting of a Restricted Stock Unit, the Participant shall be entitled to receive from the Company one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84" w:name="page385"/>
    <w:bookmarkEnd w:id="384"/>
    <w:p>
      <w:pPr>
        <w:ind w:left="880" w:right="20" w:firstLine="411"/>
        <w:spacing w:after="0" w:line="277" w:lineRule="auto"/>
        <w:tabs>
          <w:tab w:leader="none" w:pos="1739" w:val="left"/>
        </w:tabs>
        <w:numPr>
          <w:ilvl w:val="1"/>
          <w:numId w:val="2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Rights</w:t>
      </w:r>
      <w:r>
        <w:rPr>
          <w:rFonts w:ascii="Arial" w:cs="Arial" w:eastAsia="Arial" w:hAnsi="Arial"/>
          <w:sz w:val="18"/>
          <w:szCs w:val="18"/>
          <w:color w:val="auto"/>
        </w:rPr>
        <w:t>. A Participant shall have no voting rights with respect to any Restricted Stock Units unless and until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in settlement thereof.</w:t>
      </w:r>
    </w:p>
    <w:p>
      <w:pPr>
        <w:spacing w:after="0" w:line="62" w:lineRule="exact"/>
        <w:rPr>
          <w:rFonts w:ascii="Arial" w:cs="Arial" w:eastAsia="Arial" w:hAnsi="Arial"/>
          <w:sz w:val="18"/>
          <w:szCs w:val="18"/>
          <w:color w:val="auto"/>
        </w:rPr>
      </w:pPr>
    </w:p>
    <w:p>
      <w:pPr>
        <w:jc w:val="both"/>
        <w:ind w:left="880" w:firstLine="411"/>
        <w:spacing w:after="0" w:line="297" w:lineRule="auto"/>
        <w:tabs>
          <w:tab w:leader="none" w:pos="1749" w:val="left"/>
        </w:tabs>
        <w:numPr>
          <w:ilvl w:val="1"/>
          <w:numId w:val="218"/>
        </w:numPr>
        <w:rPr>
          <w:rFonts w:ascii="Arial" w:cs="Arial" w:eastAsia="Arial" w:hAnsi="Arial"/>
          <w:sz w:val="16"/>
          <w:szCs w:val="16"/>
          <w:color w:val="auto"/>
        </w:rPr>
      </w:pPr>
      <w:r>
        <w:rPr>
          <w:rFonts w:ascii="Arial" w:cs="Arial" w:eastAsia="Arial" w:hAnsi="Arial"/>
          <w:sz w:val="16"/>
          <w:szCs w:val="16"/>
          <w:i w:val="1"/>
          <w:iCs w:val="1"/>
          <w:color w:val="auto"/>
        </w:rPr>
        <w:t>Dividend Equivalents</w:t>
      </w:r>
      <w:r>
        <w:rPr>
          <w:rFonts w:ascii="Arial" w:cs="Arial" w:eastAsia="Arial" w:hAnsi="Arial"/>
          <w:sz w:val="16"/>
          <w:szCs w:val="16"/>
          <w:color w:val="auto"/>
        </w:rPr>
        <w:t>. To the extent provided by the Administrator, a grant of Restricted Stock Units may provide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158" w:lineRule="exact"/>
        <w:rPr>
          <w:rFonts w:ascii="Arial" w:cs="Arial" w:eastAsia="Arial" w:hAnsi="Arial"/>
          <w:sz w:val="16"/>
          <w:szCs w:val="16"/>
          <w:color w:val="auto"/>
        </w:rPr>
      </w:pPr>
    </w:p>
    <w:p>
      <w:pPr>
        <w:ind w:left="760" w:hanging="316"/>
        <w:spacing w:after="0"/>
        <w:tabs>
          <w:tab w:leader="none" w:pos="76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any purchase price, transfer restrictions, vesting conditions and other terms and conditions applicable thereto, which shall be set forth in the applicable Award Agreement.</w:t>
      </w:r>
    </w:p>
    <w:p>
      <w:pPr>
        <w:spacing w:after="0" w:line="165" w:lineRule="exact"/>
        <w:rPr>
          <w:sz w:val="20"/>
          <w:szCs w:val="20"/>
          <w:color w:val="auto"/>
        </w:rPr>
      </w:pPr>
    </w:p>
    <w:p>
      <w:pPr>
        <w:ind w:left="760" w:hanging="316"/>
        <w:spacing w:after="0"/>
        <w:tabs>
          <w:tab w:leader="none" w:pos="760" w:val="left"/>
        </w:tabs>
        <w:numPr>
          <w:ilvl w:val="0"/>
          <w:numId w:val="22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for Changes in Common Stock and Certain Other Events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885"/>
        <w:spacing w:after="0" w:line="272" w:lineRule="auto"/>
        <w:tabs>
          <w:tab w:leader="none" w:pos="131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assets of the Company,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69" w:lineRule="exact"/>
        <w:rPr>
          <w:rFonts w:ascii="Arial" w:cs="Arial" w:eastAsia="Arial" w:hAnsi="Arial"/>
          <w:sz w:val="17"/>
          <w:szCs w:val="17"/>
          <w:color w:val="auto"/>
        </w:rPr>
      </w:pPr>
    </w:p>
    <w:p>
      <w:pPr>
        <w:jc w:val="both"/>
        <w:ind w:left="880" w:firstLine="411"/>
        <w:spacing w:after="0" w:line="264" w:lineRule="auto"/>
        <w:tabs>
          <w:tab w:leader="none" w:pos="1635"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Awards may be granted or awarded (including, but not limited to, adjustments of the limitations in Section 4 hereof on the maximum number and kind of shares which may be issued);</w:t>
      </w:r>
    </w:p>
    <w:p>
      <w:pPr>
        <w:spacing w:after="0" w:line="73" w:lineRule="exact"/>
        <w:rPr>
          <w:rFonts w:ascii="Arial" w:cs="Arial" w:eastAsia="Arial" w:hAnsi="Arial"/>
          <w:sz w:val="18"/>
          <w:szCs w:val="18"/>
          <w:color w:val="auto"/>
        </w:rPr>
      </w:pPr>
    </w:p>
    <w:p>
      <w:pPr>
        <w:ind w:left="1700" w:hanging="409"/>
        <w:spacing w:after="0"/>
        <w:tabs>
          <w:tab w:leader="none" w:pos="170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Awards;</w:t>
      </w:r>
    </w:p>
    <w:p>
      <w:pPr>
        <w:spacing w:after="0" w:line="117" w:lineRule="exact"/>
        <w:rPr>
          <w:rFonts w:ascii="Arial" w:cs="Arial" w:eastAsia="Arial" w:hAnsi="Arial"/>
          <w:sz w:val="18"/>
          <w:szCs w:val="18"/>
          <w:color w:val="auto"/>
        </w:rPr>
      </w:pPr>
    </w:p>
    <w:p>
      <w:pPr>
        <w:ind w:left="1740" w:hanging="449"/>
        <w:spacing w:after="0"/>
        <w:tabs>
          <w:tab w:leader="none" w:pos="174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 and</w:t>
      </w:r>
    </w:p>
    <w:p>
      <w:pPr>
        <w:spacing w:after="0" w:line="117" w:lineRule="exact"/>
        <w:rPr>
          <w:rFonts w:ascii="Arial" w:cs="Arial" w:eastAsia="Arial" w:hAnsi="Arial"/>
          <w:sz w:val="18"/>
          <w:szCs w:val="18"/>
          <w:color w:val="auto"/>
        </w:rPr>
      </w:pPr>
    </w:p>
    <w:p>
      <w:pPr>
        <w:ind w:left="880" w:firstLine="411"/>
        <w:spacing w:after="0" w:line="277" w:lineRule="auto"/>
        <w:tabs>
          <w:tab w:leader="none" w:pos="1769"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terms and conditions of any Awards (including, without limitation, any applicable financial or other performance “targets” specified in an Award Agreement).</w:t>
      </w:r>
    </w:p>
    <w:p>
      <w:pPr>
        <w:spacing w:after="0" w:line="170" w:lineRule="exact"/>
        <w:rPr>
          <w:rFonts w:ascii="Arial" w:cs="Arial" w:eastAsia="Arial" w:hAnsi="Arial"/>
          <w:sz w:val="18"/>
          <w:szCs w:val="18"/>
          <w:color w:val="auto"/>
        </w:rPr>
      </w:pPr>
    </w:p>
    <w:p>
      <w:pPr>
        <w:ind w:firstLine="885"/>
        <w:spacing w:after="0" w:line="277" w:lineRule="auto"/>
        <w:tabs>
          <w:tab w:leader="none" w:pos="130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8(a) hereof (including without limitation any Change in Control) or any unusual or nonrecurring transaction or event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85" w:name="page386"/>
    <w:bookmarkEnd w:id="38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affecting the Company or the financial statements or financial condition of the Company, or any change in any Applicable Laws or accounting principles, the Administrator, on such terms and conditions as it deems appropriate, either by the terms of the Award or by action taken prior to or after the occurrence of such transaction or event and either automatically or upon the Participant’s request, is hereby authorized to take any one or more of the following actions whenever the Administrator determines that such action is appropriate in order to (i) prevent dilution or enlargement of the benefits or potential benefits intended by the Company to be made available under the Plan or with respect to any Award granted or issued under the Plan, (ii) to facilitate such transaction or event or (iii) give effect to such changes in Applicable Laws or accounting principles</w:t>
      </w:r>
      <w:r>
        <w:rPr>
          <w:rFonts w:ascii="Arial" w:cs="Arial" w:eastAsia="Arial" w:hAnsi="Arial"/>
          <w:sz w:val="17"/>
          <w:szCs w:val="17"/>
          <w:b w:val="1"/>
          <w:bCs w:val="1"/>
          <w:color w:val="auto"/>
        </w:rPr>
        <w:t>:</w:t>
      </w:r>
    </w:p>
    <w:p>
      <w:pPr>
        <w:spacing w:after="0" w:line="70" w:lineRule="exact"/>
        <w:rPr>
          <w:sz w:val="20"/>
          <w:szCs w:val="20"/>
          <w:color w:val="auto"/>
        </w:rPr>
      </w:pPr>
    </w:p>
    <w:p>
      <w:pPr>
        <w:jc w:val="both"/>
        <w:ind w:left="880" w:firstLine="411"/>
        <w:spacing w:after="0" w:line="257" w:lineRule="auto"/>
        <w:tabs>
          <w:tab w:leader="none" w:pos="165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such Award or realization of the Participant’s rights had such Award been currently exercisable, payable and fully vested, as applicable; provided that, if the amount that could have been obtained upon the exercise or settlement of such Award or realization of the Participant’s rights, in any case, is equal to or less than zero, then such Award may be terminated without payment;</w:t>
      </w:r>
    </w:p>
    <w:p>
      <w:pPr>
        <w:spacing w:after="0" w:line="80" w:lineRule="exact"/>
        <w:rPr>
          <w:rFonts w:ascii="Arial" w:cs="Arial" w:eastAsia="Arial" w:hAnsi="Arial"/>
          <w:sz w:val="18"/>
          <w:szCs w:val="18"/>
          <w:color w:val="auto"/>
        </w:rPr>
      </w:pPr>
    </w:p>
    <w:p>
      <w:pPr>
        <w:ind w:left="880" w:firstLine="411"/>
        <w:spacing w:after="0" w:line="277" w:lineRule="auto"/>
        <w:tabs>
          <w:tab w:leader="none" w:pos="1875"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62" w:lineRule="exact"/>
        <w:rPr>
          <w:rFonts w:ascii="Arial" w:cs="Arial" w:eastAsia="Arial" w:hAnsi="Arial"/>
          <w:sz w:val="18"/>
          <w:szCs w:val="18"/>
          <w:color w:val="auto"/>
        </w:rPr>
      </w:pPr>
    </w:p>
    <w:p>
      <w:pPr>
        <w:jc w:val="both"/>
        <w:ind w:left="880" w:firstLine="411"/>
        <w:spacing w:after="0" w:line="312" w:lineRule="auto"/>
        <w:tabs>
          <w:tab w:leader="none" w:pos="177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38" w:lineRule="exact"/>
        <w:rPr>
          <w:rFonts w:ascii="Arial" w:cs="Arial" w:eastAsia="Arial" w:hAnsi="Arial"/>
          <w:sz w:val="16"/>
          <w:szCs w:val="16"/>
          <w:color w:val="auto"/>
        </w:rPr>
      </w:pPr>
    </w:p>
    <w:p>
      <w:pPr>
        <w:jc w:val="both"/>
        <w:ind w:left="880" w:firstLine="411"/>
        <w:spacing w:after="0" w:line="264" w:lineRule="auto"/>
        <w:tabs>
          <w:tab w:leader="none" w:pos="173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in the terms and conditions of (including the grant or exercise price), and the criteria included in, outstanding Awards which may be granted in the future;</w:t>
      </w:r>
    </w:p>
    <w:p>
      <w:pPr>
        <w:spacing w:after="0" w:line="73" w:lineRule="exact"/>
        <w:rPr>
          <w:rFonts w:ascii="Arial" w:cs="Arial" w:eastAsia="Arial" w:hAnsi="Arial"/>
          <w:sz w:val="18"/>
          <w:szCs w:val="18"/>
          <w:color w:val="auto"/>
        </w:rPr>
      </w:pPr>
    </w:p>
    <w:p>
      <w:pPr>
        <w:ind w:left="1680" w:hanging="389"/>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20" w:hanging="429"/>
        <w:spacing w:after="0"/>
        <w:tabs>
          <w:tab w:leader="none" w:pos="17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rFonts w:ascii="Arial" w:cs="Arial" w:eastAsia="Arial" w:hAnsi="Arial"/>
          <w:sz w:val="18"/>
          <w:szCs w:val="18"/>
          <w:color w:val="auto"/>
        </w:rPr>
      </w:pPr>
    </w:p>
    <w:p>
      <w:pPr>
        <w:jc w:val="both"/>
        <w:ind w:firstLine="885"/>
        <w:spacing w:after="0" w:line="289" w:lineRule="auto"/>
        <w:tabs>
          <w:tab w:leader="none" w:pos="132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Notwithstanding the provisions of Section 8(b) above, if a Change in Control occurs and a Participant’s Awards are not continued, converted, assumed, or replaced with a substantially similar award by (i) the Company, or (ii) a successor entity or its parent or subsidiary (an “</w:t>
      </w:r>
      <w:r>
        <w:rPr>
          <w:rFonts w:ascii="Arial" w:cs="Arial" w:eastAsia="Arial" w:hAnsi="Arial"/>
          <w:sz w:val="16"/>
          <w:szCs w:val="16"/>
          <w:b w:val="1"/>
          <w:bCs w:val="1"/>
          <w:i w:val="1"/>
          <w:iCs w:val="1"/>
          <w:color w:val="auto"/>
        </w:rPr>
        <w:t>Assumption</w:t>
      </w:r>
      <w:r>
        <w:rPr>
          <w:rFonts w:ascii="Arial" w:cs="Arial" w:eastAsia="Arial" w:hAnsi="Arial"/>
          <w:sz w:val="16"/>
          <w:szCs w:val="16"/>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Awards and net of any applicable exercise price; provided that to the extent that any Awards constitute “nonqualified deferred compensation” that may not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386" w:name="page387"/>
    <w:bookmarkEnd w:id="38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88" w:lineRule="exact"/>
        <w:rPr>
          <w:sz w:val="20"/>
          <w:szCs w:val="20"/>
          <w:color w:val="auto"/>
        </w:rPr>
      </w:pPr>
    </w:p>
    <w:p>
      <w:pPr>
        <w:jc w:val="both"/>
        <w:ind w:firstLine="885"/>
        <w:spacing w:after="0" w:line="255" w:lineRule="auto"/>
        <w:tabs>
          <w:tab w:leader="none" w:pos="134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this Section 8,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8(d) shall be nondiscretionary and shall be final and binding on the affected Participant and the Company; provided that whether an adjustment is equitable shall be determined by the Administrator.</w:t>
      </w:r>
    </w:p>
    <w:p>
      <w:pPr>
        <w:spacing w:after="0" w:line="193" w:lineRule="exact"/>
        <w:rPr>
          <w:rFonts w:ascii="Arial" w:cs="Arial" w:eastAsia="Arial" w:hAnsi="Arial"/>
          <w:sz w:val="18"/>
          <w:szCs w:val="18"/>
          <w:color w:val="auto"/>
        </w:rPr>
      </w:pPr>
    </w:p>
    <w:p>
      <w:pPr>
        <w:jc w:val="both"/>
        <w:ind w:firstLine="885"/>
        <w:spacing w:after="0" w:line="257" w:lineRule="auto"/>
        <w:tabs>
          <w:tab w:leader="none" w:pos="128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or if necessary to comply with Applicable Laws or the Code, or for reasons of administrative convenience, the Administrator may, in its sole discretion, refuse to permit the exercise of any Award during a period of up to thirty days prior to the consummation of any such transaction.</w:t>
      </w:r>
    </w:p>
    <w:p>
      <w:pPr>
        <w:spacing w:after="0" w:line="188" w:lineRule="exact"/>
        <w:rPr>
          <w:rFonts w:ascii="Arial" w:cs="Arial" w:eastAsia="Arial" w:hAnsi="Arial"/>
          <w:sz w:val="18"/>
          <w:szCs w:val="18"/>
          <w:color w:val="auto"/>
        </w:rPr>
      </w:pPr>
    </w:p>
    <w:p>
      <w:pPr>
        <w:jc w:val="both"/>
        <w:ind w:firstLine="885"/>
        <w:spacing w:after="0" w:line="269" w:lineRule="auto"/>
        <w:tabs>
          <w:tab w:leader="none" w:pos="1256" w:val="left"/>
        </w:tabs>
        <w:numPr>
          <w:ilvl w:val="1"/>
          <w:numId w:val="223"/>
        </w:numPr>
        <w:rPr>
          <w:rFonts w:ascii="Arial" w:cs="Arial" w:eastAsia="Arial" w:hAnsi="Arial"/>
          <w:sz w:val="17"/>
          <w:szCs w:val="17"/>
          <w:color w:val="auto"/>
        </w:rPr>
      </w:pPr>
      <w:r>
        <w:rPr>
          <w:rFonts w:ascii="Arial" w:cs="Arial" w:eastAsia="Arial" w:hAnsi="Arial"/>
          <w:sz w:val="17"/>
          <w:szCs w:val="17"/>
          <w:color w:val="auto"/>
        </w:rPr>
        <w:t>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Section 8.</w:t>
      </w:r>
    </w:p>
    <w:p>
      <w:pPr>
        <w:spacing w:after="0" w:line="182" w:lineRule="exact"/>
        <w:rPr>
          <w:rFonts w:ascii="Arial" w:cs="Arial" w:eastAsia="Arial" w:hAnsi="Arial"/>
          <w:sz w:val="17"/>
          <w:szCs w:val="17"/>
          <w:color w:val="auto"/>
        </w:rPr>
      </w:pPr>
    </w:p>
    <w:p>
      <w:pPr>
        <w:ind w:left="760" w:hanging="316"/>
        <w:spacing w:after="0"/>
        <w:tabs>
          <w:tab w:leader="none" w:pos="760" w:val="left"/>
        </w:tabs>
        <w:numPr>
          <w:ilvl w:val="0"/>
          <w:numId w:val="224"/>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 Applicable to Awards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885"/>
        <w:spacing w:after="0" w:line="257" w:lineRule="auto"/>
        <w:tabs>
          <w:tab w:leader="none" w:pos="1275" w:val="left"/>
        </w:tabs>
        <w:numPr>
          <w:ilvl w:val="1"/>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Except as the Administrator may otherwise determine or provide in an Award Agreement or otherwise,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case in accordance with Applicable Laws, Awards, including any interest therein, may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87" w:name="page388"/>
    <w:bookmarkEnd w:id="387"/>
    <w:p>
      <w:pPr>
        <w:ind w:firstLine="885"/>
        <w:spacing w:after="0" w:line="277" w:lineRule="auto"/>
        <w:tabs>
          <w:tab w:leader="none" w:pos="1379" w:val="left"/>
        </w:tabs>
        <w:numPr>
          <w:ilvl w:val="1"/>
          <w:numId w:val="2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Documentation. </w:t>
      </w:r>
      <w:r>
        <w:rPr>
          <w:rFonts w:ascii="Arial" w:cs="Arial" w:eastAsia="Arial" w:hAnsi="Arial"/>
          <w:sz w:val="18"/>
          <w:szCs w:val="18"/>
          <w:color w:val="auto"/>
        </w:rPr>
        <w:t>Each Award shall be evidenced in an Award Agreement, which may be in such form (written, electronic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as the Administrator shall determine. Each Award may contain terms and conditions in addition to those set forth in the Plan.</w:t>
      </w:r>
    </w:p>
    <w:p>
      <w:pPr>
        <w:spacing w:after="0" w:line="170" w:lineRule="exact"/>
        <w:rPr>
          <w:rFonts w:ascii="Arial" w:cs="Arial" w:eastAsia="Arial" w:hAnsi="Arial"/>
          <w:sz w:val="18"/>
          <w:szCs w:val="18"/>
          <w:color w:val="auto"/>
        </w:rPr>
      </w:pPr>
    </w:p>
    <w:p>
      <w:pPr>
        <w:jc w:val="both"/>
        <w:ind w:firstLine="885"/>
        <w:spacing w:after="0" w:line="264" w:lineRule="auto"/>
        <w:tabs>
          <w:tab w:leader="none" w:pos="1329" w:val="left"/>
        </w:tabs>
        <w:numPr>
          <w:ilvl w:val="1"/>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Discretion. </w:t>
      </w:r>
      <w:r>
        <w:rPr>
          <w:rFonts w:ascii="Arial" w:cs="Arial" w:eastAsia="Arial" w:hAnsi="Arial"/>
          <w:sz w:val="18"/>
          <w:szCs w:val="18"/>
          <w:color w:val="auto"/>
        </w:rPr>
        <w:t>Except as otherwise provided by the Plan, each Award may be made alone or in addition or in relation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 The terms of each Award to a Participant need not be identical, and the Administrator need not treat Participants or Awards (or portions thereof) uniformly.</w:t>
      </w:r>
    </w:p>
    <w:p>
      <w:pPr>
        <w:spacing w:after="0" w:line="181" w:lineRule="exact"/>
        <w:rPr>
          <w:rFonts w:ascii="Arial" w:cs="Arial" w:eastAsia="Arial" w:hAnsi="Arial"/>
          <w:sz w:val="18"/>
          <w:szCs w:val="18"/>
          <w:color w:val="auto"/>
        </w:rPr>
      </w:pPr>
    </w:p>
    <w:p>
      <w:pPr>
        <w:jc w:val="both"/>
        <w:ind w:firstLine="885"/>
        <w:spacing w:after="0" w:line="312" w:lineRule="auto"/>
        <w:tabs>
          <w:tab w:leader="none" w:pos="1271" w:val="left"/>
        </w:tabs>
        <w:numPr>
          <w:ilvl w:val="1"/>
          <w:numId w:val="22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Status. </w:t>
      </w:r>
      <w:r>
        <w:rPr>
          <w:rFonts w:ascii="Arial" w:cs="Arial" w:eastAsia="Arial" w:hAnsi="Arial"/>
          <w:sz w:val="16"/>
          <w:szCs w:val="16"/>
          <w:color w:val="auto"/>
        </w:rPr>
        <w:t>The Administrator shall determine the effect on an Award of the disability, death, retirement, authorized leave</w:t>
      </w:r>
      <w:r>
        <w:rPr>
          <w:rFonts w:ascii="Arial" w:cs="Arial" w:eastAsia="Arial" w:hAnsi="Arial"/>
          <w:sz w:val="16"/>
          <w:szCs w:val="16"/>
          <w:i w:val="1"/>
          <w:iCs w:val="1"/>
          <w:color w:val="auto"/>
        </w:rPr>
        <w:t xml:space="preserve"> </w:t>
      </w:r>
      <w:r>
        <w:rPr>
          <w:rFonts w:ascii="Arial" w:cs="Arial" w:eastAsia="Arial" w:hAnsi="Arial"/>
          <w:sz w:val="16"/>
          <w:szCs w:val="16"/>
          <w:color w:val="auto"/>
        </w:rPr>
        <w:t>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46" w:lineRule="exact"/>
        <w:rPr>
          <w:rFonts w:ascii="Arial" w:cs="Arial" w:eastAsia="Arial" w:hAnsi="Arial"/>
          <w:sz w:val="16"/>
          <w:szCs w:val="16"/>
          <w:color w:val="auto"/>
        </w:rPr>
      </w:pPr>
    </w:p>
    <w:p>
      <w:pPr>
        <w:jc w:val="both"/>
        <w:ind w:firstLine="885"/>
        <w:spacing w:after="0" w:line="283" w:lineRule="auto"/>
        <w:tabs>
          <w:tab w:leader="none" w:pos="1315" w:val="left"/>
        </w:tabs>
        <w:numPr>
          <w:ilvl w:val="1"/>
          <w:numId w:val="225"/>
        </w:numPr>
        <w:rPr>
          <w:rFonts w:ascii="Arial" w:cs="Arial" w:eastAsia="Arial" w:hAnsi="Arial"/>
          <w:sz w:val="16"/>
          <w:szCs w:val="16"/>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Each Participant shall pay to the Company, or make provision satisfactory to the Administrator for payment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taxes required by law to be withheld in connection with Awards to such Participant no later than the date of the event creating the tax liability. Except as the Administrator may otherwise determine, all such payments shall be made in cash, by wire transfer of immediately available funds or by check, payable to the order of the Company. Notwithstanding the foregoing, Participants may satisfy such tax obligations, subject to Section 10(h), any Company insider trading policy (including blackout periods) and Applicable Laws, to the extent permitted by the Administrator, (i) in whole or in part by delivery of shares of Common Stock, including shares of Common Stock retained from the Award creating the tax obligation, valued at their Fair Market Value, and (ii) if there is a public market for shares of Common Stock at the time the tax obligations are satisfied, unless the Administrator otherwise determines, (A) delivery (including, without limitation, telephonically to the extent permitted by the Company) of an irrevocable and unconditional undertaking by a broker acceptable to the Company to deliver promptly to the Company sufficient funds to satisfy the tax obligations, or</w:t>
      </w:r>
    </w:p>
    <w:p>
      <w:pPr>
        <w:spacing w:after="0" w:line="6" w:lineRule="exact"/>
        <w:rPr>
          <w:rFonts w:ascii="Arial" w:cs="Arial" w:eastAsia="Arial" w:hAnsi="Arial"/>
          <w:sz w:val="16"/>
          <w:szCs w:val="16"/>
          <w:color w:val="auto"/>
        </w:rPr>
      </w:pPr>
    </w:p>
    <w:p>
      <w:pPr>
        <w:jc w:val="both"/>
        <w:ind w:firstLine="4"/>
        <w:spacing w:after="0" w:line="252" w:lineRule="auto"/>
        <w:tabs>
          <w:tab w:leader="none" w:pos="28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The number of shares of Common Stock which may be so withheld or surrendered shall be limited to the number of shares of Common Stock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The Company may, to the extent permitted by Applicable Laws, deduct any such tax obligations from any payment of any kind otherwise due to a Participant.</w:t>
      </w:r>
    </w:p>
    <w:p>
      <w:pPr>
        <w:spacing w:after="0" w:line="193" w:lineRule="exact"/>
        <w:rPr>
          <w:rFonts w:ascii="Arial" w:cs="Arial" w:eastAsia="Arial" w:hAnsi="Arial"/>
          <w:sz w:val="18"/>
          <w:szCs w:val="18"/>
          <w:color w:val="auto"/>
        </w:rPr>
      </w:pPr>
    </w:p>
    <w:p>
      <w:pPr>
        <w:jc w:val="both"/>
        <w:ind w:firstLine="885"/>
        <w:spacing w:after="0" w:line="257" w:lineRule="auto"/>
        <w:tabs>
          <w:tab w:leader="none" w:pos="1309" w:val="left"/>
        </w:tabs>
        <w:numPr>
          <w:ilvl w:val="1"/>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Award. </w:t>
      </w:r>
      <w:r>
        <w:rPr>
          <w:rFonts w:ascii="Arial" w:cs="Arial" w:eastAsia="Arial" w:hAnsi="Arial"/>
          <w:sz w:val="18"/>
          <w:szCs w:val="18"/>
          <w:color w:val="auto"/>
        </w:rPr>
        <w:t>The Administrator may amend, modify or terminate any outstanding Award,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Section 8 and 10(f) hereof.</w:t>
      </w:r>
    </w:p>
    <w:p>
      <w:pPr>
        <w:spacing w:after="0" w:line="188" w:lineRule="exact"/>
        <w:rPr>
          <w:rFonts w:ascii="Arial" w:cs="Arial" w:eastAsia="Arial" w:hAnsi="Arial"/>
          <w:sz w:val="18"/>
          <w:szCs w:val="18"/>
          <w:color w:val="auto"/>
        </w:rPr>
      </w:pPr>
    </w:p>
    <w:p>
      <w:pPr>
        <w:jc w:val="both"/>
        <w:ind w:firstLine="885"/>
        <w:spacing w:after="0" w:line="257" w:lineRule="auto"/>
        <w:tabs>
          <w:tab w:leader="none" w:pos="1285" w:val="left"/>
        </w:tabs>
        <w:numPr>
          <w:ilvl w:val="1"/>
          <w:numId w:val="226"/>
        </w:numPr>
        <w:rPr>
          <w:rFonts w:ascii="Arial" w:cs="Arial" w:eastAsia="Arial" w:hAnsi="Arial"/>
          <w:sz w:val="18"/>
          <w:szCs w:val="18"/>
          <w:color w:val="auto"/>
        </w:rPr>
      </w:pPr>
      <w:r>
        <w:rPr>
          <w:rFonts w:ascii="Arial" w:cs="Arial" w:eastAsia="Arial" w:hAnsi="Arial"/>
          <w:sz w:val="18"/>
          <w:szCs w:val="18"/>
          <w:i w:val="1"/>
          <w:iCs w:val="1"/>
          <w:color w:val="auto"/>
        </w:rPr>
        <w:t xml:space="preserve">Conditions on Delivery of Stock. </w:t>
      </w:r>
      <w:r>
        <w:rPr>
          <w:rFonts w:ascii="Arial" w:cs="Arial" w:eastAsia="Arial" w:hAnsi="Arial"/>
          <w:sz w:val="18"/>
          <w:szCs w:val="18"/>
          <w:color w:val="auto"/>
        </w:rPr>
        <w:t>The Company will not be obligated to deliver any shares of Common Stock pursuant to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388" w:name="page389"/>
    <w:bookmarkEnd w:id="388"/>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71" w:lineRule="exact"/>
        <w:rPr>
          <w:sz w:val="20"/>
          <w:szCs w:val="20"/>
          <w:color w:val="auto"/>
        </w:rPr>
      </w:pPr>
    </w:p>
    <w:p>
      <w:pPr>
        <w:ind w:firstLine="885"/>
        <w:spacing w:after="0" w:line="277" w:lineRule="auto"/>
        <w:tabs>
          <w:tab w:leader="none" w:pos="1298"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w:t>
      </w:r>
      <w:r>
        <w:rPr>
          <w:rFonts w:ascii="Arial" w:cs="Arial" w:eastAsia="Arial" w:hAnsi="Arial"/>
          <w:sz w:val="18"/>
          <w:szCs w:val="18"/>
          <w:color w:val="auto"/>
        </w:rPr>
        <w:t>The Administrator may at any time provide that any Award shall become vested and/or exercisable in full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free of some or all restrictions or conditions, or otherwise realizable in full or in part, as the case may be.</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261"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186" w:lineRule="exact"/>
        <w:rPr>
          <w:rFonts w:ascii="Arial" w:cs="Arial" w:eastAsia="Arial" w:hAnsi="Arial"/>
          <w:sz w:val="18"/>
          <w:szCs w:val="18"/>
          <w:color w:val="auto"/>
        </w:rPr>
      </w:pPr>
    </w:p>
    <w:p>
      <w:pPr>
        <w:jc w:val="both"/>
        <w:ind w:firstLine="885"/>
        <w:spacing w:after="0" w:line="255" w:lineRule="auto"/>
        <w:tabs>
          <w:tab w:leader="none" w:pos="1298"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Stockholder; Certificates. </w:t>
      </w:r>
      <w:r>
        <w:rPr>
          <w:rFonts w:ascii="Arial" w:cs="Arial" w:eastAsia="Arial" w:hAnsi="Arial"/>
          <w:sz w:val="18"/>
          <w:szCs w:val="18"/>
          <w:color w:val="auto"/>
        </w:rPr>
        <w:t>Subject to the provisions of the applicable Award Agreement, no Participant or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189" w:lineRule="exact"/>
        <w:rPr>
          <w:rFonts w:ascii="Arial" w:cs="Arial" w:eastAsia="Arial" w:hAnsi="Arial"/>
          <w:sz w:val="18"/>
          <w:szCs w:val="18"/>
          <w:color w:val="auto"/>
        </w:rPr>
      </w:pPr>
    </w:p>
    <w:p>
      <w:pPr>
        <w:jc w:val="both"/>
        <w:ind w:firstLine="885"/>
        <w:spacing w:after="0" w:line="259" w:lineRule="auto"/>
        <w:tabs>
          <w:tab w:leader="none" w:pos="1275"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Term of Plan. </w:t>
      </w:r>
      <w:r>
        <w:rPr>
          <w:rFonts w:ascii="Arial" w:cs="Arial" w:eastAsia="Arial" w:hAnsi="Arial"/>
          <w:sz w:val="18"/>
          <w:szCs w:val="18"/>
          <w:color w:val="auto"/>
        </w:rPr>
        <w:t>The Plan shall become effective on the date on which it is adopted by the Board. No Awards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186" w:lineRule="exact"/>
        <w:rPr>
          <w:rFonts w:ascii="Arial" w:cs="Arial" w:eastAsia="Arial" w:hAnsi="Arial"/>
          <w:sz w:val="18"/>
          <w:szCs w:val="18"/>
          <w:color w:val="auto"/>
        </w:rPr>
      </w:pPr>
    </w:p>
    <w:p>
      <w:pPr>
        <w:jc w:val="both"/>
        <w:ind w:firstLine="885"/>
        <w:spacing w:after="0" w:line="297" w:lineRule="auto"/>
        <w:tabs>
          <w:tab w:leader="none" w:pos="1285" w:val="left"/>
        </w:tabs>
        <w:numPr>
          <w:ilvl w:val="1"/>
          <w:numId w:val="228"/>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Plan. </w:t>
      </w:r>
      <w:r>
        <w:rPr>
          <w:rFonts w:ascii="Arial" w:cs="Arial" w:eastAsia="Arial" w:hAnsi="Arial"/>
          <w:sz w:val="16"/>
          <w:szCs w:val="16"/>
          <w:color w:val="auto"/>
        </w:rPr>
        <w:t>The Administrator may amend, suspend or terminate the Plan or any portion thereof at any time; 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no amendment of the Plan shall materially and adversely affect (as determined by the Administrator)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58" w:lineRule="exact"/>
        <w:rPr>
          <w:rFonts w:ascii="Arial" w:cs="Arial" w:eastAsia="Arial" w:hAnsi="Arial"/>
          <w:sz w:val="16"/>
          <w:szCs w:val="16"/>
          <w:color w:val="auto"/>
        </w:rPr>
      </w:pPr>
    </w:p>
    <w:p>
      <w:pPr>
        <w:jc w:val="both"/>
        <w:ind w:firstLine="885"/>
        <w:spacing w:after="0" w:line="264" w:lineRule="auto"/>
        <w:tabs>
          <w:tab w:leader="none" w:pos="1356"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Provisions for Foreign Participants</w:t>
      </w:r>
      <w:r>
        <w:rPr>
          <w:rFonts w:ascii="Arial" w:cs="Arial" w:eastAsia="Arial" w:hAnsi="Arial"/>
          <w:sz w:val="18"/>
          <w:szCs w:val="18"/>
          <w:color w:val="auto"/>
        </w:rPr>
        <w:t>. The Administrator may modify Awards granted to Participants who are foreign nationals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89" w:name="page390"/>
    <w:bookmarkEnd w:id="389"/>
    <w:p>
      <w:pPr>
        <w:ind w:left="1300" w:hanging="415"/>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firstLine="411"/>
        <w:spacing w:after="0" w:line="268" w:lineRule="auto"/>
        <w:tabs>
          <w:tab w:leader="none" w:pos="1649" w:val="left"/>
        </w:tabs>
        <w:numPr>
          <w:ilvl w:val="1"/>
          <w:numId w:val="229"/>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 intends that all Awards be structured in compliance with, or to satisfy an exemption from, Section 409A,</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10(f)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79" w:lineRule="exact"/>
        <w:rPr>
          <w:rFonts w:ascii="Arial" w:cs="Arial" w:eastAsia="Arial" w:hAnsi="Arial"/>
          <w:sz w:val="17"/>
          <w:szCs w:val="17"/>
          <w:color w:val="auto"/>
        </w:rPr>
      </w:pPr>
    </w:p>
    <w:p>
      <w:pPr>
        <w:jc w:val="both"/>
        <w:ind w:left="880" w:firstLine="411"/>
        <w:spacing w:after="0" w:line="293" w:lineRule="auto"/>
        <w:tabs>
          <w:tab w:leader="none" w:pos="1699"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t>Separation from Service</w:t>
      </w:r>
      <w:r>
        <w:rPr>
          <w:rFonts w:ascii="Arial" w:cs="Arial" w:eastAsia="Arial" w:hAnsi="Arial"/>
          <w:sz w:val="16"/>
          <w:szCs w:val="16"/>
          <w:color w:val="auto"/>
        </w:rPr>
        <w:t>. With respect to any Award that constitutes “nonqualified deferred compensation” under 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56" w:lineRule="exact"/>
        <w:rPr>
          <w:rFonts w:ascii="Arial" w:cs="Arial" w:eastAsia="Arial" w:hAnsi="Arial"/>
          <w:sz w:val="16"/>
          <w:szCs w:val="16"/>
          <w:color w:val="auto"/>
        </w:rPr>
      </w:pPr>
    </w:p>
    <w:p>
      <w:pPr>
        <w:jc w:val="both"/>
        <w:ind w:left="880" w:firstLine="411"/>
        <w:spacing w:after="0" w:line="270" w:lineRule="auto"/>
        <w:tabs>
          <w:tab w:leader="none" w:pos="1735" w:val="left"/>
        </w:tabs>
        <w:numPr>
          <w:ilvl w:val="1"/>
          <w:numId w:val="229"/>
        </w:numPr>
        <w:rPr>
          <w:rFonts w:ascii="Arial" w:cs="Arial" w:eastAsia="Arial" w:hAnsi="Arial"/>
          <w:sz w:val="17"/>
          <w:szCs w:val="17"/>
          <w:color w:val="auto"/>
        </w:rPr>
      </w:pPr>
      <w:r>
        <w:rPr>
          <w:rFonts w:ascii="Arial" w:cs="Arial" w:eastAsia="Arial" w:hAnsi="Arial"/>
          <w:sz w:val="17"/>
          <w:szCs w:val="17"/>
          <w:i w:val="1"/>
          <w:iCs w:val="1"/>
          <w:color w:val="auto"/>
        </w:rPr>
        <w:t>Payments to Specified Employees</w:t>
      </w:r>
      <w:r>
        <w:rPr>
          <w:rFonts w:ascii="Arial" w:cs="Arial" w:eastAsia="Arial" w:hAnsi="Arial"/>
          <w:sz w:val="17"/>
          <w:szCs w:val="17"/>
          <w:color w:val="auto"/>
        </w:rPr>
        <w:t>. Notwithstanding any contrary provision in the Plan or any Award Agreement, any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181" w:lineRule="exact"/>
        <w:rPr>
          <w:rFonts w:ascii="Arial" w:cs="Arial" w:eastAsia="Arial" w:hAnsi="Arial"/>
          <w:sz w:val="17"/>
          <w:szCs w:val="17"/>
          <w:color w:val="auto"/>
        </w:rPr>
      </w:pPr>
    </w:p>
    <w:p>
      <w:pPr>
        <w:jc w:val="both"/>
        <w:ind w:firstLine="885"/>
        <w:spacing w:after="0" w:line="257" w:lineRule="auto"/>
        <w:tabs>
          <w:tab w:leader="none" w:pos="1271"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Limitations on Liability</w:t>
      </w:r>
      <w:r>
        <w:rPr>
          <w:rFonts w:ascii="Arial" w:cs="Arial" w:eastAsia="Arial" w:hAnsi="Arial"/>
          <w:sz w:val="18"/>
          <w:szCs w:val="18"/>
          <w:color w:val="auto"/>
        </w:rPr>
        <w:t>. Notwithstanding any other provisions of the Plan, no individual acting as a director, officer, other employee or</w:t>
      </w:r>
      <w:r>
        <w:rPr>
          <w:rFonts w:ascii="Arial" w:cs="Arial" w:eastAsia="Arial" w:hAnsi="Arial"/>
          <w:sz w:val="18"/>
          <w:szCs w:val="18"/>
          <w:i w:val="1"/>
          <w:iCs w:val="1"/>
          <w:color w:val="auto"/>
        </w:rPr>
        <w:t xml:space="preserve"> </w:t>
      </w:r>
      <w:r>
        <w:rPr>
          <w:rFonts w:ascii="Arial" w:cs="Arial" w:eastAsia="Arial" w:hAnsi="Arial"/>
          <w:sz w:val="18"/>
          <w:szCs w:val="18"/>
          <w:color w:val="auto"/>
        </w:rPr>
        <w:t>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90" w:name="page391"/>
    <w:bookmarkEnd w:id="39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indemnify and hold harmless each director, officer, other employee and agent of the Company to whom any duty or power relating to the administration or interpretation of the Plan has been or will be granted or delegated, against any cost or expense (including attorneys’ fees) or liability (including any sum paid in settlement of a claim with the Administrator’s approval) arising out of any act or omission to act concerning this Plan unless arising out of such person’s own fraud or bad faith.</w:t>
      </w:r>
    </w:p>
    <w:p>
      <w:pPr>
        <w:spacing w:after="0" w:line="187" w:lineRule="exact"/>
        <w:rPr>
          <w:sz w:val="20"/>
          <w:szCs w:val="20"/>
          <w:color w:val="auto"/>
        </w:rPr>
      </w:pPr>
    </w:p>
    <w:p>
      <w:pPr>
        <w:jc w:val="both"/>
        <w:ind w:firstLine="885"/>
        <w:spacing w:after="0" w:line="259" w:lineRule="auto"/>
        <w:tabs>
          <w:tab w:leader="none" w:pos="1339"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Lock-Up Period</w:t>
      </w:r>
      <w:r>
        <w:rPr>
          <w:rFonts w:ascii="Arial" w:cs="Arial" w:eastAsia="Arial" w:hAnsi="Arial"/>
          <w:sz w:val="18"/>
          <w:szCs w:val="18"/>
          <w:color w:val="auto"/>
        </w:rPr>
        <w:t>. The Company may, at the request of any representative of the underwriters or otherwise, in connection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the offering of any securities of the Company under the Securities Act, prohibit Participants from, directly or indirectly, selling or otherwise transferring any shares of Common Stock or other securities of the Company during a period of up to one hundred eighty days following the effective date of a registration statement of the Company filed under the Securities Act.</w:t>
      </w:r>
    </w:p>
    <w:p>
      <w:pPr>
        <w:spacing w:after="0" w:line="186" w:lineRule="exact"/>
        <w:rPr>
          <w:rFonts w:ascii="Arial" w:cs="Arial" w:eastAsia="Arial" w:hAnsi="Arial"/>
          <w:sz w:val="18"/>
          <w:szCs w:val="18"/>
          <w:color w:val="auto"/>
        </w:rPr>
      </w:pPr>
    </w:p>
    <w:p>
      <w:pPr>
        <w:ind w:left="1240" w:hanging="355"/>
        <w:spacing w:after="0"/>
        <w:tabs>
          <w:tab w:leader="none" w:pos="124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firstLine="411"/>
        <w:spacing w:after="0" w:line="271" w:lineRule="auto"/>
        <w:tabs>
          <w:tab w:leader="none" w:pos="1668" w:val="left"/>
        </w:tabs>
        <w:numPr>
          <w:ilvl w:val="1"/>
          <w:numId w:val="230"/>
        </w:numPr>
        <w:rPr>
          <w:rFonts w:ascii="Arial" w:cs="Arial" w:eastAsia="Arial" w:hAnsi="Arial"/>
          <w:sz w:val="17"/>
          <w:szCs w:val="17"/>
          <w:color w:val="auto"/>
        </w:rPr>
      </w:pPr>
      <w:r>
        <w:rPr>
          <w:rFonts w:ascii="Arial" w:cs="Arial" w:eastAsia="Arial" w:hAnsi="Arial"/>
          <w:sz w:val="17"/>
          <w:szCs w:val="17"/>
          <w:color w:val="auto"/>
        </w:rPr>
        <w:t>Before any shares of Common Stock held by a Participant or any permitted transferee (each,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be sold, pledged, assigned, hypothecated, transferred, or otherwise disposed of (each,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the Company or its assignee(s) shall have a right of first refusal to purchase the shares of Common Stock proposed to be Transferred on the terms and conditions set forth in this Section 10(i)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10(i) and the Right of First Refusal set forth in this Section 10(i) shall not in any way restrict the operation of the Company’s charter, bylaws or the operation of any applicable stockholders’ agreement.</w:t>
      </w:r>
    </w:p>
    <w:p>
      <w:pPr>
        <w:spacing w:after="0" w:line="70" w:lineRule="exact"/>
        <w:rPr>
          <w:rFonts w:ascii="Arial" w:cs="Arial" w:eastAsia="Arial" w:hAnsi="Arial"/>
          <w:sz w:val="17"/>
          <w:szCs w:val="17"/>
          <w:color w:val="auto"/>
        </w:rPr>
      </w:pPr>
    </w:p>
    <w:p>
      <w:pPr>
        <w:jc w:val="both"/>
        <w:ind w:left="880" w:firstLine="411"/>
        <w:spacing w:after="0" w:line="276" w:lineRule="auto"/>
        <w:tabs>
          <w:tab w:leader="none" w:pos="175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In the event any Holder desires to Transfer any shares of Common Stock, the Holder shall deliver to the Company a written notice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stating: (A) the Holder’s bona fide intention to sell or otherwise Transfer such shares of Common Stock; (B) the name of each proposed purchaser or other transferee (“</w:t>
      </w:r>
      <w:r>
        <w:rPr>
          <w:rFonts w:ascii="Arial" w:cs="Arial" w:eastAsia="Arial" w:hAnsi="Arial"/>
          <w:sz w:val="17"/>
          <w:szCs w:val="17"/>
          <w:b w:val="1"/>
          <w:bCs w:val="1"/>
          <w:i w:val="1"/>
          <w:iCs w:val="1"/>
          <w:color w:val="auto"/>
        </w:rPr>
        <w:t>Proposed Transferee</w:t>
      </w:r>
      <w:r>
        <w:rPr>
          <w:rFonts w:ascii="Arial" w:cs="Arial" w:eastAsia="Arial" w:hAnsi="Arial"/>
          <w:sz w:val="17"/>
          <w:szCs w:val="17"/>
          <w:color w:val="auto"/>
        </w:rPr>
        <w:t>”); (C) the number of shares of Common Stock to be Transferred to each Proposed Transferee; and (D) the price for which the Holder proposes to Transfer the shares of Common Stock (the “</w:t>
      </w:r>
      <w:r>
        <w:rPr>
          <w:rFonts w:ascii="Arial" w:cs="Arial" w:eastAsia="Arial" w:hAnsi="Arial"/>
          <w:sz w:val="17"/>
          <w:szCs w:val="17"/>
          <w:b w:val="1"/>
          <w:bCs w:val="1"/>
          <w:i w:val="1"/>
          <w:iCs w:val="1"/>
          <w:color w:val="auto"/>
        </w:rPr>
        <w:t>Offered Price</w:t>
      </w:r>
      <w:r>
        <w:rPr>
          <w:rFonts w:ascii="Arial" w:cs="Arial" w:eastAsia="Arial" w:hAnsi="Arial"/>
          <w:sz w:val="17"/>
          <w:szCs w:val="17"/>
          <w:color w:val="auto"/>
        </w:rPr>
        <w:t>”), and the Holder shall offer such shares of Common Stock at the Offered Price to the Company or its assignee(s).</w:t>
      </w:r>
    </w:p>
    <w:p>
      <w:pPr>
        <w:spacing w:after="0" w:line="64" w:lineRule="exact"/>
        <w:rPr>
          <w:rFonts w:ascii="Arial" w:cs="Arial" w:eastAsia="Arial" w:hAnsi="Arial"/>
          <w:sz w:val="17"/>
          <w:szCs w:val="17"/>
          <w:color w:val="auto"/>
        </w:rPr>
      </w:pPr>
    </w:p>
    <w:p>
      <w:pPr>
        <w:jc w:val="both"/>
        <w:ind w:left="880" w:firstLine="411"/>
        <w:spacing w:after="0" w:line="259" w:lineRule="auto"/>
        <w:tabs>
          <w:tab w:leader="none" w:pos="175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Within twenty-five days after receipt of the Notice, the Company and/or its assignee(s) may elect in writing to purchase all, but not less than all, of the shares of Common Stock proposed to be Transferred to any one or more of the Proposed Transferees by delivery of a written exercise notice to the Holder (a “</w:t>
      </w:r>
      <w:r>
        <w:rPr>
          <w:rFonts w:ascii="Arial" w:cs="Arial" w:eastAsia="Arial" w:hAnsi="Arial"/>
          <w:sz w:val="18"/>
          <w:szCs w:val="18"/>
          <w:b w:val="1"/>
          <w:bCs w:val="1"/>
          <w:i w:val="1"/>
          <w:iCs w:val="1"/>
          <w:color w:val="auto"/>
        </w:rPr>
        <w:t>Company Notice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of Common Stock repurchased under this Section 10(i) shall be the Offered Price.</w:t>
      </w:r>
    </w:p>
    <w:p>
      <w:pPr>
        <w:spacing w:after="0" w:line="78" w:lineRule="exact"/>
        <w:rPr>
          <w:rFonts w:ascii="Arial" w:cs="Arial" w:eastAsia="Arial" w:hAnsi="Arial"/>
          <w:sz w:val="18"/>
          <w:szCs w:val="18"/>
          <w:color w:val="auto"/>
        </w:rPr>
      </w:pPr>
    </w:p>
    <w:p>
      <w:pPr>
        <w:jc w:val="both"/>
        <w:ind w:left="880" w:firstLine="411"/>
        <w:spacing w:after="0" w:line="255" w:lineRule="auto"/>
        <w:tabs>
          <w:tab w:leader="none" w:pos="172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91" w:name="page392"/>
    <w:bookmarkEnd w:id="391"/>
    <w:p>
      <w:pPr>
        <w:jc w:val="both"/>
        <w:ind w:left="880" w:firstLine="411"/>
        <w:spacing w:after="0" w:line="289" w:lineRule="auto"/>
        <w:tabs>
          <w:tab w:leader="none" w:pos="1717" w:val="left"/>
        </w:tabs>
        <w:numPr>
          <w:ilvl w:val="1"/>
          <w:numId w:val="2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all or a portion of the shares of Common Stock proposed in the Notice to be Transferred are not purchased by the Company and/or its assignee(s) as provided in this Section 10(i),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58" w:lineRule="exact"/>
        <w:rPr>
          <w:rFonts w:ascii="Arial" w:cs="Arial" w:eastAsia="Arial" w:hAnsi="Arial"/>
          <w:sz w:val="16"/>
          <w:szCs w:val="16"/>
          <w:color w:val="auto"/>
        </w:rPr>
      </w:pPr>
    </w:p>
    <w:p>
      <w:pPr>
        <w:jc w:val="both"/>
        <w:ind w:left="880" w:firstLine="411"/>
        <w:spacing w:after="0" w:line="290" w:lineRule="auto"/>
        <w:tabs>
          <w:tab w:leader="none" w:pos="176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Anything to the contrary contained in this Section 10(i)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 First Refusal. As used herein,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the Right of First Refusal), the applicable Award Agreement and any other applicable agreements governing the shares of Common Stock to be Transferred, and there shall be no further Transfer of such shares of Common Stock except in accordance with the terms of this Section 10(i) (or otherwise as expressly provided under the Plan).</w:t>
      </w:r>
    </w:p>
    <w:p>
      <w:pPr>
        <w:spacing w:after="0" w:line="58" w:lineRule="exact"/>
        <w:rPr>
          <w:rFonts w:ascii="Arial" w:cs="Arial" w:eastAsia="Arial" w:hAnsi="Arial"/>
          <w:sz w:val="16"/>
          <w:szCs w:val="16"/>
          <w:color w:val="auto"/>
        </w:rPr>
      </w:pPr>
    </w:p>
    <w:p>
      <w:pPr>
        <w:ind w:left="880" w:firstLine="411"/>
        <w:spacing w:after="0" w:line="277" w:lineRule="auto"/>
        <w:tabs>
          <w:tab w:leader="none" w:pos="188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Right of First Refusal shall terminate as to all shares of Common Stock if the Company becomes a Publicly Listed Company upon such occurrence.</w:t>
      </w:r>
    </w:p>
    <w:p>
      <w:pPr>
        <w:spacing w:after="0" w:line="170" w:lineRule="exact"/>
        <w:rPr>
          <w:rFonts w:ascii="Arial" w:cs="Arial" w:eastAsia="Arial" w:hAnsi="Arial"/>
          <w:sz w:val="18"/>
          <w:szCs w:val="18"/>
          <w:color w:val="auto"/>
        </w:rPr>
      </w:pPr>
    </w:p>
    <w:p>
      <w:pPr>
        <w:jc w:val="both"/>
        <w:ind w:firstLine="885"/>
        <w:spacing w:after="0" w:line="268" w:lineRule="auto"/>
        <w:tabs>
          <w:tab w:leader="none" w:pos="1231"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Data Privacy</w:t>
      </w:r>
      <w:r>
        <w:rPr>
          <w:rFonts w:ascii="Arial" w:cs="Arial" w:eastAsia="Arial" w:hAnsi="Arial"/>
          <w:sz w:val="17"/>
          <w:szCs w:val="17"/>
          <w:color w:val="auto"/>
        </w:rPr>
        <w:t>. As a condition of receipt of any Award, each Participant explicitly and unambiguously consents to the collection,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92" w:name="page393"/>
    <w:bookmarkEnd w:id="392"/>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78" w:lineRule="exact"/>
        <w:rPr>
          <w:sz w:val="20"/>
          <w:szCs w:val="20"/>
          <w:color w:val="auto"/>
        </w:rPr>
      </w:pPr>
    </w:p>
    <w:p>
      <w:pPr>
        <w:jc w:val="both"/>
        <w:ind w:firstLine="885"/>
        <w:spacing w:after="0" w:line="264" w:lineRule="auto"/>
        <w:tabs>
          <w:tab w:leader="none" w:pos="1271"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portion of the Plan or any action taken pursuant thereto shall be held illegal or invalid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illegality or invalidity shall not affect the remaining parts of the Plan, and the Plan shall be construed and enforced as if the illegal or invalid provisions had not been included, and the illegal or invalid action shall be null and void.</w:t>
      </w:r>
    </w:p>
    <w:p>
      <w:pPr>
        <w:spacing w:after="0" w:line="181" w:lineRule="exact"/>
        <w:rPr>
          <w:rFonts w:ascii="Arial" w:cs="Arial" w:eastAsia="Arial" w:hAnsi="Arial"/>
          <w:sz w:val="18"/>
          <w:szCs w:val="18"/>
          <w:color w:val="auto"/>
        </w:rPr>
      </w:pPr>
    </w:p>
    <w:p>
      <w:pPr>
        <w:jc w:val="both"/>
        <w:ind w:firstLine="885"/>
        <w:spacing w:after="0" w:line="312" w:lineRule="auto"/>
        <w:tabs>
          <w:tab w:leader="none" w:pos="1258"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Governing Documents</w:t>
      </w:r>
      <w:r>
        <w:rPr>
          <w:rFonts w:ascii="Arial" w:cs="Arial" w:eastAsia="Arial" w:hAnsi="Arial"/>
          <w:sz w:val="16"/>
          <w:szCs w:val="16"/>
          <w:color w:val="auto"/>
        </w:rPr>
        <w:t>. In the event of any contradiction between the Plan and any Award Agreement or any other written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146" w:lineRule="exact"/>
        <w:rPr>
          <w:rFonts w:ascii="Arial" w:cs="Arial" w:eastAsia="Arial" w:hAnsi="Arial"/>
          <w:sz w:val="16"/>
          <w:szCs w:val="16"/>
          <w:color w:val="auto"/>
        </w:rPr>
      </w:pPr>
    </w:p>
    <w:p>
      <w:pPr>
        <w:jc w:val="both"/>
        <w:ind w:firstLine="885"/>
        <w:spacing w:after="0" w:line="264" w:lineRule="auto"/>
        <w:tabs>
          <w:tab w:leader="none" w:pos="1348"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and all Awards made hereunder shall be governed by and interpreted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disregarding choice-of-law principles of the law of any state that would require the application of the laws of a jurisdiction other than such state.</w:t>
      </w:r>
    </w:p>
    <w:p>
      <w:pPr>
        <w:spacing w:after="0" w:line="181" w:lineRule="exact"/>
        <w:rPr>
          <w:rFonts w:ascii="Arial" w:cs="Arial" w:eastAsia="Arial" w:hAnsi="Arial"/>
          <w:sz w:val="18"/>
          <w:szCs w:val="18"/>
          <w:color w:val="auto"/>
        </w:rPr>
      </w:pPr>
    </w:p>
    <w:p>
      <w:pPr>
        <w:jc w:val="both"/>
        <w:ind w:firstLine="885"/>
        <w:spacing w:after="0" w:line="270" w:lineRule="auto"/>
        <w:tabs>
          <w:tab w:leader="none" w:pos="1285"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Submission to Jurisdiction; Waiver of Jury Trial</w:t>
      </w:r>
      <w:r>
        <w:rPr>
          <w:rFonts w:ascii="Arial" w:cs="Arial" w:eastAsia="Arial" w:hAnsi="Arial"/>
          <w:sz w:val="17"/>
          <w:szCs w:val="17"/>
          <w:color w:val="auto"/>
        </w:rPr>
        <w:t>. By accepting an Award, each Participant irrevocably and unconditionally consents to</w:t>
      </w:r>
      <w:r>
        <w:rPr>
          <w:rFonts w:ascii="Arial" w:cs="Arial" w:eastAsia="Arial" w:hAnsi="Arial"/>
          <w:sz w:val="17"/>
          <w:szCs w:val="17"/>
          <w:i w:val="1"/>
          <w:iCs w:val="1"/>
          <w:color w:val="auto"/>
        </w:rPr>
        <w:t xml:space="preserve"> </w:t>
      </w:r>
      <w:r>
        <w:rPr>
          <w:rFonts w:ascii="Arial" w:cs="Arial" w:eastAsia="Arial" w:hAnsi="Arial"/>
          <w:sz w:val="17"/>
          <w:szCs w:val="17"/>
          <w:color w:val="auto"/>
        </w:rPr>
        <w:t>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77" w:lineRule="exact"/>
        <w:rPr>
          <w:rFonts w:ascii="Arial" w:cs="Arial" w:eastAsia="Arial" w:hAnsi="Arial"/>
          <w:sz w:val="17"/>
          <w:szCs w:val="17"/>
          <w:color w:val="auto"/>
        </w:rPr>
      </w:pPr>
    </w:p>
    <w:p>
      <w:pPr>
        <w:jc w:val="both"/>
        <w:ind w:firstLine="885"/>
        <w:spacing w:after="0" w:line="255" w:lineRule="auto"/>
        <w:tabs>
          <w:tab w:leader="none" w:pos="1285"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Restrictions on Shares; Claw-Back Provisions</w:t>
      </w:r>
      <w:r>
        <w:rPr>
          <w:rFonts w:ascii="Arial" w:cs="Arial" w:eastAsia="Arial" w:hAnsi="Arial"/>
          <w:sz w:val="18"/>
          <w:szCs w:val="18"/>
          <w:color w:val="auto"/>
        </w:rPr>
        <w:t>. Awards and shares of Common Stock acquired in respect of Awards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393" w:name="page394"/>
    <w:bookmarkEnd w:id="393"/>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 A Participant shall, as a condition to receiving an Award, agree to execute such further instruments and to take such further action as the Company requests to carry out the purposes and intent of the Plan and any Award,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169" w:lineRule="exact"/>
        <w:rPr>
          <w:sz w:val="20"/>
          <w:szCs w:val="20"/>
          <w:color w:val="auto"/>
        </w:rPr>
      </w:pPr>
    </w:p>
    <w:p>
      <w:pPr>
        <w:ind w:firstLine="885"/>
        <w:spacing w:after="0" w:line="277" w:lineRule="auto"/>
        <w:tabs>
          <w:tab w:leader="none" w:pos="1285"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the text of the Plan, rather than such titles or headings, shall control.</w:t>
      </w:r>
    </w:p>
    <w:p>
      <w:pPr>
        <w:spacing w:after="0" w:line="170" w:lineRule="exact"/>
        <w:rPr>
          <w:rFonts w:ascii="Arial" w:cs="Arial" w:eastAsia="Arial" w:hAnsi="Arial"/>
          <w:sz w:val="18"/>
          <w:szCs w:val="18"/>
          <w:color w:val="auto"/>
        </w:rPr>
      </w:pPr>
    </w:p>
    <w:p>
      <w:pPr>
        <w:jc w:val="both"/>
        <w:ind w:firstLine="885"/>
        <w:spacing w:after="0" w:line="297" w:lineRule="auto"/>
        <w:tabs>
          <w:tab w:leader="none" w:pos="1406" w:val="left"/>
        </w:tabs>
        <w:numPr>
          <w:ilvl w:val="1"/>
          <w:numId w:val="234"/>
        </w:numPr>
        <w:rPr>
          <w:rFonts w:ascii="Arial" w:cs="Arial" w:eastAsia="Arial" w:hAnsi="Arial"/>
          <w:sz w:val="16"/>
          <w:szCs w:val="16"/>
          <w:color w:val="auto"/>
        </w:rPr>
      </w:pPr>
      <w:r>
        <w:rPr>
          <w:rFonts w:ascii="Arial" w:cs="Arial" w:eastAsia="Arial" w:hAnsi="Arial"/>
          <w:sz w:val="16"/>
          <w:szCs w:val="16"/>
          <w:i w:val="1"/>
          <w:iCs w:val="1"/>
          <w:color w:val="auto"/>
        </w:rPr>
        <w:t>Conformity to Securities Laws</w:t>
      </w:r>
      <w:r>
        <w:rPr>
          <w:rFonts w:ascii="Arial" w:cs="Arial" w:eastAsia="Arial" w:hAnsi="Arial"/>
          <w:sz w:val="16"/>
          <w:szCs w:val="16"/>
          <w:color w:val="auto"/>
        </w:rPr>
        <w:t>. Participant acknowledges that the Plan is intended to conform to the extent necessary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158" w:lineRule="exact"/>
        <w:rPr>
          <w:rFonts w:ascii="Arial" w:cs="Arial" w:eastAsia="Arial" w:hAnsi="Arial"/>
          <w:sz w:val="16"/>
          <w:szCs w:val="16"/>
          <w:color w:val="auto"/>
        </w:rPr>
      </w:pPr>
    </w:p>
    <w:p>
      <w:pPr>
        <w:ind w:left="840" w:hanging="396"/>
        <w:spacing w:after="0"/>
        <w:tabs>
          <w:tab w:leader="none" w:pos="840"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the Plan, the following words and phrases shall have the following meanings:</w:t>
      </w:r>
    </w:p>
    <w:p>
      <w:pPr>
        <w:spacing w:after="0" w:line="225" w:lineRule="exact"/>
        <w:rPr>
          <w:rFonts w:ascii="Arial" w:cs="Arial" w:eastAsia="Arial" w:hAnsi="Arial"/>
          <w:sz w:val="18"/>
          <w:szCs w:val="18"/>
          <w:color w:val="auto"/>
        </w:rPr>
      </w:pPr>
    </w:p>
    <w:p>
      <w:pPr>
        <w:ind w:firstLine="885"/>
        <w:spacing w:after="0" w:line="277" w:lineRule="auto"/>
        <w:tabs>
          <w:tab w:leader="none" w:pos="136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rFonts w:ascii="Arial" w:cs="Arial" w:eastAsia="Arial" w:hAnsi="Arial"/>
          <w:sz w:val="18"/>
          <w:szCs w:val="18"/>
          <w:color w:val="auto"/>
        </w:rPr>
      </w:pPr>
    </w:p>
    <w:p>
      <w:pPr>
        <w:jc w:val="both"/>
        <w:ind w:firstLine="885"/>
        <w:spacing w:after="0" w:line="259" w:lineRule="auto"/>
        <w:tabs>
          <w:tab w:leader="none" w:pos="137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86" w:lineRule="exact"/>
        <w:rPr>
          <w:rFonts w:ascii="Arial" w:cs="Arial" w:eastAsia="Arial" w:hAnsi="Arial"/>
          <w:sz w:val="18"/>
          <w:szCs w:val="18"/>
          <w:color w:val="auto"/>
        </w:rPr>
      </w:pPr>
    </w:p>
    <w:p>
      <w:pPr>
        <w:ind w:firstLine="885"/>
        <w:spacing w:after="0" w:line="277" w:lineRule="auto"/>
        <w:tabs>
          <w:tab w:leader="none" w:pos="1387" w:val="left"/>
        </w:tabs>
        <w:numPr>
          <w:ilvl w:val="1"/>
          <w:numId w:val="23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Restricted Stock, Restricted Stock Units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Awards.</w:t>
      </w:r>
    </w:p>
    <w:p>
      <w:pPr>
        <w:spacing w:after="0" w:line="170" w:lineRule="exact"/>
        <w:rPr>
          <w:rFonts w:ascii="Arial" w:cs="Arial" w:eastAsia="Arial" w:hAnsi="Arial"/>
          <w:sz w:val="18"/>
          <w:szCs w:val="18"/>
          <w:color w:val="auto"/>
        </w:rPr>
      </w:pPr>
    </w:p>
    <w:p>
      <w:pPr>
        <w:jc w:val="both"/>
        <w:ind w:firstLine="885"/>
        <w:spacing w:after="0" w:line="264" w:lineRule="auto"/>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agreements may be in electronic medium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such terms and conditions with respect to an Award as the Administrator shall determine, consistent with and subject to the terms and conditions of the Plan.</w:t>
      </w:r>
    </w:p>
    <w:p>
      <w:pPr>
        <w:spacing w:after="0" w:line="181" w:lineRule="exact"/>
        <w:rPr>
          <w:rFonts w:ascii="Arial" w:cs="Arial" w:eastAsia="Arial" w:hAnsi="Arial"/>
          <w:sz w:val="18"/>
          <w:szCs w:val="18"/>
          <w:color w:val="auto"/>
        </w:rPr>
      </w:pPr>
    </w:p>
    <w:p>
      <w:pPr>
        <w:ind w:left="1260" w:hanging="375"/>
        <w:spacing w:after="0"/>
        <w:tabs>
          <w:tab w:leader="none" w:pos="1260" w:val="left"/>
        </w:tabs>
        <w:numPr>
          <w:ilvl w:val="1"/>
          <w:numId w:val="23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94" w:name="page395"/>
    <w:bookmarkEnd w:id="394"/>
    <w:p>
      <w:pPr>
        <w:jc w:val="both"/>
        <w:ind w:firstLine="885"/>
        <w:spacing w:after="0" w:line="269" w:lineRule="auto"/>
        <w:tabs>
          <w:tab w:leader="none" w:pos="1309" w:val="left"/>
        </w:tabs>
        <w:numPr>
          <w:ilvl w:val="1"/>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with respect to a Participant, means “Cause” (or any term of similar effect) as defined in such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the Participant’s unauthorized use or disclosure of confidential information or trade secrets of the Company or any material breach of a written agreement between the Participant and the Company, including without limitation a material breach of any employment, confidentiality, non-compete, non-solicit or similar agreement; (ii) the Participant’s commission of, indictment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 willful misconduct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reasonably determines to be materially detrimental or damaging to the reputation, operations, prospects or business relations of the Company.</w:t>
      </w:r>
    </w:p>
    <w:p>
      <w:pPr>
        <w:spacing w:after="0" w:line="182" w:lineRule="exact"/>
        <w:rPr>
          <w:rFonts w:ascii="Arial" w:cs="Arial" w:eastAsia="Arial" w:hAnsi="Arial"/>
          <w:sz w:val="17"/>
          <w:szCs w:val="17"/>
          <w:color w:val="auto"/>
        </w:rPr>
      </w:pPr>
    </w:p>
    <w:p>
      <w:pPr>
        <w:ind w:left="1280" w:hanging="395"/>
        <w:spacing w:after="0"/>
        <w:tabs>
          <w:tab w:leader="none" w:pos="12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(i) a merger or consolidation of the Company with or into any other corporation or other entity or person,</w:t>
      </w:r>
    </w:p>
    <w:p>
      <w:pPr>
        <w:spacing w:after="0" w:line="46" w:lineRule="exact"/>
        <w:rPr>
          <w:rFonts w:ascii="Arial" w:cs="Arial" w:eastAsia="Arial" w:hAnsi="Arial"/>
          <w:sz w:val="16"/>
          <w:szCs w:val="16"/>
          <w:color w:val="auto"/>
        </w:rPr>
      </w:pPr>
    </w:p>
    <w:p>
      <w:pPr>
        <w:ind w:left="280" w:hanging="276"/>
        <w:spacing w:after="0"/>
        <w:tabs>
          <w:tab w:leader="none" w:pos="2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sale, lease, exchange or other transfer in one transaction or a series of related transactions of all or substantially all of the Company’s assets, or</w:t>
      </w:r>
    </w:p>
    <w:p>
      <w:pPr>
        <w:spacing w:after="0" w:line="32" w:lineRule="exact"/>
        <w:rPr>
          <w:rFonts w:ascii="Arial" w:cs="Arial" w:eastAsia="Arial" w:hAnsi="Arial"/>
          <w:sz w:val="16"/>
          <w:szCs w:val="16"/>
          <w:color w:val="auto"/>
        </w:rPr>
      </w:pPr>
    </w:p>
    <w:p>
      <w:pPr>
        <w:jc w:val="both"/>
        <w:ind w:firstLine="4"/>
        <w:spacing w:after="0" w:line="285" w:lineRule="auto"/>
        <w:tabs>
          <w:tab w:leader="none" w:pos="32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168" w:lineRule="exact"/>
        <w:rPr>
          <w:rFonts w:ascii="Arial" w:cs="Arial" w:eastAsia="Arial" w:hAnsi="Arial"/>
          <w:sz w:val="16"/>
          <w:szCs w:val="16"/>
          <w:color w:val="auto"/>
        </w:rPr>
      </w:pPr>
    </w:p>
    <w:p>
      <w:pPr>
        <w:ind w:left="1280" w:hanging="395"/>
        <w:spacing w:after="0"/>
        <w:tabs>
          <w:tab w:leader="none" w:pos="1280" w:val="left"/>
        </w:tabs>
        <w:numPr>
          <w:ilvl w:val="1"/>
          <w:numId w:val="23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rFonts w:ascii="Arial" w:cs="Arial" w:eastAsia="Arial" w:hAnsi="Arial"/>
          <w:sz w:val="18"/>
          <w:szCs w:val="18"/>
          <w:color w:val="auto"/>
        </w:rPr>
      </w:pPr>
    </w:p>
    <w:p>
      <w:pPr>
        <w:ind w:firstLine="885"/>
        <w:spacing w:after="0" w:line="277" w:lineRule="auto"/>
        <w:tabs>
          <w:tab w:leader="none" w:pos="1231" w:val="left"/>
        </w:tabs>
        <w:numPr>
          <w:ilvl w:val="1"/>
          <w:numId w:val="23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of the Board, which may be comprised of one or more directors and/or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of the Company, in either case, to the extent permitted in accordance with Applicable Laws.</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1"/>
          <w:numId w:val="23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95" w:name="page396"/>
    <w:bookmarkEnd w:id="395"/>
    <w:p>
      <w:pPr>
        <w:jc w:val="both"/>
        <w:ind w:firstLine="885"/>
        <w:spacing w:after="0" w:line="259" w:lineRule="auto"/>
        <w:tabs>
          <w:tab w:leader="none" w:pos="1393"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Gossamer Bio, Inc., a Delaware corporation, or any successor thereto. Except where the context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86" w:lineRule="exact"/>
        <w:rPr>
          <w:rFonts w:ascii="Arial" w:cs="Arial" w:eastAsia="Arial" w:hAnsi="Arial"/>
          <w:sz w:val="18"/>
          <w:szCs w:val="18"/>
          <w:color w:val="auto"/>
        </w:rPr>
      </w:pPr>
    </w:p>
    <w:p>
      <w:pPr>
        <w:ind w:firstLine="885"/>
        <w:spacing w:after="0" w:line="277" w:lineRule="auto"/>
        <w:tabs>
          <w:tab w:leader="none" w:pos="1258"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including any advisor, engaged by the Company or a parent or subsidiary of the Company to render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such entity.</w:t>
      </w:r>
    </w:p>
    <w:p>
      <w:pPr>
        <w:spacing w:after="0" w:line="2" w:lineRule="exact"/>
        <w:rPr>
          <w:rFonts w:ascii="Arial" w:cs="Arial" w:eastAsia="Arial" w:hAnsi="Arial"/>
          <w:sz w:val="18"/>
          <w:szCs w:val="18"/>
          <w:color w:val="auto"/>
        </w:rPr>
      </w:pPr>
    </w:p>
    <w:p>
      <w:pPr>
        <w:ind w:left="1400" w:hanging="515"/>
        <w:spacing w:after="0"/>
        <w:tabs>
          <w:tab w:leader="none" w:pos="1400"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Designated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beneficiary or beneficiaries designated, in a manner determined by the Administrator, by a</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70" w:lineRule="exact"/>
        <w:rPr>
          <w:sz w:val="20"/>
          <w:szCs w:val="20"/>
          <w:color w:val="auto"/>
        </w:rPr>
      </w:pPr>
    </w:p>
    <w:p>
      <w:pPr>
        <w:ind w:left="1280" w:hanging="395"/>
        <w:spacing w:after="0"/>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color w:val="auto"/>
        </w:rPr>
      </w:pPr>
    </w:p>
    <w:p>
      <w:pPr>
        <w:ind w:left="1320" w:hanging="435"/>
        <w:spacing w:after="0"/>
        <w:tabs>
          <w:tab w:leader="none" w:pos="132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within the meaning of Section 22(e)(3) of the Code, as it may be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firstLine="885"/>
        <w:spacing w:after="0" w:line="277" w:lineRule="auto"/>
        <w:tabs>
          <w:tab w:leader="none" w:pos="1312"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pursuant to Section 6(d)(3) hereof to receive the equivalent value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shares of Common Stock) of dividends paid on shares of Common Stock.</w:t>
      </w:r>
    </w:p>
    <w:p>
      <w:pPr>
        <w:spacing w:after="0" w:line="170" w:lineRule="exact"/>
        <w:rPr>
          <w:rFonts w:ascii="Arial" w:cs="Arial" w:eastAsia="Arial" w:hAnsi="Arial"/>
          <w:sz w:val="18"/>
          <w:szCs w:val="18"/>
          <w:color w:val="auto"/>
        </w:rPr>
      </w:pPr>
    </w:p>
    <w:p>
      <w:pPr>
        <w:ind w:firstLine="885"/>
        <w:spacing w:after="0" w:line="277" w:lineRule="auto"/>
        <w:tabs>
          <w:tab w:leader="none" w:pos="127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(within the meaning of Section 3401(c) of the Code) or any parent or subsidiary of the Company.</w:t>
      </w:r>
    </w:p>
    <w:p>
      <w:pPr>
        <w:spacing w:after="0" w:line="170" w:lineRule="exact"/>
        <w:rPr>
          <w:rFonts w:ascii="Arial" w:cs="Arial" w:eastAsia="Arial" w:hAnsi="Arial"/>
          <w:sz w:val="18"/>
          <w:szCs w:val="18"/>
          <w:color w:val="auto"/>
        </w:rPr>
      </w:pPr>
    </w:p>
    <w:p>
      <w:pPr>
        <w:jc w:val="both"/>
        <w:ind w:firstLine="885"/>
        <w:spacing w:after="0" w:line="279" w:lineRule="auto"/>
        <w:tabs>
          <w:tab w:leader="none" w:pos="1363" w:val="left"/>
        </w:tabs>
        <w:numPr>
          <w:ilvl w:val="0"/>
          <w:numId w:val="23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Equity Restructuring</w:t>
      </w:r>
      <w:r>
        <w:rPr>
          <w:rFonts w:ascii="Arial" w:cs="Arial" w:eastAsia="Arial" w:hAnsi="Arial"/>
          <w:sz w:val="17"/>
          <w:szCs w:val="17"/>
          <w:color w:val="auto"/>
        </w:rPr>
        <w:t>” means, as determined by the Administrator, a non-reciprocal transaction between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71" w:lineRule="exact"/>
        <w:rPr>
          <w:rFonts w:ascii="Arial" w:cs="Arial" w:eastAsia="Arial" w:hAnsi="Arial"/>
          <w:sz w:val="17"/>
          <w:szCs w:val="17"/>
          <w:color w:val="auto"/>
        </w:rPr>
      </w:pPr>
    </w:p>
    <w:p>
      <w:pPr>
        <w:ind w:left="1260" w:hanging="375"/>
        <w:spacing w:after="0"/>
        <w:tabs>
          <w:tab w:leader="none" w:pos="126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jc w:val="both"/>
        <w:ind w:firstLine="885"/>
        <w:spacing w:after="0" w:line="291" w:lineRule="auto"/>
        <w:tabs>
          <w:tab w:leader="none" w:pos="1312"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Stock determined as follows: (i) if the Common Stock is listed on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established stock exchange, its Fair Market Value shall be the closing sales price for such Common Stock as quoted on such exchange for such date, or if no sale occurred on such date, the first market trading day immediately prior to such date during which a sale occurred, as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or such other source as the Administrator deems reliable; (ii) if the Common Stock is not traded on a stock exchange but is quoted on a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 or other quotation system, the last sales price on such date, or if no sales occurred on such date, then on the date immediately prior to such date on which sales prices are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 (iii) in the absence of an established market for the Common Stock, the Fair Market Value thereof shall be determined by the Administrator.</w:t>
      </w:r>
    </w:p>
    <w:p>
      <w:pPr>
        <w:spacing w:after="0" w:line="167" w:lineRule="exact"/>
        <w:rPr>
          <w:rFonts w:ascii="Arial" w:cs="Arial" w:eastAsia="Arial" w:hAnsi="Arial"/>
          <w:sz w:val="16"/>
          <w:szCs w:val="16"/>
          <w:color w:val="auto"/>
        </w:rPr>
      </w:pPr>
    </w:p>
    <w:p>
      <w:pPr>
        <w:ind w:left="1280" w:hanging="395"/>
        <w:spacing w:after="0"/>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“incentive stock option” as defined in Section 422 of the Code.</w:t>
      </w:r>
    </w:p>
    <w:p>
      <w:pPr>
        <w:spacing w:after="0" w:line="225" w:lineRule="exact"/>
        <w:rPr>
          <w:rFonts w:ascii="Arial" w:cs="Arial" w:eastAsia="Arial" w:hAnsi="Arial"/>
          <w:sz w:val="18"/>
          <w:szCs w:val="18"/>
          <w:color w:val="auto"/>
        </w:rPr>
      </w:pPr>
    </w:p>
    <w:p>
      <w:pPr>
        <w:ind w:left="5420" w:right="60" w:hanging="4535"/>
        <w:spacing w:after="0" w:line="449" w:lineRule="auto"/>
        <w:tabs>
          <w:tab w:leader="none" w:pos="1271"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that is not intended to be or otherwise does not qualify as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96" w:name="page397"/>
    <w:bookmarkEnd w:id="396"/>
    <w:p>
      <w:pPr>
        <w:ind w:left="1320" w:hanging="435"/>
        <w:spacing w:after="0"/>
        <w:tabs>
          <w:tab w:leader="none" w:pos="1320"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Common Stock.</w:t>
      </w:r>
    </w:p>
    <w:p>
      <w:pPr>
        <w:spacing w:after="0" w:line="225" w:lineRule="exact"/>
        <w:rPr>
          <w:rFonts w:ascii="Arial" w:cs="Arial" w:eastAsia="Arial" w:hAnsi="Arial"/>
          <w:sz w:val="18"/>
          <w:szCs w:val="18"/>
          <w:color w:val="auto"/>
        </w:rPr>
      </w:pPr>
    </w:p>
    <w:p>
      <w:pPr>
        <w:ind w:firstLine="885"/>
        <w:spacing w:after="0" w:line="277" w:lineRule="auto"/>
        <w:tabs>
          <w:tab w:leader="none" w:pos="1298"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other Awards of shares of Common Stock, and other Awards that are valued in whole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or are otherwise based on, shares of Common Stock or other property.</w:t>
      </w:r>
    </w:p>
    <w:p>
      <w:pPr>
        <w:spacing w:after="0" w:line="170" w:lineRule="exact"/>
        <w:rPr>
          <w:rFonts w:ascii="Arial" w:cs="Arial" w:eastAsia="Arial" w:hAnsi="Arial"/>
          <w:sz w:val="18"/>
          <w:szCs w:val="18"/>
          <w:color w:val="auto"/>
        </w:rPr>
      </w:pPr>
    </w:p>
    <w:p>
      <w:pPr>
        <w:ind w:left="1280" w:hanging="395"/>
        <w:spacing w:after="0"/>
        <w:tabs>
          <w:tab w:leader="none" w:pos="1280"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Service Provider who has been granted an Award under the Plan.</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2017 Equity Incentive Plan.</w:t>
      </w:r>
    </w:p>
    <w:p>
      <w:pPr>
        <w:spacing w:after="0" w:line="225" w:lineRule="exact"/>
        <w:rPr>
          <w:sz w:val="20"/>
          <w:szCs w:val="20"/>
          <w:color w:val="auto"/>
        </w:rPr>
      </w:pPr>
    </w:p>
    <w:p>
      <w:pPr>
        <w:jc w:val="both"/>
        <w:ind w:firstLine="885"/>
        <w:spacing w:after="0" w:line="264" w:lineRule="auto"/>
        <w:tabs>
          <w:tab w:leader="none" w:pos="13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Publicly Listed Company</w:t>
      </w:r>
      <w:r>
        <w:rPr>
          <w:rFonts w:ascii="Arial" w:cs="Arial" w:eastAsia="Arial" w:hAnsi="Arial"/>
          <w:sz w:val="18"/>
          <w:szCs w:val="18"/>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quotation system.</w:t>
      </w:r>
    </w:p>
    <w:p>
      <w:pPr>
        <w:spacing w:after="0" w:line="181" w:lineRule="exact"/>
        <w:rPr>
          <w:rFonts w:ascii="Arial" w:cs="Arial" w:eastAsia="Arial" w:hAnsi="Arial"/>
          <w:sz w:val="18"/>
          <w:szCs w:val="18"/>
          <w:color w:val="auto"/>
        </w:rPr>
      </w:pPr>
    </w:p>
    <w:p>
      <w:pPr>
        <w:ind w:firstLine="885"/>
        <w:spacing w:after="0" w:line="277" w:lineRule="auto"/>
        <w:tabs>
          <w:tab w:leader="none" w:pos="1429"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Common Stock awarded to a Participant pursuant to Section 6 hereof that is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other restrictions.</w:t>
      </w:r>
    </w:p>
    <w:p>
      <w:pPr>
        <w:spacing w:after="0" w:line="170" w:lineRule="exact"/>
        <w:rPr>
          <w:rFonts w:ascii="Arial" w:cs="Arial" w:eastAsia="Arial" w:hAnsi="Arial"/>
          <w:sz w:val="18"/>
          <w:szCs w:val="18"/>
          <w:color w:val="auto"/>
        </w:rPr>
      </w:pPr>
    </w:p>
    <w:p>
      <w:pPr>
        <w:jc w:val="both"/>
        <w:ind w:firstLine="885"/>
        <w:spacing w:after="0" w:line="264" w:lineRule="auto"/>
        <w:tabs>
          <w:tab w:leader="none" w:pos="1409"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an amount in cash or other consideration determined by the Administrator equal to the value thereof as of such payment date, which right may be subject to certain vesting conditions and other restrictions.</w:t>
      </w:r>
    </w:p>
    <w:p>
      <w:pPr>
        <w:spacing w:after="0" w:line="181" w:lineRule="exact"/>
        <w:rPr>
          <w:rFonts w:ascii="Arial" w:cs="Arial" w:eastAsia="Arial" w:hAnsi="Arial"/>
          <w:sz w:val="18"/>
          <w:szCs w:val="18"/>
          <w:color w:val="auto"/>
        </w:rPr>
      </w:pPr>
    </w:p>
    <w:p>
      <w:pPr>
        <w:ind w:firstLine="885"/>
        <w:spacing w:after="0" w:line="277" w:lineRule="auto"/>
        <w:tabs>
          <w:tab w:leader="none" w:pos="1469"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thereunder.</w:t>
      </w:r>
    </w:p>
    <w:p>
      <w:pPr>
        <w:spacing w:after="0" w:line="170" w:lineRule="exact"/>
        <w:rPr>
          <w:rFonts w:ascii="Arial" w:cs="Arial" w:eastAsia="Arial" w:hAnsi="Arial"/>
          <w:sz w:val="18"/>
          <w:szCs w:val="18"/>
          <w:color w:val="auto"/>
        </w:rPr>
      </w:pPr>
    </w:p>
    <w:p>
      <w:pPr>
        <w:ind w:left="1340" w:hanging="455"/>
        <w:spacing w:after="0"/>
        <w:tabs>
          <w:tab w:leader="none" w:pos="1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rFonts w:ascii="Arial" w:cs="Arial" w:eastAsia="Arial" w:hAnsi="Arial"/>
          <w:sz w:val="18"/>
          <w:szCs w:val="18"/>
          <w:color w:val="auto"/>
        </w:rPr>
      </w:pPr>
    </w:p>
    <w:p>
      <w:pPr>
        <w:ind w:left="1300" w:hanging="415"/>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rFonts w:ascii="Arial" w:cs="Arial" w:eastAsia="Arial" w:hAnsi="Arial"/>
          <w:sz w:val="18"/>
          <w:szCs w:val="18"/>
          <w:color w:val="auto"/>
        </w:rPr>
      </w:pPr>
    </w:p>
    <w:p>
      <w:pPr>
        <w:ind w:left="1360" w:hanging="475"/>
        <w:spacing w:after="0"/>
        <w:tabs>
          <w:tab w:leader="none" w:pos="136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97" w:name="page398"/>
    <w:bookmarkEnd w:id="397"/>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Administrator has adopted this supplement for purposes of satisfying the requirements of Section 25102(o) of the California Corporations Code and the regulations issued thereunder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Notwithstanding anything to the contrary contained in the Plan and except as otherwise determined by the Administrator, the provisions set forth in this supplement shall apply to all Awards granted under the Plan to a Participant who is a resident of the State of California on the date of grant (a “</w:t>
      </w:r>
      <w:r>
        <w:rPr>
          <w:rFonts w:ascii="Arial" w:cs="Arial" w:eastAsia="Arial" w:hAnsi="Arial"/>
          <w:sz w:val="17"/>
          <w:szCs w:val="17"/>
          <w:b w:val="1"/>
          <w:bCs w:val="1"/>
          <w:i w:val="1"/>
          <w:iCs w:val="1"/>
          <w:color w:val="auto"/>
        </w:rPr>
        <w:t>California Participant</w:t>
      </w:r>
      <w:r>
        <w:rPr>
          <w:rFonts w:ascii="Arial" w:cs="Arial" w:eastAsia="Arial" w:hAnsi="Arial"/>
          <w:sz w:val="17"/>
          <w:szCs w:val="17"/>
          <w:color w:val="auto"/>
        </w:rPr>
        <w:t>”) and which are intended to be exempt from registration in California pursuant to Section 25102(o). This supplement shall not apply to Awards granted to California Participants or after the date on which the Company becomes a Publicly Listed Company. Definitions in the Plan are applicable to this supplement.</w:t>
      </w:r>
    </w:p>
    <w:p>
      <w:pPr>
        <w:spacing w:after="0" w:line="178" w:lineRule="exact"/>
        <w:rPr>
          <w:sz w:val="20"/>
          <w:szCs w:val="20"/>
          <w:color w:val="auto"/>
        </w:rPr>
      </w:pPr>
    </w:p>
    <w:p>
      <w:pPr>
        <w:ind w:firstLine="444"/>
        <w:spacing w:after="0" w:line="277" w:lineRule="auto"/>
        <w:tabs>
          <w:tab w:leader="none" w:pos="864" w:val="left"/>
        </w:tabs>
        <w:numPr>
          <w:ilvl w:val="1"/>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Securities Issuable under the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securities issued pursuant to the Plan shall not exceed the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under section 260.140.45 of the California Code of Regulations to the extent applicable.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1"/>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Limitations On Options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2"/>
          <w:numId w:val="242"/>
        </w:numPr>
        <w:rPr>
          <w:rFonts w:ascii="Arial" w:cs="Arial" w:eastAsia="Arial" w:hAnsi="Arial"/>
          <w:sz w:val="17"/>
          <w:szCs w:val="17"/>
          <w:color w:val="auto"/>
        </w:rPr>
      </w:pPr>
      <w:r>
        <w:rPr>
          <w:rFonts w:ascii="Arial" w:cs="Arial" w:eastAsia="Arial" w:hAnsi="Arial"/>
          <w:sz w:val="17"/>
          <w:szCs w:val="17"/>
          <w:i w:val="1"/>
          <w:iCs w:val="1"/>
          <w:color w:val="auto"/>
        </w:rPr>
        <w:t xml:space="preserve">Maximum Duration of Options. </w:t>
      </w:r>
      <w:r>
        <w:rPr>
          <w:rFonts w:ascii="Arial" w:cs="Arial" w:eastAsia="Arial" w:hAnsi="Arial"/>
          <w:sz w:val="17"/>
          <w:szCs w:val="17"/>
          <w:color w:val="auto"/>
        </w:rPr>
        <w:t>No Options granted to California Participants will be granted for a term in excess of 10 years.</w:t>
      </w:r>
    </w:p>
    <w:p>
      <w:pPr>
        <w:spacing w:after="0" w:line="236" w:lineRule="exact"/>
        <w:rPr>
          <w:rFonts w:ascii="Arial" w:cs="Arial" w:eastAsia="Arial" w:hAnsi="Arial"/>
          <w:sz w:val="17"/>
          <w:szCs w:val="17"/>
          <w:color w:val="auto"/>
        </w:rPr>
      </w:pPr>
    </w:p>
    <w:p>
      <w:pPr>
        <w:jc w:val="both"/>
        <w:ind w:firstLine="885"/>
        <w:spacing w:after="0" w:line="288" w:lineRule="auto"/>
        <w:tabs>
          <w:tab w:leader="none" w:pos="1339" w:val="left"/>
        </w:tabs>
        <w:numPr>
          <w:ilvl w:val="2"/>
          <w:numId w:val="242"/>
        </w:numPr>
        <w:rPr>
          <w:rFonts w:ascii="Arial" w:cs="Arial" w:eastAsia="Arial" w:hAnsi="Arial"/>
          <w:sz w:val="16"/>
          <w:szCs w:val="16"/>
          <w:color w:val="auto"/>
        </w:rPr>
      </w:pPr>
      <w:r>
        <w:rPr>
          <w:rFonts w:ascii="Arial" w:cs="Arial" w:eastAsia="Arial" w:hAnsi="Arial"/>
          <w:sz w:val="16"/>
          <w:szCs w:val="16"/>
          <w:i w:val="1"/>
          <w:iCs w:val="1"/>
          <w:color w:val="auto"/>
        </w:rPr>
        <w:t xml:space="preserve">Minimum Exercise Period Following Termination. </w:t>
      </w:r>
      <w:r>
        <w:rPr>
          <w:rFonts w:ascii="Arial" w:cs="Arial" w:eastAsia="Arial" w:hAnsi="Arial"/>
          <w:sz w:val="16"/>
          <w:szCs w:val="16"/>
          <w:color w:val="auto"/>
        </w:rPr>
        <w:t>Unless a California Participant’s Service Provider relationship is terminated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in the event of termination of such Participant’s Service Provider relationship, to the extent required by Applicable Laws, he or she shall have the right to exercise an Option, to the extent that he or she was otherwise entitled to exercise such Option on the date employment terminated, as follows:</w:t>
      </w:r>
    </w:p>
    <w:p>
      <w:pPr>
        <w:ind w:firstLine="4"/>
        <w:spacing w:after="0" w:line="261" w:lineRule="auto"/>
        <w:tabs>
          <w:tab w:leader="none" w:pos="2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 least six months from the date of termination, if termination was caused by such Participant’s death or Disability and (ii) at least 30 days from the date of termination, if termination was caused other than by such Participant’s death or Disability.</w:t>
      </w:r>
    </w:p>
    <w:p>
      <w:pPr>
        <w:spacing w:after="0" w:line="183" w:lineRule="exact"/>
        <w:rPr>
          <w:rFonts w:ascii="Arial" w:cs="Arial" w:eastAsia="Arial" w:hAnsi="Arial"/>
          <w:sz w:val="18"/>
          <w:szCs w:val="18"/>
          <w:color w:val="auto"/>
        </w:rPr>
      </w:pPr>
    </w:p>
    <w:p>
      <w:pPr>
        <w:jc w:val="both"/>
        <w:ind w:firstLine="444"/>
        <w:spacing w:after="0" w:line="264" w:lineRule="auto"/>
        <w:tabs>
          <w:tab w:leader="none" w:pos="850" w:val="left"/>
        </w:tabs>
        <w:numPr>
          <w:ilvl w:val="1"/>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Limitations For Restricted Stock Awards, Restricted Stock Units and Other Stock-Based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of all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to California Participants shall comply, to the extent applicable, with Section 260.140.41 and Section 260.140.42 of the California Code of Regulations.</w:t>
      </w:r>
    </w:p>
    <w:p>
      <w:pPr>
        <w:spacing w:after="0" w:line="181" w:lineRule="exact"/>
        <w:rPr>
          <w:rFonts w:ascii="Arial" w:cs="Arial" w:eastAsia="Arial" w:hAnsi="Arial"/>
          <w:sz w:val="18"/>
          <w:szCs w:val="18"/>
          <w:color w:val="auto"/>
        </w:rPr>
      </w:pPr>
    </w:p>
    <w:p>
      <w:pPr>
        <w:ind w:firstLine="444"/>
        <w:spacing w:after="0" w:line="277" w:lineRule="auto"/>
        <w:tabs>
          <w:tab w:leader="none" w:pos="931" w:val="left"/>
        </w:tabs>
        <w:numPr>
          <w:ilvl w:val="1"/>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Administrator will make such adjustments to an Award held by a California Participant as may be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260.140.41 or Section 260.140.42 of the California Code of Regulations.</w:t>
      </w:r>
    </w:p>
    <w:p>
      <w:pPr>
        <w:spacing w:after="0" w:line="170" w:lineRule="exact"/>
        <w:rPr>
          <w:rFonts w:ascii="Arial" w:cs="Arial" w:eastAsia="Arial" w:hAnsi="Arial"/>
          <w:sz w:val="18"/>
          <w:szCs w:val="18"/>
          <w:color w:val="auto"/>
        </w:rPr>
      </w:pPr>
    </w:p>
    <w:p>
      <w:pPr>
        <w:jc w:val="both"/>
        <w:ind w:firstLine="444"/>
        <w:spacing w:after="0" w:line="273" w:lineRule="auto"/>
        <w:tabs>
          <w:tab w:leader="none" w:pos="769" w:val="left"/>
        </w:tabs>
        <w:numPr>
          <w:ilvl w:val="1"/>
          <w:numId w:val="243"/>
        </w:numPr>
        <w:rPr>
          <w:rFonts w:ascii="Arial" w:cs="Arial" w:eastAsia="Arial" w:hAnsi="Arial"/>
          <w:sz w:val="17"/>
          <w:szCs w:val="17"/>
          <w:color w:val="auto"/>
        </w:rPr>
      </w:pPr>
      <w:r>
        <w:rPr>
          <w:rFonts w:ascii="Arial" w:cs="Arial" w:eastAsia="Arial" w:hAnsi="Arial"/>
          <w:sz w:val="17"/>
          <w:szCs w:val="17"/>
          <w:b w:val="1"/>
          <w:bCs w:val="1"/>
          <w:i w:val="1"/>
          <w:iCs w:val="1"/>
          <w:color w:val="auto"/>
        </w:rPr>
        <w:t>Additional Requirement To Provide Information To California Participants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extent required by Section 260.140.46 of the California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 of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the Plan to the extent that it complies with all conditions of Rule 701 of the Securities Act (“</w:t>
      </w:r>
      <w:r>
        <w:rPr>
          <w:rFonts w:ascii="Arial" w:cs="Arial" w:eastAsia="Arial" w:hAnsi="Arial"/>
          <w:sz w:val="17"/>
          <w:szCs w:val="17"/>
          <w:b w:val="1"/>
          <w:bCs w:val="1"/>
          <w:i w:val="1"/>
          <w:iCs w:val="1"/>
          <w:color w:val="auto"/>
        </w:rPr>
        <w:t>Rule 701</w:t>
      </w:r>
      <w:r>
        <w:rPr>
          <w:rFonts w:ascii="Arial" w:cs="Arial" w:eastAsia="Arial" w:hAnsi="Arial"/>
          <w:sz w:val="17"/>
          <w:szCs w:val="17"/>
          <w:color w:val="auto"/>
        </w:rPr>
        <w:t>”) as determined by the Administrator; provided that for purposes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CS-1</w:t>
      </w:r>
    </w:p>
    <w:p>
      <w:pPr>
        <w:sectPr>
          <w:pgSz w:w="11900" w:h="16838" w:orient="portrait"/>
          <w:cols w:equalWidth="0" w:num="1">
            <w:col w:w="11020"/>
          </w:cols>
          <w:pgMar w:left="440" w:top="269" w:right="4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determining such compliance, any registered domestic partner shall be considered a “family member” as that term is defined in Rule 701.</w:t>
      </w:r>
    </w:p>
    <w:p>
      <w:pPr>
        <w:spacing w:after="0" w:line="225" w:lineRule="exact"/>
        <w:rPr>
          <w:sz w:val="20"/>
          <w:szCs w:val="20"/>
          <w:color w:val="auto"/>
        </w:rPr>
      </w:pPr>
    </w:p>
    <w:p>
      <w:pPr>
        <w:jc w:val="both"/>
        <w:ind w:firstLine="444"/>
        <w:spacing w:after="0" w:line="273" w:lineRule="auto"/>
        <w:tabs>
          <w:tab w:leader="none" w:pos="864" w:val="left"/>
        </w:tabs>
        <w:numPr>
          <w:ilvl w:val="0"/>
          <w:numId w:val="244"/>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Approval; Additional Limitations On Timing Of Awards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will be submitted for the approval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within twelve (12) months after the date of the Board’s adoption of the Plan. Awards may be granted or awarded prior to such stockholder approval; provided that no Award granted to a California Participant shall become exercisable, vested or realizable, as applicable to such Award, unless the Plan has been approved by the Company’s stockholders within twelve months before or after the date the Plan was adopted by the Administrator; and provided, further, that if such approval has not been obtained at the end of said twelve-month period, all Awards previously granted or awarded under the Plan to California Participants shall thereupon be canceled and become null and void.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CS-2</w:t>
      </w:r>
    </w:p>
    <w:p>
      <w:pPr>
        <w:sectPr>
          <w:pgSz w:w="11900" w:h="16838" w:orient="portrait"/>
          <w:cols w:equalWidth="0" w:num="1">
            <w:col w:w="11020"/>
          </w:cols>
          <w:pgMar w:left="440" w:top="273" w:right="4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2017 PLAN AMENDMENT</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1 TO THE GOSSAMER BIO, INC.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December 29, 2017,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Board of Directors of the Company has approved this Amendment pursuant to resolutions adopted on December 29, 2017.</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225"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5,889,357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70" w:right="439" w:bottom="1440" w:gutter="0" w:footer="0" w:header="0"/>
        </w:sectPr>
      </w:pPr>
    </w:p>
    <w:bookmarkStart w:id="400" w:name="page401"/>
    <w:bookmarkEnd w:id="4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certify that the foregoing Amendment was duly adopted by the Board of Directors of Gossamer Bio, Inc. on December 29, 2017.</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9920"/>
          </w:cols>
          <w:pgMar w:left="880" w:top="274" w:right="109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2 TO THE GOSSAMER BIO, INC. 2017 EQUITY INCENTIVE PLAN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2 TO THE GOSSAMER BIO, INC. 2017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May 21, 2018,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Board of Directors of the Company has approved this Amendment pursuant to resolutions adopted on May 21, 2018.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225"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13,665,920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70" w:right="439" w:bottom="1440" w:gutter="0" w:footer="0" w:header="0"/>
        </w:sectPr>
      </w:pPr>
    </w:p>
    <w:bookmarkStart w:id="402" w:name="page403"/>
    <w:bookmarkEnd w:id="4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certify that the foregoing Amendment was duly adopted by the Board of Directors of Gossamer Bio, Inc. on May 21, 2018.</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9579"/>
          </w:cols>
          <w:pgMar w:left="880" w:top="273" w:right="1440"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 TO THE GOSSAMER BIO, INC. 2017 EQUITY INCENTIVE PLAN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3 TO THE GOSSAMER BIO, INC. 2017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June 25, 2018,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Board of Directors of the Company has approved this Amendment pursuant to resolutions adopted on June 25, 2018.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117"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14,515,920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69" w:right="43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hereby certify that the foregoing Amendment was duly adopted by the Board of Directors of Gossamer Bio, Inc. on June 25, 2018.</w:t>
      </w:r>
    </w:p>
    <w:p>
      <w:pPr>
        <w:spacing w:after="0" w:line="252"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Christian Waage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Christian Waage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600"/>
          </w:cols>
          <w:pgMar w:left="880" w:top="274" w:right="41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 TO THE GOSSAMER BIO, INC. 2017 EQUITY INCENTIVE PLAN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4 TO THE GOSSAMER BIO, INC. 2017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July 18, 2018,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Board of Directors of the Company has approved this Amendment pursuant to resolutions adopted on July 18,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225"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17,121,225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70" w:right="439" w:bottom="1440" w:gutter="0" w:footer="0" w:header="0"/>
        </w:sectPr>
      </w:pPr>
    </w:p>
    <w:bookmarkStart w:id="406" w:name="page407"/>
    <w:bookmarkEnd w:id="4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hereby certify that the foregoing Amendment was duly adopted by the Board of Directors of Gossamer Bio, Inc. on July 18, 2018.</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9579"/>
          </w:cols>
          <w:pgMar w:left="880" w:top="274" w:right="1440"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5 TO THE GOSSAMER BIO, INC. 2017 EQUITY INCENTIVE PLAN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5 TO THE GOSSAMER BIO, INC. 2017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December 4, 2018,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Board of Directors of the Company has approved this Amendment pursuant to resolutions adopted on December 4, 2018.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11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117"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20,897,072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69" w:right="439" w:bottom="1440" w:gutter="0" w:footer="0" w:header="0"/>
        </w:sectPr>
      </w:pPr>
    </w:p>
    <w:bookmarkStart w:id="408" w:name="page409"/>
    <w:bookmarkEnd w:id="4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certify that the foregoing Amendment was duly adopted by the Board of Directors of Gossamer Bio, Inc. on December 4, 2018.</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-130810</wp:posOffset>
            </wp:positionV>
            <wp:extent cx="259016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9840"/>
          </w:cols>
          <w:pgMar w:left="880" w:top="273" w:right="117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6 TO THE GOSSAMER BIO, INC. 2017 EQUITY INCENTIVE PLAN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AMENDMENT NO. 6 TO THE GOSSAMER BIO, INC. 2017 EQUITY INCENTIVE PLAN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dated as of December 14, 2018, is made and adopted by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meanings ascribed to them in the Plan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adopted the Gossamer Bio, Inc.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desires to amend the Plan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pursuant to Section 10(d) of the Plan, the Plan may be amended by the Board of Directors of the Company;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Board of Directors of the Company has approved this Amendment pursuant to resolutions adopted on December 10, 2018.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the Company hereby amends the Plan as follows:</w:t>
      </w:r>
    </w:p>
    <w:p>
      <w:pPr>
        <w:spacing w:after="0" w:line="11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4(a) of the Plan is hereby amended to read as follows:</w:t>
      </w:r>
    </w:p>
    <w:p>
      <w:pPr>
        <w:spacing w:after="0" w:line="117"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under Section 8 hereof, Awards may be made under the Plan covering up to 28,305,072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3" w:lineRule="exact"/>
        <w:rPr>
          <w:sz w:val="20"/>
          <w:szCs w:val="20"/>
          <w:color w:val="auto"/>
        </w:rPr>
      </w:pPr>
    </w:p>
    <w:p>
      <w:pPr>
        <w:ind w:firstLine="444"/>
        <w:spacing w:after="0" w:line="308" w:lineRule="auto"/>
        <w:tabs>
          <w:tab w:leader="none" w:pos="77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This Amendment shall be and is hereby incorporated in and forms a part of the Plan. All other terms and provisions of the Plan shall remain unchanged except as specifically modified herein. The Plan, as amended by this Amendment, is hereby ratified and confirmed.</w:t>
      </w:r>
    </w:p>
    <w:p>
      <w:pPr>
        <w:sectPr>
          <w:pgSz w:w="11900" w:h="16838" w:orient="portrait"/>
          <w:cols w:equalWidth="0" w:num="1">
            <w:col w:w="11020"/>
          </w:cols>
          <w:pgMar w:left="440" w:top="270" w:right="439" w:bottom="1440" w:gutter="0" w:footer="0" w:header="0"/>
        </w:sectPr>
      </w:pPr>
    </w:p>
    <w:bookmarkStart w:id="410" w:name="page411"/>
    <w:bookmarkEnd w:id="4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certify that the foregoing Amendment was duly adopted by the Board of Directors of Gossamer Bio, Inc. on December 14, 2018.</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-130810</wp:posOffset>
            </wp:positionV>
            <wp:extent cx="25901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9920"/>
          </w:cols>
          <w:pgMar w:left="880" w:top="274" w:right="1099" w:bottom="1440" w:gutter="0" w:footer="0" w:header="0"/>
        </w:sectPr>
      </w:pPr>
    </w:p>
    <w:bookmarkStart w:id="411" w:name="page412"/>
    <w:bookmarkEnd w:id="411"/>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GRANT NOTICE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Gossamer 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2017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Participant an Option to purchase the number of shares of the Company’s Common Stock (referred to herein as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set forth below. This Option is subject to all of the terms and conditions as set forth herein and in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this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Agreement.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2400" w:type="dxa"/>
            <w:vAlign w:val="bottom"/>
          </w:tcPr>
          <w:p>
            <w:pPr>
              <w:ind w:left="340"/>
              <w:spacing w:after="0"/>
              <w:rPr>
                <w:sz w:val="20"/>
                <w:szCs w:val="20"/>
                <w:color w:val="auto"/>
              </w:rPr>
            </w:pPr>
            <w:r>
              <w:rPr>
                <w:rFonts w:ascii="Arial" w:cs="Arial" w:eastAsia="Arial" w:hAnsi="Arial"/>
                <w:sz w:val="18"/>
                <w:szCs w:val="18"/>
                <w:i w:val="1"/>
                <w:iCs w:val="1"/>
                <w:color w:val="auto"/>
              </w:rPr>
              <w:t>[Insert Participant Name]</w:t>
            </w:r>
          </w:p>
        </w:tc>
        <w:tc>
          <w:tcPr>
            <w:tcW w:w="2420" w:type="dxa"/>
            <w:vAlign w:val="bottom"/>
          </w:tcPr>
          <w:p>
            <w:pPr>
              <w:spacing w:after="0"/>
              <w:rPr>
                <w:sz w:val="20"/>
                <w:szCs w:val="20"/>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2400" w:type="dxa"/>
            <w:vAlign w:val="bottom"/>
          </w:tcPr>
          <w:p>
            <w:pPr>
              <w:ind w:left="340"/>
              <w:spacing w:after="0"/>
              <w:rPr>
                <w:sz w:val="20"/>
                <w:szCs w:val="20"/>
                <w:color w:val="auto"/>
              </w:rPr>
            </w:pPr>
            <w:r>
              <w:rPr>
                <w:rFonts w:ascii="Arial" w:cs="Arial" w:eastAsia="Arial" w:hAnsi="Arial"/>
                <w:sz w:val="18"/>
                <w:szCs w:val="18"/>
                <w:i w:val="1"/>
                <w:iCs w:val="1"/>
                <w:color w:val="auto"/>
              </w:rPr>
              <w:t>[Insert Grant Date]</w:t>
            </w:r>
          </w:p>
        </w:tc>
        <w:tc>
          <w:tcPr>
            <w:tcW w:w="2420" w:type="dxa"/>
            <w:vAlign w:val="bottom"/>
          </w:tcPr>
          <w:p>
            <w:pPr>
              <w:spacing w:after="0"/>
              <w:rPr>
                <w:sz w:val="24"/>
                <w:szCs w:val="24"/>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4820" w:type="dxa"/>
            <w:vAlign w:val="bottom"/>
            <w:gridSpan w:val="2"/>
          </w:tcPr>
          <w:p>
            <w:pPr>
              <w:ind w:left="340"/>
              <w:spacing w:after="0"/>
              <w:rPr>
                <w:sz w:val="20"/>
                <w:szCs w:val="20"/>
                <w:color w:val="auto"/>
              </w:rPr>
            </w:pPr>
            <w:r>
              <w:rPr>
                <w:rFonts w:ascii="Arial" w:cs="Arial" w:eastAsia="Arial" w:hAnsi="Arial"/>
                <w:sz w:val="18"/>
                <w:szCs w:val="18"/>
                <w:i w:val="1"/>
                <w:iCs w:val="1"/>
                <w:color w:val="auto"/>
              </w:rPr>
              <w:t>[Insert Vesting Commencement Date]</w:t>
            </w: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Exercise Price Per Share]</w:t>
            </w: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Exercise Price:</w:t>
            </w: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Aggregate Exercise Price on Grant Date]</w:t>
            </w: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w w:val="99"/>
              </w:rPr>
              <w:t>Total Number of Shares Subject to Option:</w:t>
            </w:r>
          </w:p>
        </w:tc>
        <w:tc>
          <w:tcPr>
            <w:tcW w:w="2400" w:type="dxa"/>
            <w:vAlign w:val="bottom"/>
          </w:tcPr>
          <w:p>
            <w:pPr>
              <w:ind w:left="340"/>
              <w:spacing w:after="0"/>
              <w:rPr>
                <w:sz w:val="20"/>
                <w:szCs w:val="20"/>
                <w:color w:val="auto"/>
              </w:rPr>
            </w:pPr>
            <w:r>
              <w:rPr>
                <w:rFonts w:ascii="Arial" w:cs="Arial" w:eastAsia="Arial" w:hAnsi="Arial"/>
                <w:sz w:val="18"/>
                <w:szCs w:val="18"/>
                <w:i w:val="1"/>
                <w:iCs w:val="1"/>
                <w:color w:val="auto"/>
                <w:w w:val="98"/>
              </w:rPr>
              <w:t>[Insert Number of Shares]</w:t>
            </w:r>
          </w:p>
        </w:tc>
        <w:tc>
          <w:tcPr>
            <w:tcW w:w="2420" w:type="dxa"/>
            <w:vAlign w:val="bottom"/>
          </w:tcPr>
          <w:p>
            <w:pPr>
              <w:spacing w:after="0"/>
              <w:rPr>
                <w:sz w:val="24"/>
                <w:szCs w:val="24"/>
                <w:color w:val="auto"/>
              </w:rPr>
            </w:pPr>
          </w:p>
        </w:tc>
      </w:tr>
      <w:tr>
        <w:trPr>
          <w:trHeight w:val="324"/>
        </w:trPr>
        <w:tc>
          <w:tcPr>
            <w:tcW w:w="36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4820" w:type="dxa"/>
            <w:vAlign w:val="bottom"/>
            <w:gridSpan w:val="2"/>
          </w:tcPr>
          <w:p>
            <w:pPr>
              <w:ind w:left="340"/>
              <w:spacing w:after="0"/>
              <w:rPr>
                <w:sz w:val="20"/>
                <w:szCs w:val="20"/>
                <w:color w:val="auto"/>
              </w:rPr>
            </w:pPr>
            <w:r>
              <w:rPr>
                <w:rFonts w:ascii="Arial" w:cs="Arial" w:eastAsia="Arial" w:hAnsi="Arial"/>
                <w:sz w:val="18"/>
                <w:szCs w:val="18"/>
                <w:i w:val="1"/>
                <w:iCs w:val="1"/>
                <w:color w:val="auto"/>
              </w:rPr>
              <w:t>[Insert Tenth Anniversary of Grant Date]</w:t>
            </w:r>
          </w:p>
        </w:tc>
      </w:tr>
      <w:tr>
        <w:trPr>
          <w:trHeight w:val="344"/>
        </w:trPr>
        <w:tc>
          <w:tcPr>
            <w:tcW w:w="364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24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24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Non-Qualified Stock Option</w:t>
            </w:r>
          </w:p>
        </w:tc>
      </w:tr>
      <w:tr>
        <w:trPr>
          <w:trHeight w:val="304"/>
        </w:trPr>
        <w:tc>
          <w:tcPr>
            <w:tcW w:w="36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[To be specified in individual agreements.]</w:t>
            </w:r>
          </w:p>
        </w:tc>
      </w:tr>
    </w:tbl>
    <w:p>
      <w:pPr>
        <w:spacing w:after="0" w:line="202"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hereby agrees to accept as binding, conclusive and final all decisions or interpretations of the Administrator of the Plan upon any questions arising under the Plan or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GOSSAMER BIO, INC.</w:t>
            </w:r>
          </w:p>
        </w:tc>
        <w:tc>
          <w:tcPr>
            <w:tcW w:w="5880" w:type="dxa"/>
            <w:vAlign w:val="bottom"/>
            <w:gridSpan w:val="2"/>
          </w:tcPr>
          <w:p>
            <w:pPr>
              <w:ind w:left="700"/>
              <w:spacing w:after="0"/>
              <w:rPr>
                <w:sz w:val="20"/>
                <w:szCs w:val="20"/>
                <w:color w:val="auto"/>
              </w:rPr>
            </w:pPr>
            <w:r>
              <w:rPr>
                <w:rFonts w:ascii="Arial" w:cs="Arial" w:eastAsia="Arial" w:hAnsi="Arial"/>
                <w:sz w:val="20"/>
                <w:szCs w:val="20"/>
                <w:b w:val="1"/>
                <w:bCs w:val="1"/>
                <w:color w:val="auto"/>
              </w:rPr>
              <w:t>PARTICIPANT</w:t>
            </w:r>
          </w:p>
        </w:tc>
      </w:tr>
      <w:tr>
        <w:trPr>
          <w:trHeight w:val="428"/>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bottom w:val="single" w:sz="8" w:color="auto"/>
            </w:tcBorders>
          </w:tcPr>
          <w:p>
            <w:pPr>
              <w:spacing w:after="0"/>
              <w:rPr>
                <w:sz w:val="24"/>
                <w:szCs w:val="24"/>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State of</w:t>
            </w:r>
          </w:p>
        </w:tc>
      </w:tr>
      <w:tr>
        <w:trPr>
          <w:trHeight w:val="230"/>
        </w:trPr>
        <w:tc>
          <w:tcPr>
            <w:tcW w:w="1000" w:type="dxa"/>
            <w:vAlign w:val="bottom"/>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Residence:</w:t>
            </w:r>
          </w:p>
        </w:tc>
        <w:tc>
          <w:tcPr>
            <w:tcW w:w="4180" w:type="dxa"/>
            <w:vAlign w:val="bottom"/>
            <w:tcBorders>
              <w:bottom w:val="single" w:sz="8" w:color="auto"/>
            </w:tcBorders>
          </w:tcPr>
          <w:p>
            <w:pPr>
              <w:spacing w:after="0"/>
              <w:rPr>
                <w:sz w:val="20"/>
                <w:szCs w:val="20"/>
                <w:color w:val="auto"/>
              </w:rPr>
            </w:pPr>
          </w:p>
        </w:tc>
      </w:tr>
    </w:tbl>
    <w:p>
      <w:pPr>
        <w:sectPr>
          <w:pgSz w:w="11900" w:h="16838" w:orient="portrait"/>
          <w:cols w:equalWidth="0" w:num="1">
            <w:col w:w="11040"/>
          </w:cols>
          <w:pgMar w:left="440" w:top="121" w:right="41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an Option under the Plan to purchase the number of Shares indicated in the Grant Notice.</w:t>
      </w:r>
    </w:p>
    <w:p>
      <w:pPr>
        <w:spacing w:after="0" w:line="170" w:lineRule="exact"/>
        <w:rPr>
          <w:sz w:val="20"/>
          <w:szCs w:val="20"/>
          <w:color w:val="auto"/>
        </w:rPr>
      </w:pPr>
    </w:p>
    <w:p>
      <w:pPr>
        <w:jc w:val="both"/>
        <w:ind w:firstLine="444"/>
        <w:spacing w:after="0" w:line="297" w:lineRule="auto"/>
        <w:tabs>
          <w:tab w:leader="none" w:pos="756"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Grant of Option</w:t>
      </w:r>
      <w:r>
        <w:rPr>
          <w:rFonts w:ascii="Arial" w:cs="Arial" w:eastAsia="Arial" w:hAnsi="Arial"/>
          <w:sz w:val="16"/>
          <w:szCs w:val="16"/>
          <w:color w:val="auto"/>
        </w:rPr>
        <w:t>. In consideration of Participant’s past and/or continued employment with or service to the Company or a parent or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and for other good and valuable consideration, effective as of the Grant Date set forth in the Grant Notice, the Company irrevocably grants to Participant an Option to purchase any part or all of an aggregate of the number of Shares set forth in the Grant Notice at the Exercise Price per Share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158" w:lineRule="exact"/>
        <w:rPr>
          <w:rFonts w:ascii="Arial" w:cs="Arial" w:eastAsia="Arial" w:hAnsi="Arial"/>
          <w:sz w:val="16"/>
          <w:szCs w:val="16"/>
          <w:color w:val="auto"/>
        </w:rPr>
      </w:pPr>
    </w:p>
    <w:p>
      <w:pPr>
        <w:jc w:val="both"/>
        <w:ind w:firstLine="444"/>
        <w:spacing w:after="0" w:line="293" w:lineRule="auto"/>
        <w:tabs>
          <w:tab w:leader="none" w:pos="810" w:val="left"/>
        </w:tabs>
        <w:numPr>
          <w:ilvl w:val="0"/>
          <w:numId w:val="251"/>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The Option shall become vested and exercisable in such amounts and at such times as are set forth in the vesting schedule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except that any Share as to which the Option would be fractionally vested will be accumulated and will vest and become exercisable only when a whole Share has accumulated. The installments provided for in the vesting schedule are cumulative. Unless otherwise determined by the Administrator, any portion of the Option that has not become vested and exercisable on or prior to the date Participant incurs a Termination of Service shall be forfeited on the date of Participant’s Termination of Service and shall not thereafter become vested, except as may be otherwise provided by the Administrator or as set forth in another written agreement between the Company and Participant.</w:t>
      </w:r>
    </w:p>
    <w:p>
      <w:pPr>
        <w:spacing w:after="0" w:line="164" w:lineRule="exact"/>
        <w:rPr>
          <w:rFonts w:ascii="Arial" w:cs="Arial" w:eastAsia="Arial" w:hAnsi="Arial"/>
          <w:sz w:val="16"/>
          <w:szCs w:val="16"/>
          <w:color w:val="auto"/>
        </w:rPr>
      </w:pPr>
    </w:p>
    <w:p>
      <w:pPr>
        <w:ind w:left="760" w:hanging="316"/>
        <w:spacing w:after="0"/>
        <w:tabs>
          <w:tab w:leader="none" w:pos="760" w:val="left"/>
        </w:tabs>
        <w:numPr>
          <w:ilvl w:val="0"/>
          <w:numId w:val="251"/>
        </w:numPr>
        <w:rPr>
          <w:rFonts w:ascii="Arial" w:cs="Arial" w:eastAsia="Arial" w:hAnsi="Arial"/>
          <w:sz w:val="18"/>
          <w:szCs w:val="18"/>
          <w:color w:val="auto"/>
        </w:rPr>
      </w:pPr>
      <w:r>
        <w:rPr>
          <w:rFonts w:ascii="Arial" w:cs="Arial" w:eastAsia="Arial" w:hAnsi="Arial"/>
          <w:sz w:val="18"/>
          <w:szCs w:val="18"/>
          <w:b w:val="1"/>
          <w:bCs w:val="1"/>
          <w:i w:val="1"/>
          <w:iCs w:val="1"/>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5"/>
        <w:spacing w:after="0" w:line="277" w:lineRule="auto"/>
        <w:tabs>
          <w:tab w:leader="none" w:pos="1288" w:val="left"/>
        </w:tabs>
        <w:numPr>
          <w:ilvl w:val="1"/>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Duration of Exercisability. </w:t>
      </w:r>
      <w:r>
        <w:rPr>
          <w:rFonts w:ascii="Arial" w:cs="Arial" w:eastAsia="Arial" w:hAnsi="Arial"/>
          <w:sz w:val="18"/>
          <w:szCs w:val="18"/>
          <w:color w:val="auto"/>
        </w:rPr>
        <w:t>Any vested portion of the Option may be exercised in whole or in part at any time prior to the time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or portion thereof becomes unexercisable under Section 4.</w:t>
      </w:r>
    </w:p>
    <w:p>
      <w:pPr>
        <w:spacing w:after="0" w:line="170" w:lineRule="exact"/>
        <w:rPr>
          <w:rFonts w:ascii="Arial" w:cs="Arial" w:eastAsia="Arial" w:hAnsi="Arial"/>
          <w:sz w:val="18"/>
          <w:szCs w:val="18"/>
          <w:color w:val="auto"/>
        </w:rPr>
      </w:pPr>
    </w:p>
    <w:p>
      <w:pPr>
        <w:jc w:val="both"/>
        <w:ind w:firstLine="885"/>
        <w:spacing w:after="0" w:line="259" w:lineRule="auto"/>
        <w:tabs>
          <w:tab w:leader="none" w:pos="1298" w:val="left"/>
        </w:tabs>
        <w:numPr>
          <w:ilvl w:val="1"/>
          <w:numId w:val="251"/>
        </w:numPr>
        <w:rPr>
          <w:rFonts w:ascii="Arial" w:cs="Arial" w:eastAsia="Arial" w:hAnsi="Arial"/>
          <w:sz w:val="18"/>
          <w:szCs w:val="18"/>
          <w:color w:val="auto"/>
        </w:rPr>
      </w:pPr>
      <w:r>
        <w:rPr>
          <w:rFonts w:ascii="Arial" w:cs="Arial" w:eastAsia="Arial" w:hAnsi="Arial"/>
          <w:sz w:val="18"/>
          <w:szCs w:val="18"/>
          <w:i w:val="1"/>
          <w:iCs w:val="1"/>
          <w:color w:val="auto"/>
        </w:rPr>
        <w:t>Person Eligible to Exercise</w:t>
      </w:r>
      <w:r>
        <w:rPr>
          <w:rFonts w:ascii="Arial" w:cs="Arial" w:eastAsia="Arial" w:hAnsi="Arial"/>
          <w:sz w:val="18"/>
          <w:szCs w:val="18"/>
          <w:color w:val="auto"/>
        </w:rPr>
        <w:t>. During the lifetime of Participant, only Participant may exercise the Option or any portion thereof.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death of Participant, any exercisable portion of the Option may, prior to the time when the Option becomes unexercisable under Section 4, be exercised by Participant’s personal representative or by any person empowered to do so under the deceased Participant’s will or under the then Applicable Laws of descent and distribution.</w:t>
      </w:r>
    </w:p>
    <w:p>
      <w:pPr>
        <w:spacing w:after="0" w:line="186" w:lineRule="exact"/>
        <w:rPr>
          <w:rFonts w:ascii="Arial" w:cs="Arial" w:eastAsia="Arial" w:hAnsi="Arial"/>
          <w:sz w:val="18"/>
          <w:szCs w:val="18"/>
          <w:color w:val="auto"/>
        </w:rPr>
      </w:pPr>
    </w:p>
    <w:p>
      <w:pPr>
        <w:jc w:val="both"/>
        <w:ind w:firstLine="885"/>
        <w:spacing w:after="0" w:line="264" w:lineRule="auto"/>
        <w:tabs>
          <w:tab w:leader="none" w:pos="1356" w:val="left"/>
        </w:tabs>
        <w:numPr>
          <w:ilvl w:val="1"/>
          <w:numId w:val="251"/>
        </w:numPr>
        <w:rPr>
          <w:rFonts w:ascii="Arial" w:cs="Arial" w:eastAsia="Arial" w:hAnsi="Arial"/>
          <w:sz w:val="18"/>
          <w:szCs w:val="18"/>
          <w:color w:val="auto"/>
        </w:rPr>
      </w:pPr>
      <w:r>
        <w:rPr>
          <w:rFonts w:ascii="Arial" w:cs="Arial" w:eastAsia="Arial" w:hAnsi="Arial"/>
          <w:sz w:val="18"/>
          <w:szCs w:val="18"/>
          <w:i w:val="1"/>
          <w:iCs w:val="1"/>
          <w:color w:val="auto"/>
        </w:rPr>
        <w:t>Manner of Exercise</w:t>
      </w:r>
      <w:r>
        <w:rPr>
          <w:rFonts w:ascii="Arial" w:cs="Arial" w:eastAsia="Arial" w:hAnsi="Arial"/>
          <w:sz w:val="18"/>
          <w:szCs w:val="18"/>
          <w:color w:val="auto"/>
        </w:rPr>
        <w:t>. The Option, or any exercisable portion thereof, may be exercised solely by delivery to the Secretary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the Secretary’s office, or such other place as may be determined by the Administrator, of all of the following prior to the time when the Option or such portion thereof becomes unexercisable under Section 4:</w:t>
      </w:r>
    </w:p>
    <w:p>
      <w:pPr>
        <w:spacing w:after="0" w:line="73" w:lineRule="exact"/>
        <w:rPr>
          <w:rFonts w:ascii="Arial" w:cs="Arial" w:eastAsia="Arial" w:hAnsi="Arial"/>
          <w:sz w:val="18"/>
          <w:szCs w:val="18"/>
          <w:color w:val="auto"/>
        </w:rPr>
      </w:pPr>
    </w:p>
    <w:p>
      <w:pPr>
        <w:jc w:val="both"/>
        <w:ind w:left="880" w:firstLine="411"/>
        <w:spacing w:after="0" w:line="259" w:lineRule="auto"/>
        <w:tabs>
          <w:tab w:leader="none" w:pos="1660" w:val="left"/>
        </w:tabs>
        <w:numPr>
          <w:ilvl w:val="2"/>
          <w:numId w:val="251"/>
        </w:numPr>
        <w:rPr>
          <w:rFonts w:ascii="Arial" w:cs="Arial" w:eastAsia="Arial" w:hAnsi="Arial"/>
          <w:sz w:val="18"/>
          <w:szCs w:val="18"/>
          <w:color w:val="auto"/>
        </w:rPr>
      </w:pPr>
      <w:r>
        <w:rPr>
          <w:rFonts w:ascii="Arial" w:cs="Arial" w:eastAsia="Arial" w:hAnsi="Arial"/>
          <w:sz w:val="18"/>
          <w:szCs w:val="18"/>
          <w:color w:val="auto"/>
        </w:rPr>
        <w:t xml:space="preserve">An exercise notice in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Grant Notice (or such other form as is prescribed by the Administrator, which may be an electronic form)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signed by Participant or any other person then entitled to exercise the Option or portion thereof, stating that the Option or portion thereof is thereby exercised, such Exercise Notice complying with all applicable rules established by the Administrator;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69" w:right="439" w:bottom="1440" w:gutter="0" w:footer="0" w:header="0"/>
        </w:sectPr>
      </w:pPr>
    </w:p>
    <w:bookmarkStart w:id="413" w:name="page414"/>
    <w:bookmarkEnd w:id="413"/>
    <w:p>
      <w:pPr>
        <w:ind w:left="1720" w:hanging="429"/>
        <w:spacing w:after="0"/>
        <w:tabs>
          <w:tab w:leader="none" w:pos="17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5(f) of the Plan, full payment for the Shares with respect to which the Option or portion thereof is exercised</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2240" w:hanging="420"/>
        <w:spacing w:after="0"/>
        <w:tabs>
          <w:tab w:leader="none" w:pos="224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check, payable to the order of the Company; or</w:t>
      </w:r>
    </w:p>
    <w:p>
      <w:pPr>
        <w:spacing w:after="0" w:line="117" w:lineRule="exact"/>
        <w:rPr>
          <w:rFonts w:ascii="Arial" w:cs="Arial" w:eastAsia="Arial" w:hAnsi="Arial"/>
          <w:sz w:val="18"/>
          <w:szCs w:val="18"/>
          <w:color w:val="auto"/>
        </w:rPr>
      </w:pPr>
    </w:p>
    <w:p>
      <w:pPr>
        <w:ind w:left="1440" w:firstLine="380"/>
        <w:spacing w:after="0" w:line="277" w:lineRule="auto"/>
        <w:tabs>
          <w:tab w:leader="none" w:pos="2274" w:val="left"/>
        </w:tabs>
        <w:numPr>
          <w:ilvl w:val="2"/>
          <w:numId w:val="253"/>
        </w:numPr>
        <w:rPr>
          <w:rFonts w:ascii="Arial" w:cs="Arial" w:eastAsia="Arial" w:hAnsi="Arial"/>
          <w:sz w:val="18"/>
          <w:szCs w:val="18"/>
          <w:color w:val="auto"/>
        </w:rPr>
      </w:pPr>
      <w:r>
        <w:rPr>
          <w:rFonts w:ascii="Arial" w:cs="Arial" w:eastAsia="Arial" w:hAnsi="Arial"/>
          <w:sz w:val="18"/>
          <w:szCs w:val="18"/>
          <w:color w:val="auto"/>
        </w:rPr>
        <w:t>With the consent of the Administrator, surrendering shares of Common Stock then issuable upon exercise of the Option valued at their Fair Market Value on the date of exercise; or</w:t>
      </w:r>
    </w:p>
    <w:p>
      <w:pPr>
        <w:spacing w:after="0" w:line="62" w:lineRule="exact"/>
        <w:rPr>
          <w:rFonts w:ascii="Arial" w:cs="Arial" w:eastAsia="Arial" w:hAnsi="Arial"/>
          <w:sz w:val="18"/>
          <w:szCs w:val="18"/>
          <w:color w:val="auto"/>
        </w:rPr>
      </w:pPr>
    </w:p>
    <w:p>
      <w:pPr>
        <w:jc w:val="both"/>
        <w:ind w:left="1440" w:firstLine="380"/>
        <w:spacing w:after="0" w:line="297" w:lineRule="auto"/>
        <w:tabs>
          <w:tab w:leader="none" w:pos="2243" w:val="left"/>
        </w:tabs>
        <w:numPr>
          <w:ilvl w:val="2"/>
          <w:numId w:val="253"/>
        </w:numPr>
        <w:rPr>
          <w:rFonts w:ascii="Arial" w:cs="Arial" w:eastAsia="Arial" w:hAnsi="Arial"/>
          <w:sz w:val="16"/>
          <w:szCs w:val="16"/>
          <w:color w:val="auto"/>
        </w:rPr>
      </w:pPr>
      <w:r>
        <w:rPr>
          <w:rFonts w:ascii="Arial" w:cs="Arial" w:eastAsia="Arial" w:hAnsi="Arial"/>
          <w:sz w:val="16"/>
          <w:szCs w:val="16"/>
          <w:color w:val="auto"/>
        </w:rPr>
        <w:t>If the Company is a Publicly Listed Company, unless the Administrator otherwise determines, through the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w:t>
      </w:r>
    </w:p>
    <w:p>
      <w:pPr>
        <w:spacing w:after="0" w:line="50" w:lineRule="exact"/>
        <w:rPr>
          <w:rFonts w:ascii="Arial" w:cs="Arial" w:eastAsia="Arial" w:hAnsi="Arial"/>
          <w:sz w:val="16"/>
          <w:szCs w:val="16"/>
          <w:color w:val="auto"/>
        </w:rPr>
      </w:pPr>
    </w:p>
    <w:p>
      <w:pPr>
        <w:ind w:left="2240" w:hanging="420"/>
        <w:spacing w:after="0"/>
        <w:tabs>
          <w:tab w:leader="none" w:pos="224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With the consent of the Administrator, any other form of payment permitted under Section 5(f) of the Plan; or</w:t>
      </w:r>
    </w:p>
    <w:p>
      <w:pPr>
        <w:spacing w:after="0" w:line="117" w:lineRule="exact"/>
        <w:rPr>
          <w:rFonts w:ascii="Arial" w:cs="Arial" w:eastAsia="Arial" w:hAnsi="Arial"/>
          <w:sz w:val="18"/>
          <w:szCs w:val="18"/>
          <w:color w:val="auto"/>
        </w:rPr>
      </w:pPr>
    </w:p>
    <w:p>
      <w:pPr>
        <w:ind w:left="2220" w:hanging="400"/>
        <w:spacing w:after="0"/>
        <w:tabs>
          <w:tab w:leader="none" w:pos="222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Any combination of the above permitted forms of payment; and</w:t>
      </w:r>
    </w:p>
    <w:p>
      <w:pPr>
        <w:spacing w:after="0" w:line="225" w:lineRule="exact"/>
        <w:rPr>
          <w:rFonts w:ascii="Arial" w:cs="Arial" w:eastAsia="Arial" w:hAnsi="Arial"/>
          <w:sz w:val="18"/>
          <w:szCs w:val="18"/>
          <w:color w:val="auto"/>
        </w:rPr>
      </w:pPr>
    </w:p>
    <w:p>
      <w:pPr>
        <w:jc w:val="both"/>
        <w:ind w:left="880" w:firstLine="411"/>
        <w:spacing w:after="0" w:line="264" w:lineRule="auto"/>
        <w:tabs>
          <w:tab w:leader="none" w:pos="177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Subject to Section 9(e) of the Plan, full payment for any applicable withholding taxes in cash, by wire transfer of immediately available funds or by check or in any form of consideration permitted by the Administrator for the payment of the exercise price pursuant to Section 3(c)(ii) above or pursuant to Section 3(d) below; and</w:t>
      </w:r>
    </w:p>
    <w:p>
      <w:pPr>
        <w:spacing w:after="0" w:line="181" w:lineRule="exact"/>
        <w:rPr>
          <w:rFonts w:ascii="Arial" w:cs="Arial" w:eastAsia="Arial" w:hAnsi="Arial"/>
          <w:sz w:val="18"/>
          <w:szCs w:val="18"/>
          <w:color w:val="auto"/>
        </w:rPr>
      </w:pPr>
    </w:p>
    <w:p>
      <w:pPr>
        <w:ind w:left="880" w:firstLine="411"/>
        <w:spacing w:after="0" w:line="277" w:lineRule="auto"/>
        <w:tabs>
          <w:tab w:leader="none" w:pos="18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3(b) by any person or persons other than Participant, appropriate proof of the right of such person or persons to exercise the Option.</w:t>
      </w:r>
    </w:p>
    <w:p>
      <w:pPr>
        <w:spacing w:after="0" w:line="170" w:lineRule="exact"/>
        <w:rPr>
          <w:rFonts w:ascii="Arial" w:cs="Arial" w:eastAsia="Arial" w:hAnsi="Arial"/>
          <w:sz w:val="18"/>
          <w:szCs w:val="18"/>
          <w:color w:val="auto"/>
        </w:rPr>
      </w:pPr>
    </w:p>
    <w:p>
      <w:pPr>
        <w:jc w:val="both"/>
        <w:ind w:firstLine="885"/>
        <w:spacing w:after="0" w:line="279" w:lineRule="auto"/>
        <w:tabs>
          <w:tab w:leader="none" w:pos="1339"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Company shall have the authority and the right to deduct or withhold, or require Participant to remit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 amount sufficient to satisfy federal, state, local and foreign taxes (including Participant’s employment tax obligation) required by Applicable Law to be withheld with respect to any taxable event concerning Participant arising as a result of the Option or otherwise under this Agreement, including, without limitation, the authority to deduct such amounts from other compensation payable to Participant by the Company.</w:t>
      </w:r>
    </w:p>
    <w:p>
      <w:pPr>
        <w:spacing w:after="0" w:line="171" w:lineRule="exact"/>
        <w:rPr>
          <w:rFonts w:ascii="Arial" w:cs="Arial" w:eastAsia="Arial" w:hAnsi="Arial"/>
          <w:sz w:val="17"/>
          <w:szCs w:val="17"/>
          <w:color w:val="auto"/>
        </w:rPr>
      </w:pPr>
    </w:p>
    <w:p>
      <w:pPr>
        <w:ind w:firstLine="885"/>
        <w:spacing w:after="0" w:line="277" w:lineRule="auto"/>
        <w:tabs>
          <w:tab w:leader="none" w:pos="1329"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The Option may only be exercised for whole shares of Common Stock. Any fractional Shares shall be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down to the nearest whole share.</w:t>
      </w:r>
    </w:p>
    <w:p>
      <w:pPr>
        <w:spacing w:after="0" w:line="170" w:lineRule="exact"/>
        <w:rPr>
          <w:rFonts w:ascii="Arial" w:cs="Arial" w:eastAsia="Arial" w:hAnsi="Arial"/>
          <w:sz w:val="18"/>
          <w:szCs w:val="18"/>
          <w:color w:val="auto"/>
        </w:rPr>
      </w:pPr>
    </w:p>
    <w:p>
      <w:pPr>
        <w:jc w:val="both"/>
        <w:ind w:firstLine="885"/>
        <w:spacing w:after="0" w:line="257" w:lineRule="auto"/>
        <w:tabs>
          <w:tab w:leader="none" w:pos="1255"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Special Tax Consequences</w:t>
      </w:r>
      <w:r>
        <w:rPr>
          <w:rFonts w:ascii="Arial" w:cs="Arial" w:eastAsia="Arial" w:hAnsi="Arial"/>
          <w:sz w:val="18"/>
          <w:szCs w:val="18"/>
          <w:color w:val="auto"/>
        </w:rPr>
        <w:t>. If the Option is intended to be an Incentive Stock Option, Participant acknowledges that,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fair market value (determined as of the time the Option is granted) of all Shares with respect to which Incentive Stock Options, including, without limitation, the Option, are first exercisable for the first time by Participant in any calendar year exceeds $100,000 (or such other limitation as imposed by Section 422(d) of the Code), the Option and such other options (or the applicable portion thereof) shall be treated as not qualifying under Section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3" w:right="439" w:bottom="1440" w:gutter="0" w:footer="0" w:header="0"/>
        </w:sectPr>
      </w:pPr>
    </w:p>
    <w:bookmarkStart w:id="414" w:name="page415"/>
    <w:bookmarkEnd w:id="41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422 of the Code but rather shall be considered Non-Qualified Stock Options. Participant further acknowledges that the rule set forth in the preceding sentence shall be applied by taking Options and other “incentive stock options” into account in the order in which they were granted.</w:t>
      </w:r>
    </w:p>
    <w:p>
      <w:pPr>
        <w:spacing w:after="0" w:line="147" w:lineRule="exact"/>
        <w:rPr>
          <w:sz w:val="20"/>
          <w:szCs w:val="20"/>
          <w:color w:val="auto"/>
        </w:rPr>
      </w:pPr>
    </w:p>
    <w:p>
      <w:pPr>
        <w:ind w:left="760" w:hanging="316"/>
        <w:spacing w:after="0"/>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firstLine="885"/>
        <w:spacing w:after="0" w:line="277" w:lineRule="auto"/>
        <w:tabs>
          <w:tab w:leader="none" w:pos="130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or Disability or Participant’s discharge by the Company for Cause;</w:t>
      </w:r>
    </w:p>
    <w:p>
      <w:pPr>
        <w:spacing w:after="0" w:line="170" w:lineRule="exact"/>
        <w:rPr>
          <w:rFonts w:ascii="Arial" w:cs="Arial" w:eastAsia="Arial" w:hAnsi="Arial"/>
          <w:sz w:val="18"/>
          <w:szCs w:val="18"/>
          <w:color w:val="auto"/>
        </w:rPr>
      </w:pPr>
    </w:p>
    <w:p>
      <w:pPr>
        <w:ind w:left="1260" w:hanging="375"/>
        <w:spacing w:after="0"/>
        <w:tabs>
          <w:tab w:leader="none" w:pos="12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expiration of one year following the date of Participant’s Termination of Service by reason of Participant’s death or Disability;</w:t>
      </w:r>
    </w:p>
    <w:p>
      <w:pPr>
        <w:spacing w:after="0" w:line="236" w:lineRule="exact"/>
        <w:rPr>
          <w:rFonts w:ascii="Arial" w:cs="Arial" w:eastAsia="Arial" w:hAnsi="Arial"/>
          <w:sz w:val="17"/>
          <w:szCs w:val="17"/>
          <w:color w:val="auto"/>
        </w:rPr>
      </w:pPr>
    </w:p>
    <w:p>
      <w:pPr>
        <w:ind w:left="1280" w:hanging="395"/>
        <w:spacing w:after="0"/>
        <w:tabs>
          <w:tab w:leader="none" w:pos="12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date of Participant’s Termination of Service as a result of Participant’s discharge by the Company for Cause; or</w:t>
      </w:r>
    </w:p>
    <w:p>
      <w:pPr>
        <w:spacing w:after="0" w:line="225" w:lineRule="exact"/>
        <w:rPr>
          <w:rFonts w:ascii="Arial" w:cs="Arial" w:eastAsia="Arial" w:hAnsi="Arial"/>
          <w:sz w:val="18"/>
          <w:szCs w:val="18"/>
          <w:color w:val="auto"/>
        </w:rPr>
      </w:pPr>
    </w:p>
    <w:p>
      <w:pPr>
        <w:ind w:firstLine="885"/>
        <w:spacing w:after="0" w:line="342" w:lineRule="auto"/>
        <w:tabs>
          <w:tab w:leader="none" w:pos="129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With respect to any unvested portion of the Option, the date that is thirty days following Participant’s Termination of Service for any reason other than as a result of Participant’s discharge by the Company for Cause, or such shorter period as may be determined by the Administrator.</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jc w:val="both"/>
        <w:ind w:firstLine="444"/>
        <w:spacing w:after="0" w:line="264" w:lineRule="auto"/>
        <w:tabs>
          <w:tab w:leader="none" w:pos="769" w:val="left"/>
        </w:tabs>
        <w:numPr>
          <w:ilvl w:val="0"/>
          <w:numId w:val="257"/>
        </w:numPr>
        <w:rPr>
          <w:rFonts w:ascii="Arial" w:cs="Arial" w:eastAsia="Arial" w:hAnsi="Arial"/>
          <w:sz w:val="18"/>
          <w:szCs w:val="18"/>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The Option shall not be sold, assigned, transferred, pledged or otherwise encumbered by Participant, either voluntarily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 of law, except by will or the laws of descent and distribution, and, during the life of the Participant, the Option shall be exercisable only by the Participant.</w:t>
      </w:r>
    </w:p>
    <w:p>
      <w:pPr>
        <w:spacing w:after="0" w:line="181" w:lineRule="exact"/>
        <w:rPr>
          <w:rFonts w:ascii="Arial" w:cs="Arial" w:eastAsia="Arial" w:hAnsi="Arial"/>
          <w:sz w:val="18"/>
          <w:szCs w:val="18"/>
          <w:color w:val="auto"/>
        </w:rPr>
      </w:pPr>
    </w:p>
    <w:p>
      <w:pPr>
        <w:ind w:left="760" w:hanging="316"/>
        <w:spacing w:after="0"/>
        <w:tabs>
          <w:tab w:leader="none" w:pos="760" w:val="left"/>
        </w:tabs>
        <w:numPr>
          <w:ilvl w:val="0"/>
          <w:numId w:val="257"/>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5"/>
        <w:spacing w:after="0" w:line="342" w:lineRule="auto"/>
        <w:tabs>
          <w:tab w:leader="none" w:pos="1315"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Legends</w:t>
      </w:r>
      <w:r>
        <w:rPr>
          <w:rFonts w:ascii="Arial" w:cs="Arial" w:eastAsia="Arial" w:hAnsi="Arial"/>
          <w:sz w:val="16"/>
          <w:szCs w:val="16"/>
          <w:color w:val="auto"/>
        </w:rPr>
        <w:t>. Participant understands and agrees that the Company shall cause any certificates issued evidencing the Shares to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legends set forth below or legends substantially equivalent thereto, together with any other legends that may be required by Applicable Laws:</w:t>
      </w:r>
    </w:p>
    <w:p>
      <w:pPr>
        <w:spacing w:after="0" w:line="16" w:lineRule="exact"/>
        <w:rPr>
          <w:sz w:val="20"/>
          <w:szCs w:val="20"/>
          <w:color w:val="auto"/>
        </w:rPr>
      </w:pPr>
    </w:p>
    <w:p>
      <w:pPr>
        <w:jc w:val="both"/>
        <w:ind w:left="880" w:right="880"/>
        <w:spacing w:after="0" w:line="255"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415" w:name="page416"/>
    <w:bookmarkEnd w:id="415"/>
    <w:p>
      <w:pPr>
        <w:jc w:val="both"/>
        <w:ind w:left="880" w:right="8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REPRESENTED BY THIS CERTIFICATE MAY BE TRANSFERRED ONLY IN ACCORDANCE WITH THE TERMS OF AN AGREEMENT BETWEEN THE COMPANY AND THE STOCKHOLDER, A COPY OF WHICH IS ON FILE WITH THE SECRETARY OF THE COMPANY. SUCH TRANSFER RESTRICTIONS ARE BINDING ON TRANSFEREES OF THESE SHARES.</w:t>
      </w:r>
    </w:p>
    <w:p>
      <w:pPr>
        <w:spacing w:after="0" w:line="187" w:lineRule="exact"/>
        <w:rPr>
          <w:sz w:val="20"/>
          <w:szCs w:val="20"/>
          <w:color w:val="auto"/>
        </w:rPr>
      </w:pPr>
    </w:p>
    <w:p>
      <w:pPr>
        <w:jc w:val="both"/>
        <w:ind w:firstLine="885"/>
        <w:spacing w:after="0" w:line="264" w:lineRule="auto"/>
        <w:tabs>
          <w:tab w:leader="none" w:pos="1366" w:val="left"/>
        </w:tabs>
        <w:numPr>
          <w:ilvl w:val="1"/>
          <w:numId w:val="258"/>
        </w:numPr>
        <w:rPr>
          <w:rFonts w:ascii="Arial" w:cs="Arial" w:eastAsia="Arial" w:hAnsi="Arial"/>
          <w:sz w:val="18"/>
          <w:szCs w:val="18"/>
          <w:color w:val="auto"/>
        </w:rPr>
      </w:pPr>
      <w:r>
        <w:rPr>
          <w:rFonts w:ascii="Arial" w:cs="Arial" w:eastAsia="Arial" w:hAnsi="Arial"/>
          <w:sz w:val="18"/>
          <w:szCs w:val="18"/>
          <w:i w:val="1"/>
          <w:iCs w:val="1"/>
          <w:color w:val="auto"/>
        </w:rPr>
        <w:t>Stop Transfer Orders</w:t>
      </w:r>
      <w:r>
        <w:rPr>
          <w:rFonts w:ascii="Arial" w:cs="Arial" w:eastAsia="Arial" w:hAnsi="Arial"/>
          <w:sz w:val="18"/>
          <w:szCs w:val="18"/>
          <w:color w:val="auto"/>
        </w:rPr>
        <w:t>. Participant agrees that, in order to ensure compliance with the restrictions referred to in the Plan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jc w:val="both"/>
        <w:ind w:firstLine="885"/>
        <w:spacing w:after="0" w:line="259" w:lineRule="auto"/>
        <w:tabs>
          <w:tab w:leader="none" w:pos="1356" w:val="left"/>
        </w:tabs>
        <w:numPr>
          <w:ilvl w:val="1"/>
          <w:numId w:val="258"/>
        </w:numPr>
        <w:rPr>
          <w:rFonts w:ascii="Arial" w:cs="Arial" w:eastAsia="Arial" w:hAnsi="Arial"/>
          <w:sz w:val="18"/>
          <w:szCs w:val="18"/>
          <w:color w:val="auto"/>
        </w:rPr>
      </w:pPr>
      <w:r>
        <w:rPr>
          <w:rFonts w:ascii="Arial" w:cs="Arial" w:eastAsia="Arial" w:hAnsi="Arial"/>
          <w:sz w:val="18"/>
          <w:szCs w:val="18"/>
          <w:i w:val="1"/>
          <w:iCs w:val="1"/>
          <w:color w:val="auto"/>
        </w:rPr>
        <w:t>Impermissible Transfers Void</w:t>
      </w:r>
      <w:r>
        <w:rPr>
          <w:rFonts w:ascii="Arial" w:cs="Arial" w:eastAsia="Arial" w:hAnsi="Arial"/>
          <w:sz w:val="18"/>
          <w:szCs w:val="18"/>
          <w:color w:val="auto"/>
        </w:rPr>
        <w:t>. The Company shall not be required (i) to transfer on its books any Shares that have been sold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violation of any of the provisions of this Agreement or (ii) to treat as owner of such Shares or to accord the right to vote or pay dividends to any purchaser or other transferee to whom such Shares shall have been so transferred. Any transfer or attempted transfer of the Option or any of the Restricted Shares not in accordance with the terms of this Agreement shall be void.</w:t>
      </w:r>
    </w:p>
    <w:p>
      <w:pPr>
        <w:spacing w:after="0" w:line="186" w:lineRule="exact"/>
        <w:rPr>
          <w:rFonts w:ascii="Arial" w:cs="Arial" w:eastAsia="Arial" w:hAnsi="Arial"/>
          <w:sz w:val="18"/>
          <w:szCs w:val="18"/>
          <w:color w:val="auto"/>
        </w:rPr>
      </w:pPr>
    </w:p>
    <w:p>
      <w:pPr>
        <w:jc w:val="both"/>
        <w:ind w:firstLine="444"/>
        <w:spacing w:after="0" w:line="276" w:lineRule="auto"/>
        <w:tabs>
          <w:tab w:leader="none" w:pos="769" w:val="left"/>
        </w:tabs>
        <w:numPr>
          <w:ilvl w:val="0"/>
          <w:numId w:val="259"/>
        </w:numPr>
        <w:rPr>
          <w:rFonts w:ascii="Arial" w:cs="Arial" w:eastAsia="Arial" w:hAnsi="Arial"/>
          <w:sz w:val="17"/>
          <w:szCs w:val="17"/>
          <w:color w:val="auto"/>
        </w:rPr>
      </w:pPr>
      <w:r>
        <w:rPr>
          <w:rFonts w:ascii="Arial" w:cs="Arial" w:eastAsia="Arial" w:hAnsi="Arial"/>
          <w:sz w:val="17"/>
          <w:szCs w:val="17"/>
          <w:b w:val="1"/>
          <w:bCs w:val="1"/>
          <w:i w:val="1"/>
          <w:iCs w:val="1"/>
          <w:color w:val="auto"/>
        </w:rPr>
        <w:t>Taxes</w:t>
      </w:r>
      <w:r>
        <w:rPr>
          <w:rFonts w:ascii="Arial" w:cs="Arial" w:eastAsia="Arial" w:hAnsi="Arial"/>
          <w:sz w:val="17"/>
          <w:szCs w:val="17"/>
          <w:color w:val="auto"/>
        </w:rPr>
        <w:t>. Participant understands that Participant may suffer adverse tax consequences as a result of Participant’s purchase or disposition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the transactions contemplated by this Agreement.</w:t>
      </w:r>
    </w:p>
    <w:p>
      <w:pPr>
        <w:spacing w:after="0" w:line="172" w:lineRule="exact"/>
        <w:rPr>
          <w:rFonts w:ascii="Arial" w:cs="Arial" w:eastAsia="Arial" w:hAnsi="Arial"/>
          <w:sz w:val="17"/>
          <w:szCs w:val="17"/>
          <w:color w:val="auto"/>
        </w:rPr>
      </w:pPr>
    </w:p>
    <w:p>
      <w:pPr>
        <w:ind w:left="760" w:hanging="316"/>
        <w:spacing w:after="0"/>
        <w:tabs>
          <w:tab w:leader="none" w:pos="760" w:val="left"/>
        </w:tabs>
        <w:numPr>
          <w:ilvl w:val="0"/>
          <w:numId w:val="259"/>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275" w:val="left"/>
        </w:tabs>
        <w:numPr>
          <w:ilvl w:val="1"/>
          <w:numId w:val="259"/>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this Agreement.</w:t>
      </w:r>
    </w:p>
    <w:p>
      <w:pPr>
        <w:spacing w:after="0" w:line="186" w:lineRule="exact"/>
        <w:rPr>
          <w:rFonts w:ascii="Arial" w:cs="Arial" w:eastAsia="Arial" w:hAnsi="Arial"/>
          <w:sz w:val="18"/>
          <w:szCs w:val="18"/>
          <w:color w:val="auto"/>
        </w:rPr>
      </w:pPr>
    </w:p>
    <w:p>
      <w:pPr>
        <w:jc w:val="both"/>
        <w:ind w:firstLine="885"/>
        <w:spacing w:after="0" w:line="272" w:lineRule="auto"/>
        <w:tabs>
          <w:tab w:leader="none" w:pos="1298" w:val="left"/>
        </w:tabs>
        <w:numPr>
          <w:ilvl w:val="1"/>
          <w:numId w:val="259"/>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Any notice to be given under the terms of this Agreement to the Company shall be addressed to the Company in care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the Company at the Company’s principal executive offices, and any notice to be given to Participant shall be addressed to Participant at the most-recent physical or email address for Participant listed in the Company’s personnel records. By a notice given pursuant to this Section 8(b),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8(b).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7" w:lineRule="exact"/>
        <w:rPr>
          <w:rFonts w:ascii="Arial" w:cs="Arial" w:eastAsia="Arial" w:hAnsi="Arial"/>
          <w:sz w:val="17"/>
          <w:szCs w:val="17"/>
          <w:color w:val="auto"/>
        </w:rPr>
      </w:pPr>
    </w:p>
    <w:p>
      <w:pPr>
        <w:ind w:firstLine="885"/>
        <w:spacing w:after="0" w:line="342" w:lineRule="auto"/>
        <w:tabs>
          <w:tab w:leader="none" w:pos="1261" w:val="left"/>
        </w:tabs>
        <w:numPr>
          <w:ilvl w:val="1"/>
          <w:numId w:val="259"/>
        </w:numPr>
        <w:rPr>
          <w:rFonts w:ascii="Arial" w:cs="Arial" w:eastAsia="Arial" w:hAnsi="Arial"/>
          <w:sz w:val="16"/>
          <w:szCs w:val="16"/>
          <w:color w:val="auto"/>
        </w:rPr>
      </w:pPr>
      <w:r>
        <w:rPr>
          <w:rFonts w:ascii="Arial" w:cs="Arial" w:eastAsia="Arial" w:hAnsi="Arial"/>
          <w:sz w:val="16"/>
          <w:szCs w:val="16"/>
          <w:i w:val="1"/>
          <w:iCs w:val="1"/>
          <w:color w:val="auto"/>
        </w:rPr>
        <w:t>Successors and Assigns</w:t>
      </w:r>
      <w:r>
        <w:rPr>
          <w:rFonts w:ascii="Arial" w:cs="Arial" w:eastAsia="Arial" w:hAnsi="Arial"/>
          <w:sz w:val="16"/>
          <w:szCs w:val="16"/>
          <w:color w:val="auto"/>
        </w:rPr>
        <w:t>. The Company may assign any of its rights under this Agreement and the Exercise Notice to single or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assignees, and this Agreement shall inure to the benefit of the successors and assigns of the Company. Subject to the restrictions on transfer herein set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 this Agreement shall be binding upon Participant and his or her heirs, executors, administrators, successors and assigns.</w:t>
      </w:r>
    </w:p>
    <w:p>
      <w:pPr>
        <w:spacing w:after="0" w:line="225" w:lineRule="exact"/>
        <w:rPr>
          <w:sz w:val="20"/>
          <w:szCs w:val="20"/>
          <w:color w:val="auto"/>
        </w:rPr>
      </w:pPr>
    </w:p>
    <w:p>
      <w:pPr>
        <w:jc w:val="both"/>
        <w:ind w:firstLine="885"/>
        <w:spacing w:after="0" w:line="312" w:lineRule="auto"/>
        <w:tabs>
          <w:tab w:leader="none" w:pos="1285"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any portion of the Plan or this Agreement or any action taken pursuant thereto shall be held illegal or invalid</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reason, the illegality or invalidity shall not affect the remaining parts of the Plan and this Agreement, and the Plan and this Agreement shall be construed and enforced as if the illegal or invalid provisions had not been included, and the illegal or invalid action shall be null and void.</w:t>
      </w:r>
    </w:p>
    <w:p>
      <w:pPr>
        <w:spacing w:after="0" w:line="146" w:lineRule="exact"/>
        <w:rPr>
          <w:rFonts w:ascii="Arial" w:cs="Arial" w:eastAsia="Arial" w:hAnsi="Arial"/>
          <w:sz w:val="16"/>
          <w:szCs w:val="16"/>
          <w:color w:val="auto"/>
        </w:rPr>
      </w:pPr>
    </w:p>
    <w:p>
      <w:pPr>
        <w:jc w:val="both"/>
        <w:ind w:firstLine="885"/>
        <w:spacing w:after="0" w:line="290" w:lineRule="auto"/>
        <w:tabs>
          <w:tab w:leader="none" w:pos="1261"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Entire Agreement; Governing Documents</w:t>
      </w:r>
      <w:r>
        <w:rPr>
          <w:rFonts w:ascii="Arial" w:cs="Arial" w:eastAsia="Arial" w:hAnsi="Arial"/>
          <w:sz w:val="16"/>
          <w:szCs w:val="16"/>
          <w:color w:val="auto"/>
        </w:rPr>
        <w:t>. The Plan, the Grant Notice and this Agreement (including all Exhibits thereto) constitute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agreement of the parties and supersede in their entirety all prior undertakings and agreements of the Company and Participant with respect to the subject matter hereof. In the event of any contradiction between the Plan and this Agreement or any other written agreement between a Participant and the Company that has been approved by the Administrator, the terms of the Plan shall govern.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166" w:lineRule="exact"/>
        <w:rPr>
          <w:rFonts w:ascii="Arial" w:cs="Arial" w:eastAsia="Arial" w:hAnsi="Arial"/>
          <w:sz w:val="16"/>
          <w:szCs w:val="16"/>
          <w:color w:val="auto"/>
        </w:rPr>
      </w:pPr>
    </w:p>
    <w:p>
      <w:pPr>
        <w:jc w:val="both"/>
        <w:ind w:firstLine="885"/>
        <w:spacing w:after="0" w:line="264" w:lineRule="auto"/>
        <w:tabs>
          <w:tab w:leader="none" w:pos="1241"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and all Awards made thereunder, including the Option, shall be governed by and interpreted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laws of the State of Delaware, disregarding choice-of-law principles of the law of any state that would require the application of the laws of a jurisdiction other than such state.</w:t>
      </w:r>
    </w:p>
    <w:p>
      <w:pPr>
        <w:spacing w:after="0" w:line="181" w:lineRule="exact"/>
        <w:rPr>
          <w:rFonts w:ascii="Arial" w:cs="Arial" w:eastAsia="Arial" w:hAnsi="Arial"/>
          <w:sz w:val="18"/>
          <w:szCs w:val="18"/>
          <w:color w:val="auto"/>
        </w:rPr>
      </w:pPr>
    </w:p>
    <w:p>
      <w:pPr>
        <w:ind w:firstLine="885"/>
        <w:spacing w:after="0" w:line="277" w:lineRule="auto"/>
        <w:tabs>
          <w:tab w:leader="none" w:pos="1285"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this Agreement are for convenience of reference only and,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conflict, the text of this Agreement, rather than such titles or headings, shall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4" w:right="439" w:bottom="1440" w:gutter="0" w:footer="0" w:header="0"/>
        </w:sectPr>
      </w:pPr>
    </w:p>
    <w:bookmarkStart w:id="417" w:name="page418"/>
    <w:bookmarkEnd w:id="417"/>
    <w:tbl>
      <w:tblPr>
        <w:tblLayout w:type="fixed"/>
        <w:tblInd w:w="4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540" w:type="dxa"/>
            <w:vAlign w:val="bottom"/>
          </w:tcPr>
          <w:p>
            <w:pPr>
              <w:jc w:val="center"/>
              <w:ind w:right="2710"/>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40" w:type="dxa"/>
            <w:vAlign w:val="bottom"/>
          </w:tcPr>
          <w:p>
            <w:pPr>
              <w:jc w:val="center"/>
              <w:ind w:right="2710"/>
              <w:spacing w:after="0"/>
              <w:rPr>
                <w:sz w:val="20"/>
                <w:szCs w:val="20"/>
                <w:color w:val="auto"/>
              </w:rPr>
            </w:pPr>
            <w:r>
              <w:rPr>
                <w:rFonts w:ascii="Arial" w:cs="Arial" w:eastAsia="Arial" w:hAnsi="Arial"/>
                <w:sz w:val="18"/>
                <w:szCs w:val="18"/>
                <w:b w:val="1"/>
                <w:bCs w:val="1"/>
                <w:color w:val="auto"/>
              </w:rPr>
              <w:t>TO STOCK OPTION GRANT NOTICE</w:t>
            </w:r>
          </w:p>
        </w:tc>
      </w:tr>
      <w:tr>
        <w:trPr>
          <w:trHeight w:val="432"/>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40" w:type="dxa"/>
            <w:vAlign w:val="bottom"/>
          </w:tcPr>
          <w:p>
            <w:pPr>
              <w:jc w:val="center"/>
              <w:ind w:right="2690"/>
              <w:spacing w:after="0"/>
              <w:rPr>
                <w:sz w:val="20"/>
                <w:szCs w:val="20"/>
                <w:color w:val="auto"/>
              </w:rPr>
            </w:pPr>
            <w:r>
              <w:rPr>
                <w:rFonts w:ascii="Arial" w:cs="Arial" w:eastAsia="Arial" w:hAnsi="Arial"/>
                <w:sz w:val="18"/>
                <w:szCs w:val="18"/>
                <w:b w:val="1"/>
                <w:bCs w:val="1"/>
                <w:color w:val="auto"/>
              </w:rPr>
              <w:t>FORM OF EXERCISE NOTICE</w:t>
            </w:r>
          </w:p>
        </w:tc>
      </w:tr>
      <w:tr>
        <w:trPr>
          <w:trHeight w:val="284"/>
        </w:trPr>
        <w:tc>
          <w:tcPr>
            <w:tcW w:w="1580" w:type="dxa"/>
            <w:vAlign w:val="bottom"/>
          </w:tcPr>
          <w:p>
            <w:pPr>
              <w:spacing w:after="0"/>
              <w:rPr>
                <w:sz w:val="20"/>
                <w:szCs w:val="20"/>
                <w:color w:val="auto"/>
              </w:rPr>
            </w:pPr>
            <w:r>
              <w:rPr>
                <w:rFonts w:ascii="Arial" w:cs="Arial" w:eastAsia="Arial" w:hAnsi="Arial"/>
                <w:sz w:val="18"/>
                <w:szCs w:val="18"/>
                <w:color w:val="auto"/>
                <w:w w:val="93"/>
              </w:rPr>
              <w:t>Effective as of today,</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320" w:type="dxa"/>
            <w:vAlign w:val="bottom"/>
            <w:gridSpan w:val="2"/>
          </w:tcPr>
          <w:p>
            <w:pPr>
              <w:ind w:left="780"/>
              <w:spacing w:after="0"/>
              <w:rPr>
                <w:sz w:val="20"/>
                <w:szCs w:val="20"/>
                <w:color w:val="auto"/>
              </w:rPr>
            </w:pPr>
            <w:r>
              <w:rPr>
                <w:rFonts w:ascii="Arial" w:cs="Arial" w:eastAsia="Arial" w:hAnsi="Arial"/>
                <w:sz w:val="18"/>
                <w:szCs w:val="18"/>
                <w:color w:val="auto"/>
                <w:w w:val="90"/>
              </w:rPr>
              <w:t xml:space="preserve">, the undersigned </w:t>
            </w:r>
            <w:r>
              <w:rPr>
                <w:rFonts w:ascii="Arial" w:cs="Arial" w:eastAsia="Arial" w:hAnsi="Arial"/>
                <w:sz w:val="18"/>
                <w:szCs w:val="18"/>
                <w:i w:val="1"/>
                <w:iCs w:val="1"/>
                <w:color w:val="auto"/>
                <w:w w:val="90"/>
              </w:rPr>
              <w:t>(</w:t>
            </w: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Participant</w:t>
            </w:r>
            <w:r>
              <w:rPr>
                <w:rFonts w:ascii="Arial" w:cs="Arial" w:eastAsia="Arial" w:hAnsi="Arial"/>
                <w:sz w:val="18"/>
                <w:szCs w:val="18"/>
                <w:color w:val="auto"/>
                <w:w w:val="90"/>
              </w:rPr>
              <w:t>”) hereby elects to exercise Participant’s option to purchase</w:t>
            </w:r>
          </w:p>
        </w:tc>
      </w:tr>
      <w:tr>
        <w:trPr>
          <w:trHeight w:val="20"/>
        </w:trPr>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-8255</wp:posOffset>
            </wp:positionV>
            <wp:extent cx="5003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0038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Shares of Gossamer 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under and pursuant to the Gossamer Bio, Inc. 2017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Stock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20"/>
                <w:szCs w:val="20"/>
                <w:color w:val="auto"/>
              </w:rPr>
            </w:pPr>
            <w:r>
              <w:rPr>
                <w:rFonts w:ascii="Arial" w:cs="Arial" w:eastAsia="Arial" w:hAnsi="Arial"/>
                <w:sz w:val="18"/>
                <w:szCs w:val="18"/>
                <w:color w:val="auto"/>
                <w:w w:val="92"/>
              </w:rPr>
              <w:t>Option Grant Notice and Stock Option Agreement dated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20" w:type="dxa"/>
            <w:vAlign w:val="bottom"/>
            <w:gridSpan w:val="4"/>
          </w:tcPr>
          <w:p>
            <w:pPr>
              <w:ind w:left="120"/>
              <w:spacing w:after="0"/>
              <w:rPr>
                <w:sz w:val="20"/>
                <w:szCs w:val="20"/>
                <w:color w:val="auto"/>
              </w:rPr>
            </w:pPr>
            <w:r>
              <w:rPr>
                <w:rFonts w:ascii="Arial" w:cs="Arial" w:eastAsia="Arial" w:hAnsi="Arial"/>
                <w:sz w:val="18"/>
                <w:szCs w:val="18"/>
                <w:color w:val="auto"/>
                <w:w w:val="91"/>
              </w:rPr>
              <w:t>, ____ (the “</w:t>
            </w:r>
            <w:r>
              <w:rPr>
                <w:rFonts w:ascii="Arial" w:cs="Arial" w:eastAsia="Arial" w:hAnsi="Arial"/>
                <w:sz w:val="18"/>
                <w:szCs w:val="18"/>
                <w:b w:val="1"/>
                <w:bCs w:val="1"/>
                <w:i w:val="1"/>
                <w:iCs w:val="1"/>
                <w:color w:val="auto"/>
                <w:w w:val="91"/>
              </w:rPr>
              <w:t>Agreement</w:t>
            </w:r>
            <w:r>
              <w:rPr>
                <w:rFonts w:ascii="Arial" w:cs="Arial" w:eastAsia="Arial" w:hAnsi="Arial"/>
                <w:sz w:val="18"/>
                <w:szCs w:val="18"/>
                <w:color w:val="auto"/>
                <w:w w:val="91"/>
              </w:rPr>
              <w:t>”). Capitalized terms used herein without definition shall have</w:t>
            </w: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the meanings given in the Agreement.</w:t>
            </w: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9"/>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Number of Shares as to which Option is Exercised: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Exercise Price per Share:</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Total Exercise Price:</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Certificate to be issued in name of:</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9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Cash Payment delivered herewith:</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620" w:type="dxa"/>
            <w:vAlign w:val="bottom"/>
            <w:gridSpan w:val="2"/>
          </w:tcPr>
          <w:p>
            <w:pPr>
              <w:ind w:left="40"/>
              <w:spacing w:after="0"/>
              <w:rPr>
                <w:sz w:val="20"/>
                <w:szCs w:val="20"/>
                <w:color w:val="auto"/>
              </w:rPr>
            </w:pPr>
            <w:r>
              <w:rPr>
                <w:rFonts w:ascii="Arial" w:cs="Arial" w:eastAsia="Arial" w:hAnsi="Arial"/>
                <w:sz w:val="18"/>
                <w:szCs w:val="18"/>
                <w:color w:val="auto"/>
                <w:w w:val="91"/>
              </w:rPr>
              <w:t>(Representing the full Exercise Price for the Shares, as well as</w:t>
            </w:r>
          </w:p>
        </w:tc>
      </w:tr>
      <w:tr>
        <w:trPr>
          <w:trHeight w:val="237"/>
        </w:trPr>
        <w:tc>
          <w:tcPr>
            <w:tcW w:w="4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rPr>
              <w:t>any applicable withholding tax)</w:t>
            </w:r>
          </w:p>
        </w:tc>
      </w:tr>
      <w:tr>
        <w:trPr>
          <w:trHeight w:val="34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Type of Option:</w:t>
            </w:r>
          </w:p>
        </w:tc>
        <w:tc>
          <w:tcPr>
            <w:tcW w:w="206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3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r>
    </w:tbl>
    <w:p>
      <w:pPr>
        <w:spacing w:after="0" w:line="182" w:lineRule="exact"/>
        <w:rPr>
          <w:sz w:val="20"/>
          <w:szCs w:val="20"/>
          <w:color w:val="auto"/>
        </w:rPr>
      </w:pPr>
    </w:p>
    <w:p>
      <w:pPr>
        <w:ind w:right="20" w:firstLine="444"/>
        <w:spacing w:after="0" w:line="277" w:lineRule="auto"/>
        <w:tabs>
          <w:tab w:leader="none" w:pos="823"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of Participant</w:t>
      </w:r>
      <w:r>
        <w:rPr>
          <w:rFonts w:ascii="Arial" w:cs="Arial" w:eastAsia="Arial" w:hAnsi="Arial"/>
          <w:sz w:val="18"/>
          <w:szCs w:val="18"/>
          <w:color w:val="auto"/>
        </w:rPr>
        <w:t>. Participant acknowledges that Participant has received, read and understood the Plan and the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agrees to abide by and be bound by their terms and conditions.</w:t>
      </w:r>
    </w:p>
    <w:p>
      <w:pPr>
        <w:spacing w:after="0" w:line="170" w:lineRule="exact"/>
        <w:rPr>
          <w:rFonts w:ascii="Arial" w:cs="Arial" w:eastAsia="Arial" w:hAnsi="Arial"/>
          <w:sz w:val="18"/>
          <w:szCs w:val="18"/>
          <w:color w:val="auto"/>
        </w:rPr>
      </w:pPr>
    </w:p>
    <w:p>
      <w:pPr>
        <w:jc w:val="both"/>
        <w:ind w:right="20" w:firstLine="444"/>
        <w:spacing w:after="0" w:line="255" w:lineRule="auto"/>
        <w:tabs>
          <w:tab w:leader="none" w:pos="864"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Tax Consultation</w:t>
      </w:r>
      <w:r>
        <w:rPr>
          <w:rFonts w:ascii="Arial" w:cs="Arial" w:eastAsia="Arial" w:hAnsi="Arial"/>
          <w:sz w:val="18"/>
          <w:szCs w:val="18"/>
          <w:color w:val="auto"/>
        </w:rPr>
        <w:t>. Participant understands that Participant may suffer adverse tax consequences as a result of Participant’s purchase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3" w:lineRule="exact"/>
        <w:rPr>
          <w:rFonts w:ascii="Arial" w:cs="Arial" w:eastAsia="Arial" w:hAnsi="Arial"/>
          <w:sz w:val="18"/>
          <w:szCs w:val="18"/>
          <w:color w:val="auto"/>
        </w:rPr>
      </w:pPr>
    </w:p>
    <w:p>
      <w:pPr>
        <w:ind w:left="760" w:hanging="316"/>
        <w:spacing w:after="0"/>
        <w:tabs>
          <w:tab w:leader="none" w:pos="760" w:val="left"/>
        </w:tabs>
        <w:numPr>
          <w:ilvl w:val="0"/>
          <w:numId w:val="261"/>
        </w:numPr>
        <w:rPr>
          <w:rFonts w:ascii="Arial" w:cs="Arial" w:eastAsia="Arial" w:hAnsi="Arial"/>
          <w:sz w:val="16"/>
          <w:szCs w:val="16"/>
          <w:color w:val="auto"/>
        </w:rPr>
      </w:pPr>
      <w:r>
        <w:rPr>
          <w:rFonts w:ascii="Arial" w:cs="Arial" w:eastAsia="Arial" w:hAnsi="Arial"/>
          <w:sz w:val="16"/>
          <w:szCs w:val="16"/>
          <w:b w:val="1"/>
          <w:bCs w:val="1"/>
          <w:i w:val="1"/>
          <w:iCs w:val="1"/>
          <w:color w:val="auto"/>
        </w:rPr>
        <w:t>Participant Representations</w:t>
      </w:r>
      <w:r>
        <w:rPr>
          <w:rFonts w:ascii="Arial" w:cs="Arial" w:eastAsia="Arial" w:hAnsi="Arial"/>
          <w:sz w:val="16"/>
          <w:szCs w:val="16"/>
          <w:color w:val="auto"/>
        </w:rPr>
        <w:t>. Participant hereby makes the following certifications and representations with respect to the Shares listed above:</w:t>
      </w:r>
    </w:p>
    <w:p>
      <w:pPr>
        <w:spacing w:after="0" w:line="248" w:lineRule="exact"/>
        <w:rPr>
          <w:rFonts w:ascii="Arial" w:cs="Arial" w:eastAsia="Arial" w:hAnsi="Arial"/>
          <w:sz w:val="16"/>
          <w:szCs w:val="16"/>
          <w:color w:val="auto"/>
        </w:rPr>
      </w:pPr>
    </w:p>
    <w:p>
      <w:pPr>
        <w:jc w:val="both"/>
        <w:ind w:right="20" w:firstLine="885"/>
        <w:spacing w:after="0" w:line="312" w:lineRule="auto"/>
        <w:tabs>
          <w:tab w:leader="none" w:pos="116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Shares. Participant is acquiring these Shares for investment for Participant’s own account only and not with a view to, or for resale in connection with, any “distribution” thereof within the meaning of the Securities Act.</w:t>
      </w:r>
    </w:p>
    <w:p>
      <w:pPr>
        <w:spacing w:after="0" w:line="146" w:lineRule="exact"/>
        <w:rPr>
          <w:rFonts w:ascii="Arial" w:cs="Arial" w:eastAsia="Arial" w:hAnsi="Arial"/>
          <w:sz w:val="16"/>
          <w:szCs w:val="16"/>
          <w:color w:val="auto"/>
        </w:rPr>
      </w:pPr>
    </w:p>
    <w:p>
      <w:pPr>
        <w:jc w:val="both"/>
        <w:ind w:right="20" w:firstLine="885"/>
        <w:spacing w:after="0" w:line="264" w:lineRule="auto"/>
        <w:tabs>
          <w:tab w:leader="none" w:pos="115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w:t>
      </w:r>
    </w:p>
    <w:p>
      <w:pPr>
        <w:sectPr>
          <w:pgSz w:w="11900" w:h="16838" w:orient="portrait"/>
          <w:cols w:equalWidth="0" w:num="1">
            <w:col w:w="11040"/>
          </w:cols>
          <w:pgMar w:left="440" w:top="269" w:right="419" w:bottom="1440" w:gutter="0" w:footer="0" w:header="0"/>
        </w:sectPr>
      </w:pPr>
    </w:p>
    <w:bookmarkStart w:id="418" w:name="page419"/>
    <w:bookmarkEnd w:id="41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Participant’s investment intent as expressed herein. Participant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will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88" w:lineRule="exact"/>
        <w:rPr>
          <w:sz w:val="20"/>
          <w:szCs w:val="20"/>
          <w:color w:val="auto"/>
        </w:rPr>
      </w:pPr>
    </w:p>
    <w:p>
      <w:pPr>
        <w:jc w:val="both"/>
        <w:ind w:firstLine="885"/>
        <w:spacing w:after="0" w:line="257" w:lineRule="auto"/>
        <w:tabs>
          <w:tab w:leader="none" w:pos="11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days thereafter (or such longer period as any market stand-off agreement may require) the securities exempt under Rule 701 may be resold, subject to the satisfaction of certain of the conditions specified by Rule 144.</w:t>
      </w:r>
    </w:p>
    <w:p>
      <w:pPr>
        <w:spacing w:after="0" w:line="188" w:lineRule="exact"/>
        <w:rPr>
          <w:rFonts w:ascii="Arial" w:cs="Arial" w:eastAsia="Arial" w:hAnsi="Arial"/>
          <w:sz w:val="18"/>
          <w:szCs w:val="18"/>
          <w:color w:val="auto"/>
        </w:rPr>
      </w:pPr>
    </w:p>
    <w:p>
      <w:pPr>
        <w:ind w:firstLine="885"/>
        <w:spacing w:after="0" w:line="277" w:lineRule="auto"/>
        <w:tabs>
          <w:tab w:leader="none" w:pos="129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 the event that the Company does not qualify under Rule 701 at the time of grant of the Option, then the securities may be resold in certain limited circumstances subject to the provisions of Rule 144.</w:t>
      </w:r>
    </w:p>
    <w:p>
      <w:pPr>
        <w:spacing w:after="0" w:line="170" w:lineRule="exact"/>
        <w:rPr>
          <w:rFonts w:ascii="Arial" w:cs="Arial" w:eastAsia="Arial" w:hAnsi="Arial"/>
          <w:sz w:val="18"/>
          <w:szCs w:val="18"/>
          <w:color w:val="auto"/>
        </w:rPr>
      </w:pPr>
    </w:p>
    <w:p>
      <w:pPr>
        <w:jc w:val="both"/>
        <w:ind w:firstLine="885"/>
        <w:spacing w:after="0" w:line="255" w:lineRule="auto"/>
        <w:tabs>
          <w:tab w:leader="none" w:pos="112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89" w:lineRule="exact"/>
        <w:rPr>
          <w:rFonts w:ascii="Arial" w:cs="Arial" w:eastAsia="Arial" w:hAnsi="Arial"/>
          <w:sz w:val="18"/>
          <w:szCs w:val="18"/>
          <w:color w:val="auto"/>
        </w:rPr>
      </w:pPr>
    </w:p>
    <w:p>
      <w:pPr>
        <w:jc w:val="both"/>
        <w:ind w:firstLine="444"/>
        <w:spacing w:after="0" w:line="257" w:lineRule="auto"/>
        <w:tabs>
          <w:tab w:leader="none" w:pos="783" w:val="left"/>
        </w:tabs>
        <w:numPr>
          <w:ilvl w:val="0"/>
          <w:numId w:val="263"/>
        </w:numPr>
        <w:rPr>
          <w:rFonts w:ascii="Arial" w:cs="Arial" w:eastAsia="Arial" w:hAnsi="Arial"/>
          <w:sz w:val="18"/>
          <w:szCs w:val="18"/>
          <w:color w:val="auto"/>
        </w:rPr>
      </w:pPr>
      <w:r>
        <w:rPr>
          <w:rFonts w:ascii="Arial" w:cs="Arial" w:eastAsia="Arial" w:hAnsi="Arial"/>
          <w:sz w:val="18"/>
          <w:szCs w:val="18"/>
          <w:b w:val="1"/>
          <w:bCs w:val="1"/>
          <w:i w:val="1"/>
          <w:iCs w:val="1"/>
          <w:color w:val="auto"/>
        </w:rPr>
        <w:t>Further Instruments</w:t>
      </w:r>
      <w:r>
        <w:rPr>
          <w:rFonts w:ascii="Arial" w:cs="Arial" w:eastAsia="Arial" w:hAnsi="Arial"/>
          <w:sz w:val="18"/>
          <w:szCs w:val="18"/>
          <w:color w:val="auto"/>
        </w:rPr>
        <w:t>. Participant hereby agrees to execute such further instruments and to take such further action as the Company requests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10(o) of the Plan.</w:t>
      </w:r>
    </w:p>
    <w:p>
      <w:pPr>
        <w:spacing w:after="0" w:line="188" w:lineRule="exact"/>
        <w:rPr>
          <w:rFonts w:ascii="Arial" w:cs="Arial" w:eastAsia="Arial" w:hAnsi="Arial"/>
          <w:sz w:val="18"/>
          <w:szCs w:val="18"/>
          <w:color w:val="auto"/>
        </w:rPr>
      </w:pPr>
    </w:p>
    <w:p>
      <w:pPr>
        <w:ind w:left="880" w:hanging="436"/>
        <w:spacing w:after="0"/>
        <w:tabs>
          <w:tab w:leader="none" w:pos="880" w:val="left"/>
        </w:tabs>
        <w:numPr>
          <w:ilvl w:val="0"/>
          <w:numId w:val="263"/>
        </w:numPr>
        <w:rPr>
          <w:rFonts w:ascii="Arial" w:cs="Arial" w:eastAsia="Arial" w:hAnsi="Arial"/>
          <w:sz w:val="17"/>
          <w:szCs w:val="17"/>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Any notice required or permitted hereunder shall be given in accordance with the provisions set forth in Section 8(b)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444"/>
        <w:spacing w:after="0" w:line="264" w:lineRule="auto"/>
        <w:tabs>
          <w:tab w:leader="none" w:pos="810" w:val="left"/>
        </w:tabs>
        <w:numPr>
          <w:ilvl w:val="0"/>
          <w:numId w:val="263"/>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The Plan and Agreement are incorporated herein by reference. This Notice, the Plan and the Agreement constitute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agreement of the parties and supersede in their entirety all prior undertakings and agreements of the Company and Participant with respect to the subject matter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4" w:right="4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ACCEPTED BY:</w:t>
            </w:r>
          </w:p>
        </w:tc>
        <w:tc>
          <w:tcPr>
            <w:tcW w:w="5880" w:type="dxa"/>
            <w:vAlign w:val="bottom"/>
            <w:gridSpan w:val="2"/>
          </w:tcPr>
          <w:p>
            <w:pPr>
              <w:ind w:left="700"/>
              <w:spacing w:after="0"/>
              <w:rPr>
                <w:sz w:val="20"/>
                <w:szCs w:val="20"/>
                <w:color w:val="auto"/>
              </w:rPr>
            </w:pPr>
            <w:r>
              <w:rPr>
                <w:rFonts w:ascii="Arial" w:cs="Arial" w:eastAsia="Arial" w:hAnsi="Arial"/>
                <w:sz w:val="20"/>
                <w:szCs w:val="20"/>
                <w:b w:val="1"/>
                <w:bCs w:val="1"/>
                <w:color w:val="auto"/>
              </w:rPr>
              <w:t>SUBMITTED BY</w:t>
            </w:r>
          </w:p>
        </w:tc>
      </w:tr>
      <w:tr>
        <w:trPr>
          <w:trHeight w:val="256"/>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GOSSAMER BIO, INC.</w:t>
            </w:r>
          </w:p>
        </w:tc>
        <w:tc>
          <w:tcPr>
            <w:tcW w:w="5880" w:type="dxa"/>
            <w:vAlign w:val="bottom"/>
            <w:gridSpan w:val="2"/>
          </w:tcPr>
          <w:p>
            <w:pPr>
              <w:ind w:left="700"/>
              <w:spacing w:after="0"/>
              <w:rPr>
                <w:sz w:val="20"/>
                <w:szCs w:val="20"/>
                <w:color w:val="auto"/>
              </w:rPr>
            </w:pPr>
            <w:r>
              <w:rPr>
                <w:rFonts w:ascii="Arial" w:cs="Arial" w:eastAsia="Arial" w:hAnsi="Arial"/>
                <w:sz w:val="20"/>
                <w:szCs w:val="20"/>
                <w:b w:val="1"/>
                <w:bCs w:val="1"/>
                <w:color w:val="auto"/>
              </w:rPr>
              <w:t>PARTICIPANT:</w:t>
            </w:r>
          </w:p>
        </w:tc>
      </w:tr>
      <w:tr>
        <w:trPr>
          <w:trHeight w:val="428"/>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bottom w:val="single" w:sz="8" w:color="auto"/>
            </w:tcBorders>
          </w:tcPr>
          <w:p>
            <w:pPr>
              <w:spacing w:after="0"/>
              <w:rPr>
                <w:sz w:val="24"/>
                <w:szCs w:val="24"/>
                <w:color w:val="auto"/>
              </w:rPr>
            </w:pPr>
          </w:p>
        </w:tc>
      </w:tr>
      <w:tr>
        <w:trPr>
          <w:trHeight w:val="304"/>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58"/>
        </w:trPr>
        <w:tc>
          <w:tcPr>
            <w:tcW w:w="1000" w:type="dxa"/>
            <w:vAlign w:val="bottom"/>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B-3</w:t>
            </w:r>
          </w:p>
        </w:tc>
      </w:tr>
    </w:tbl>
    <w:p>
      <w:pPr>
        <w:ind w:left="220"/>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0" w:name="page421"/>
    <w:bookmarkEnd w:id="420"/>
    <w:p>
      <w:pPr>
        <w:jc w:val="right"/>
        <w:ind w:right="2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EQUITY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GRANT NOTICE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AGREEMENT</w:t>
      </w:r>
    </w:p>
    <w:p>
      <w:pPr>
        <w:spacing w:after="0" w:line="211" w:lineRule="exact"/>
        <w:rPr>
          <w:sz w:val="20"/>
          <w:szCs w:val="20"/>
          <w:color w:val="auto"/>
        </w:rPr>
      </w:pPr>
    </w:p>
    <w:p>
      <w:pPr>
        <w:jc w:val="both"/>
        <w:ind w:right="20" w:firstLine="441"/>
        <w:spacing w:after="0" w:line="257" w:lineRule="auto"/>
        <w:rPr>
          <w:sz w:val="20"/>
          <w:szCs w:val="20"/>
          <w:color w:val="auto"/>
        </w:rPr>
      </w:pPr>
      <w:r>
        <w:rPr>
          <w:rFonts w:ascii="Arial" w:cs="Arial" w:eastAsia="Arial" w:hAnsi="Arial"/>
          <w:sz w:val="18"/>
          <w:szCs w:val="18"/>
          <w:color w:val="auto"/>
        </w:rPr>
        <w:t>Gossamer 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2017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Participant the number of shares of the Company’s Common Stock (referred to herein as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set forth below. This Restricted Stock award (this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is subject to all of the terms and conditions as set forth herein and in the Restricted Stock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this Restricted Stock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Agreement.</w:t>
      </w:r>
    </w:p>
    <w:p>
      <w:pPr>
        <w:sectPr>
          <w:pgSz w:w="11900" w:h="16838" w:orient="portrait"/>
          <w:cols w:equalWidth="0" w:num="1">
            <w:col w:w="11040"/>
          </w:cols>
          <w:pgMar w:left="440" w:top="121" w:right="41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[Insert Participant Name]</w:t>
      </w:r>
    </w:p>
    <w:p>
      <w:pPr>
        <w:spacing w:after="0" w:line="125" w:lineRule="exact"/>
        <w:rPr>
          <w:sz w:val="20"/>
          <w:szCs w:val="20"/>
          <w:color w:val="auto"/>
        </w:rPr>
      </w:pPr>
    </w:p>
    <w:p>
      <w:pPr>
        <w:sectPr>
          <w:pgSz w:w="11900" w:h="16838" w:orient="portrait"/>
          <w:cols w:equalWidth="0" w:num="2">
            <w:col w:w="3360" w:space="720"/>
            <w:col w:w="6960"/>
          </w:cols>
          <w:pgMar w:left="440" w:top="121"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[Insert Grant Date]</w:t>
      </w:r>
    </w:p>
    <w:p>
      <w:pPr>
        <w:spacing w:after="0" w:line="125" w:lineRule="exact"/>
        <w:rPr>
          <w:sz w:val="20"/>
          <w:szCs w:val="20"/>
          <w:color w:val="auto"/>
        </w:rPr>
      </w:pPr>
    </w:p>
    <w:p>
      <w:pPr>
        <w:sectPr>
          <w:pgSz w:w="11900" w:h="16838" w:orient="portrait"/>
          <w:cols w:equalWidth="0" w:num="2">
            <w:col w:w="3360" w:space="720"/>
            <w:col w:w="6960"/>
          </w:cols>
          <w:pgMar w:left="440" w:top="121" w:right="4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Vesting Commencement Date]</w:t>
      </w:r>
    </w:p>
    <w:p>
      <w:pPr>
        <w:spacing w:after="0" w:line="136" w:lineRule="exact"/>
        <w:rPr>
          <w:sz w:val="20"/>
          <w:szCs w:val="20"/>
          <w:color w:val="auto"/>
        </w:rPr>
      </w:pPr>
    </w:p>
    <w:p>
      <w:pPr>
        <w:sectPr>
          <w:pgSz w:w="11900" w:h="16838" w:orient="portrait"/>
          <w:cols w:equalWidth="0" w:num="2">
            <w:col w:w="3360" w:space="720"/>
            <w:col w:w="6960"/>
          </w:cols>
          <w:pgMar w:left="440" w:top="121" w:right="4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of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[Insert Number of Shares]</w:t>
      </w:r>
    </w:p>
    <w:p>
      <w:pPr>
        <w:spacing w:after="0" w:line="136" w:lineRule="exact"/>
        <w:rPr>
          <w:sz w:val="20"/>
          <w:szCs w:val="20"/>
          <w:color w:val="auto"/>
        </w:rPr>
      </w:pPr>
    </w:p>
    <w:p>
      <w:pPr>
        <w:sectPr>
          <w:pgSz w:w="11900" w:h="16838" w:orient="portrait"/>
          <w:cols w:equalWidth="0" w:num="2">
            <w:col w:w="3400" w:space="680"/>
            <w:col w:w="6960"/>
          </w:cols>
          <w:pgMar w:left="440" w:top="121" w:right="4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Shares shall vest and be released from the “</w:t>
      </w:r>
      <w:r>
        <w:rPr>
          <w:rFonts w:ascii="Arial" w:cs="Arial" w:eastAsia="Arial" w:hAnsi="Arial"/>
          <w:sz w:val="18"/>
          <w:szCs w:val="18"/>
          <w:b w:val="1"/>
          <w:bCs w:val="1"/>
          <w:i w:val="1"/>
          <w:iCs w:val="1"/>
          <w:color w:val="auto"/>
        </w:rPr>
        <w:t>Forfeiture Restriction</w:t>
      </w:r>
      <w:r>
        <w:rPr>
          <w:rFonts w:ascii="Arial" w:cs="Arial" w:eastAsia="Arial" w:hAnsi="Arial"/>
          <w:sz w:val="18"/>
          <w:szCs w:val="18"/>
          <w:color w:val="auto"/>
        </w:rPr>
        <w:t>”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2(a) of the Agreement) as follows:</w:t>
      </w:r>
    </w:p>
    <w:p>
      <w:pPr>
        <w:spacing w:after="0" w:line="116" w:lineRule="exact"/>
        <w:rPr>
          <w:sz w:val="20"/>
          <w:szCs w:val="20"/>
          <w:color w:val="auto"/>
        </w:rPr>
      </w:pPr>
    </w:p>
    <w:p>
      <w:pPr>
        <w:sectPr>
          <w:pgSz w:w="11900" w:h="16838" w:orient="portrait"/>
          <w:cols w:equalWidth="0" w:num="2">
            <w:col w:w="3360" w:space="720"/>
            <w:col w:w="6960"/>
          </w:cols>
          <w:pgMar w:left="440" w:top="121" w:right="419" w:bottom="1440" w:gutter="0" w:footer="0" w:header="0"/>
          <w:type w:val="continuous"/>
        </w:sectPr>
      </w:pPr>
    </w:p>
    <w:p>
      <w:pPr>
        <w:jc w:val="both"/>
        <w:ind w:left="4080" w:right="20"/>
        <w:spacing w:after="0" w:line="255" w:lineRule="auto"/>
        <w:rPr>
          <w:sz w:val="20"/>
          <w:szCs w:val="20"/>
          <w:color w:val="auto"/>
        </w:rPr>
      </w:pPr>
      <w:r>
        <w:rPr>
          <w:rFonts w:ascii="Arial" w:cs="Arial" w:eastAsia="Arial" w:hAnsi="Arial"/>
          <w:sz w:val="18"/>
          <w:szCs w:val="18"/>
          <w:color w:val="auto"/>
        </w:rPr>
        <w:t>25% of the Shares shall vest and be released from the Forfeiture Restriction on the first anniversary of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shall vest and be released from the Forfeiture Restriction on the last day of each one-month period of Participant’s service as a Service Provider thereafter, so that all of the Shares shall be vested and released from the Forfeiture Restriction on the 4</w:t>
      </w:r>
      <w:r>
        <w:rPr>
          <w:rFonts w:ascii="Arial" w:cs="Arial" w:eastAsia="Arial" w:hAnsi="Arial"/>
          <w:sz w:val="15"/>
          <w:szCs w:val="15"/>
          <w:color w:val="auto"/>
        </w:rPr>
        <w:t>th</w:t>
      </w:r>
      <w:r>
        <w:rPr>
          <w:rFonts w:ascii="Arial" w:cs="Arial" w:eastAsia="Arial" w:hAnsi="Arial"/>
          <w:sz w:val="18"/>
          <w:szCs w:val="18"/>
          <w:color w:val="auto"/>
        </w:rPr>
        <w:t xml:space="preserve"> anniversary of the Vesting Commencement Date.</w:t>
      </w:r>
    </w:p>
    <w:p>
      <w:pPr>
        <w:sectPr>
          <w:pgSz w:w="11900" w:h="16838" w:orient="portrait"/>
          <w:cols w:equalWidth="0" w:num="1">
            <w:col w:w="11040"/>
          </w:cols>
          <w:pgMar w:left="440" w:top="121" w:right="419" w:bottom="1440" w:gutter="0" w:footer="0" w:header="0"/>
          <w:type w:val="continuous"/>
        </w:sectPr>
      </w:pPr>
    </w:p>
    <w:p>
      <w:pPr>
        <w:spacing w:after="0" w:line="207" w:lineRule="exact"/>
        <w:rPr>
          <w:sz w:val="20"/>
          <w:szCs w:val="20"/>
          <w:color w:val="auto"/>
        </w:rPr>
      </w:pPr>
    </w:p>
    <w:p>
      <w:pPr>
        <w:jc w:val="both"/>
        <w:ind w:right="20" w:firstLine="441"/>
        <w:spacing w:after="0" w:line="255" w:lineRule="auto"/>
        <w:rPr>
          <w:sz w:val="20"/>
          <w:szCs w:val="20"/>
          <w:color w:val="auto"/>
        </w:rPr>
      </w:pPr>
      <w:r>
        <w:rPr>
          <w:rFonts w:ascii="Arial" w:cs="Arial" w:eastAsia="Arial" w:hAnsi="Arial"/>
          <w:sz w:val="18"/>
          <w:szCs w:val="18"/>
          <w:color w:val="auto"/>
        </w:rPr>
        <w:t xml:space="preserve">By his or her signature and the Company’s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hereby agrees to accept as binding, conclusive and final all decisions or interpretations of the Administrator of the Plan upon any questions arising under the Plan or the Agreement. Participant shall also execute and deliver to the Company the stock assignment duly endorsed in blank, attached to this Grant Notice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Stock Assignment</w:t>
      </w:r>
      <w:r>
        <w:rPr>
          <w:rFonts w:ascii="Arial" w:cs="Arial" w:eastAsia="Arial" w:hAnsi="Arial"/>
          <w:sz w:val="18"/>
          <w:szCs w:val="18"/>
          <w:color w:val="auto"/>
        </w:rPr>
        <w:t xml:space="preserve">”). If Participant is married, his or her spouse has signed the Consent of Spouse attached to this Grant Notice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GOSSAMER BIO, INC.</w:t>
            </w:r>
          </w:p>
        </w:tc>
        <w:tc>
          <w:tcPr>
            <w:tcW w:w="5880" w:type="dxa"/>
            <w:vAlign w:val="bottom"/>
            <w:gridSpan w:val="2"/>
          </w:tcPr>
          <w:p>
            <w:pPr>
              <w:ind w:left="700"/>
              <w:spacing w:after="0"/>
              <w:rPr>
                <w:sz w:val="20"/>
                <w:szCs w:val="20"/>
                <w:color w:val="auto"/>
              </w:rPr>
            </w:pPr>
            <w:r>
              <w:rPr>
                <w:rFonts w:ascii="Arial" w:cs="Arial" w:eastAsia="Arial" w:hAnsi="Arial"/>
                <w:sz w:val="20"/>
                <w:szCs w:val="20"/>
                <w:b w:val="1"/>
                <w:bCs w:val="1"/>
                <w:color w:val="auto"/>
              </w:rPr>
              <w:t>PARTICIPANT</w:t>
            </w:r>
          </w:p>
        </w:tc>
      </w:tr>
      <w:tr>
        <w:trPr>
          <w:trHeight w:val="428"/>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4160" w:type="dxa"/>
            <w:vAlign w:val="bottom"/>
            <w:tcBorders>
              <w:bottom w:val="single" w:sz="8" w:color="auto"/>
            </w:tcBorders>
          </w:tcPr>
          <w:p>
            <w:pPr>
              <w:spacing w:after="0"/>
              <w:rPr>
                <w:sz w:val="24"/>
                <w:szCs w:val="24"/>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bottom w:val="single" w:sz="8" w:color="auto"/>
            </w:tcBorders>
          </w:tcPr>
          <w:p>
            <w:pPr>
              <w:spacing w:after="0"/>
              <w:rPr>
                <w:sz w:val="24"/>
                <w:szCs w:val="24"/>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State of</w:t>
            </w:r>
          </w:p>
        </w:tc>
      </w:tr>
      <w:tr>
        <w:trPr>
          <w:trHeight w:val="230"/>
        </w:trPr>
        <w:tc>
          <w:tcPr>
            <w:tcW w:w="1000" w:type="dxa"/>
            <w:vAlign w:val="bottom"/>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1700" w:type="dxa"/>
            <w:vAlign w:val="bottom"/>
          </w:tcPr>
          <w:p>
            <w:pPr>
              <w:ind w:left="700"/>
              <w:spacing w:after="0"/>
              <w:rPr>
                <w:sz w:val="20"/>
                <w:szCs w:val="20"/>
                <w:color w:val="auto"/>
              </w:rPr>
            </w:pPr>
            <w:r>
              <w:rPr>
                <w:rFonts w:ascii="Arial" w:cs="Arial" w:eastAsia="Arial" w:hAnsi="Arial"/>
                <w:sz w:val="18"/>
                <w:szCs w:val="18"/>
                <w:color w:val="auto"/>
              </w:rPr>
              <w:t>Residence:</w:t>
            </w:r>
          </w:p>
        </w:tc>
        <w:tc>
          <w:tcPr>
            <w:tcW w:w="4180" w:type="dxa"/>
            <w:vAlign w:val="bottom"/>
            <w:tcBorders>
              <w:bottom w:val="single" w:sz="8" w:color="auto"/>
            </w:tcBorders>
          </w:tcPr>
          <w:p>
            <w:pPr>
              <w:spacing w:after="0"/>
              <w:rPr>
                <w:sz w:val="20"/>
                <w:szCs w:val="20"/>
                <w:color w:val="auto"/>
              </w:rPr>
            </w:pPr>
          </w:p>
        </w:tc>
      </w:tr>
    </w:tbl>
    <w:p>
      <w:pPr>
        <w:sectPr>
          <w:pgSz w:w="11900" w:h="16838" w:orient="portrait"/>
          <w:cols w:equalWidth="0" w:num="1">
            <w:col w:w="11040"/>
          </w:cols>
          <w:pgMar w:left="440" w:top="121" w:right="419" w:bottom="1440" w:gutter="0" w:footer="0" w:header="0"/>
          <w:type w:val="continuous"/>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GRANT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the number of Shares indicated in the Grant Notice.</w:t>
      </w:r>
    </w:p>
    <w:p>
      <w:pPr>
        <w:spacing w:after="0" w:line="170" w:lineRule="exact"/>
        <w:rPr>
          <w:sz w:val="20"/>
          <w:szCs w:val="20"/>
          <w:color w:val="auto"/>
        </w:rPr>
      </w:pPr>
    </w:p>
    <w:p>
      <w:pPr>
        <w:ind w:left="760" w:hanging="316"/>
        <w:spacing w:after="0"/>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b w:val="1"/>
          <w:bCs w:val="1"/>
          <w:i w:val="1"/>
          <w:iCs w:val="1"/>
          <w:color w:val="auto"/>
        </w:rPr>
        <w:t>Grant of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315"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Grant of Restricted Stock. </w:t>
      </w:r>
      <w:r>
        <w:rPr>
          <w:rFonts w:ascii="Arial" w:cs="Arial" w:eastAsia="Arial" w:hAnsi="Arial"/>
          <w:sz w:val="18"/>
          <w:szCs w:val="18"/>
          <w:color w:val="auto"/>
        </w:rPr>
        <w:t>In consideration of Participant’s past and/or continued employment with or service to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parent or subsidiary of the Company and for other good and valuable consideration, which the Administrator has determined exceeds the par value per Share, effective as of the Grant Date set forth in the Grant Notice, the Company irrevocably grants to Participant the Shares set forth in the Grant Notice, upon the terms and conditions set forth in the Plan and this Agreement.</w:t>
      </w:r>
    </w:p>
    <w:p>
      <w:pPr>
        <w:spacing w:after="0" w:line="186" w:lineRule="exact"/>
        <w:rPr>
          <w:rFonts w:ascii="Arial" w:cs="Arial" w:eastAsia="Arial" w:hAnsi="Arial"/>
          <w:sz w:val="18"/>
          <w:szCs w:val="18"/>
          <w:color w:val="auto"/>
        </w:rPr>
      </w:pPr>
    </w:p>
    <w:p>
      <w:pPr>
        <w:jc w:val="both"/>
        <w:ind w:firstLine="885"/>
        <w:spacing w:after="0" w:line="279" w:lineRule="auto"/>
        <w:tabs>
          <w:tab w:leader="none" w:pos="1339" w:val="left"/>
        </w:tabs>
        <w:numPr>
          <w:ilvl w:val="1"/>
          <w:numId w:val="264"/>
        </w:numPr>
        <w:rPr>
          <w:rFonts w:ascii="Arial" w:cs="Arial" w:eastAsia="Arial" w:hAnsi="Arial"/>
          <w:sz w:val="17"/>
          <w:szCs w:val="17"/>
          <w:color w:val="auto"/>
        </w:rPr>
      </w:pPr>
      <w:r>
        <w:rPr>
          <w:rFonts w:ascii="Arial" w:cs="Arial" w:eastAsia="Arial" w:hAnsi="Arial"/>
          <w:sz w:val="17"/>
          <w:szCs w:val="17"/>
          <w:i w:val="1"/>
          <w:iCs w:val="1"/>
          <w:color w:val="auto"/>
        </w:rPr>
        <w:t xml:space="preserve">Issuance of Shares. </w:t>
      </w:r>
      <w:r>
        <w:rPr>
          <w:rFonts w:ascii="Arial" w:cs="Arial" w:eastAsia="Arial" w:hAnsi="Arial"/>
          <w:sz w:val="17"/>
          <w:szCs w:val="17"/>
          <w:color w:val="auto"/>
        </w:rPr>
        <w:t>On the Grant Date, the Company shall issue the Shares to Participant and shall (i) cause a share certificate or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representing the Shares to be registered in the name of Participant, or (ii) cause such Shares to be held in book entry form. If a share certificate is issued, it shall be delivered to and held in custody by the Company and shall bear the restrictive legends required by Section 4(a) below. If the Shares are held in book entry form, then such entry will reflect that the Shares are subject to the restrictions of this Agreement.</w:t>
      </w:r>
    </w:p>
    <w:p>
      <w:pPr>
        <w:spacing w:after="0" w:line="171" w:lineRule="exact"/>
        <w:rPr>
          <w:rFonts w:ascii="Arial" w:cs="Arial" w:eastAsia="Arial" w:hAnsi="Arial"/>
          <w:sz w:val="17"/>
          <w:szCs w:val="17"/>
          <w:color w:val="auto"/>
        </w:rPr>
      </w:pPr>
    </w:p>
    <w:p>
      <w:pPr>
        <w:jc w:val="both"/>
        <w:ind w:firstLine="885"/>
        <w:spacing w:after="0" w:line="285" w:lineRule="auto"/>
        <w:tabs>
          <w:tab w:leader="none" w:pos="1383"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as otherwise provided herein, upon issuance of the Shares by the Company to Participant (as</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evidenced by the appropriate entry on the books of the Company or of a duly authorized transfer agent of the Company), Participant shall have all the rights of a stockholder with respect to said Shares, including the right to receive any cash or stock dividends or other distributions paid to or made with respect to the Shares, subject to the restrictions described in the following sentence, which restrictions shall lapse when the Unreleased Shares are released from the Forfeiture Restriction as set forth in Section 2. Unless otherwise provided by the Administrator, if any dividends or distributions are paid in cash or shares, or consist of a dividend or distribution to holders of Common Stock of property, the cash, shares or other property paid or made with respect to Unreleased Shares will be retained in custody by the Company (without interest) (the “</w:t>
      </w:r>
      <w:r>
        <w:rPr>
          <w:rFonts w:ascii="Arial" w:cs="Arial" w:eastAsia="Arial" w:hAnsi="Arial"/>
          <w:sz w:val="16"/>
          <w:szCs w:val="16"/>
          <w:b w:val="1"/>
          <w:bCs w:val="1"/>
          <w:i w:val="1"/>
          <w:iCs w:val="1"/>
          <w:color w:val="auto"/>
        </w:rPr>
        <w:t>Retained Distributions</w:t>
      </w:r>
      <w:r>
        <w:rPr>
          <w:rFonts w:ascii="Arial" w:cs="Arial" w:eastAsia="Arial" w:hAnsi="Arial"/>
          <w:sz w:val="16"/>
          <w:szCs w:val="16"/>
          <w:color w:val="auto"/>
        </w:rPr>
        <w:t>”) and subject to the same forfeiture and transferability restrictions as the Unreleased Shares with respect to which they were paid or made and shall automatically be forfeited to the Company for no consideration in the event of the forfeiture of the Unreleased Shares with respect to which they were paid pursuant to the Forfeiture Restriction. Any Retained Distributions held by the Company that were paid on those Unreleased Shares as to which the Forfeiture Restriction and transfer restrictions lapse or are removed shall also be released to Participant at the time of such lapse or removal. In no event shall a Retained Distribution be paid with respect to Unreleased Shares later than the end of the calendar year in which the corresponding dividends or distributions are paid to holders of Common Stock or, if later, the 15th day of the third month following the later of (a) the date the dividends or distributions are paid to holders of Common Stock and (b) the date the Unreleased Shares with respect to which the Retained Distributions are paid vest. Participant shall enjoy rights as a stockholder until such time as Participant disposes of the Shares or the Company and/or its assignee(s) exercises the Right of First Refusal under the Plan. Upon such exercise, Participant shall have no further rights as a holder of the Shares except the right to receive payment for the Shares so purchased in accordance with the provisions of the Plan and this Agreement, and Participant shall forthwith cause the certificate(s), if any issued, evidencing the Shares so purchased to be surrendered to the Company for transfer or cancellation.</w:t>
      </w:r>
    </w:p>
    <w:p>
      <w:pPr>
        <w:sectPr>
          <w:pgSz w:w="11900" w:h="16838" w:orient="portrait"/>
          <w:cols w:equalWidth="0" w:num="1">
            <w:col w:w="11020"/>
          </w:cols>
          <w:pgMar w:left="440" w:top="270" w:right="439" w:bottom="1440" w:gutter="0" w:footer="0" w:header="0"/>
        </w:sectPr>
      </w:pPr>
    </w:p>
    <w:bookmarkStart w:id="422" w:name="page423"/>
    <w:bookmarkEnd w:id="422"/>
    <w:p>
      <w:pPr>
        <w:ind w:left="760" w:hanging="316"/>
        <w:spacing w:after="0"/>
        <w:tabs>
          <w:tab w:leader="none" w:pos="760" w:val="left"/>
        </w:tabs>
        <w:numPr>
          <w:ilvl w:val="0"/>
          <w:numId w:val="26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70" w:lineRule="auto"/>
        <w:tabs>
          <w:tab w:leader="none" w:pos="1315" w:val="left"/>
        </w:tabs>
        <w:numPr>
          <w:ilvl w:val="1"/>
          <w:numId w:val="265"/>
        </w:numPr>
        <w:rPr>
          <w:rFonts w:ascii="Arial" w:cs="Arial" w:eastAsia="Arial" w:hAnsi="Arial"/>
          <w:sz w:val="17"/>
          <w:szCs w:val="17"/>
          <w:color w:val="auto"/>
        </w:rPr>
      </w:pPr>
      <w:r>
        <w:rPr>
          <w:rFonts w:ascii="Arial" w:cs="Arial" w:eastAsia="Arial" w:hAnsi="Arial"/>
          <w:sz w:val="17"/>
          <w:szCs w:val="17"/>
          <w:i w:val="1"/>
          <w:iCs w:val="1"/>
          <w:color w:val="auto"/>
        </w:rPr>
        <w:t>Forfeiture Restriction</w:t>
      </w:r>
      <w:r>
        <w:rPr>
          <w:rFonts w:ascii="Arial" w:cs="Arial" w:eastAsia="Arial" w:hAnsi="Arial"/>
          <w:sz w:val="17"/>
          <w:szCs w:val="17"/>
          <w:color w:val="auto"/>
        </w:rPr>
        <w:t>. Subject to the provisions of Section 2(b) below, in the event of Participant’s Termination of Service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all of the Shares which, from time to time, have not yet been released from the Forfeiture Restriction (together with and any Retained Distributions paid thereon pursuant to Section 1(c) and held by the Company, the “</w:t>
      </w:r>
      <w:r>
        <w:rPr>
          <w:rFonts w:ascii="Arial" w:cs="Arial" w:eastAsia="Arial" w:hAnsi="Arial"/>
          <w:sz w:val="17"/>
          <w:szCs w:val="17"/>
          <w:b w:val="1"/>
          <w:bCs w:val="1"/>
          <w:i w:val="1"/>
          <w:iCs w:val="1"/>
          <w:color w:val="auto"/>
        </w:rPr>
        <w:t>Unreleased Shares</w:t>
      </w:r>
      <w:r>
        <w:rPr>
          <w:rFonts w:ascii="Arial" w:cs="Arial" w:eastAsia="Arial" w:hAnsi="Arial"/>
          <w:sz w:val="17"/>
          <w:szCs w:val="17"/>
          <w:color w:val="auto"/>
        </w:rPr>
        <w:t>”) shall thereupon be forfeited immediately and without any further action by the Company (the “</w:t>
      </w:r>
      <w:r>
        <w:rPr>
          <w:rFonts w:ascii="Arial" w:cs="Arial" w:eastAsia="Arial" w:hAnsi="Arial"/>
          <w:sz w:val="17"/>
          <w:szCs w:val="17"/>
          <w:b w:val="1"/>
          <w:bCs w:val="1"/>
          <w:i w:val="1"/>
          <w:iCs w:val="1"/>
          <w:color w:val="auto"/>
        </w:rPr>
        <w:t>Forfeiture Restriction</w:t>
      </w:r>
      <w:r>
        <w:rPr>
          <w:rFonts w:ascii="Arial" w:cs="Arial" w:eastAsia="Arial" w:hAnsi="Arial"/>
          <w:sz w:val="17"/>
          <w:szCs w:val="17"/>
          <w:color w:val="auto"/>
        </w:rPr>
        <w:t>”).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 Shares shall be held by the Company in accordance with Section 3 until the Shares are forfeited as provided in this Section 2(a), until such Unreleased Shares are fully released from the Forfeiture Restriction, or until such time as this Agreement no longer is in effect. Participant hereby authorizes and directs the Secretary of the Company, or such other person designated by the Administrator, to transfer the Unreleased Shares which have been forfeited pursuant to this Section 2(a) from Participant to the Company.</w:t>
      </w:r>
    </w:p>
    <w:p>
      <w:pPr>
        <w:spacing w:after="0" w:line="177" w:lineRule="exact"/>
        <w:rPr>
          <w:rFonts w:ascii="Arial" w:cs="Arial" w:eastAsia="Arial" w:hAnsi="Arial"/>
          <w:sz w:val="17"/>
          <w:szCs w:val="17"/>
          <w:color w:val="auto"/>
        </w:rPr>
      </w:pPr>
    </w:p>
    <w:p>
      <w:pPr>
        <w:jc w:val="both"/>
        <w:ind w:firstLine="885"/>
        <w:spacing w:after="0" w:line="255" w:lineRule="auto"/>
        <w:tabs>
          <w:tab w:leader="none" w:pos="1339" w:val="left"/>
        </w:tabs>
        <w:numPr>
          <w:ilvl w:val="1"/>
          <w:numId w:val="265"/>
        </w:numPr>
        <w:rPr>
          <w:rFonts w:ascii="Arial" w:cs="Arial" w:eastAsia="Arial" w:hAnsi="Arial"/>
          <w:sz w:val="18"/>
          <w:szCs w:val="18"/>
          <w:color w:val="auto"/>
        </w:rPr>
      </w:pPr>
      <w:r>
        <w:rPr>
          <w:rFonts w:ascii="Arial" w:cs="Arial" w:eastAsia="Arial" w:hAnsi="Arial"/>
          <w:sz w:val="18"/>
          <w:szCs w:val="18"/>
          <w:i w:val="1"/>
          <w:iCs w:val="1"/>
          <w:color w:val="auto"/>
        </w:rPr>
        <w:t>Release of Shares from Forfeiture Restriction</w:t>
      </w:r>
      <w:r>
        <w:rPr>
          <w:rFonts w:ascii="Arial" w:cs="Arial" w:eastAsia="Arial" w:hAnsi="Arial"/>
          <w:sz w:val="18"/>
          <w:szCs w:val="18"/>
          <w:color w:val="auto"/>
        </w:rPr>
        <w:t>. The Shares shall be released from the Forfeiture Restriction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schedule set forth in the Grant Notice.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 entry form, then the Company shall remove the notations on the book form.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9" w:lineRule="exact"/>
        <w:rPr>
          <w:rFonts w:ascii="Arial" w:cs="Arial" w:eastAsia="Arial" w:hAnsi="Arial"/>
          <w:sz w:val="18"/>
          <w:szCs w:val="18"/>
          <w:color w:val="auto"/>
        </w:rPr>
      </w:pPr>
    </w:p>
    <w:p>
      <w:pPr>
        <w:ind w:firstLine="885"/>
        <w:spacing w:after="0" w:line="342" w:lineRule="auto"/>
        <w:tabs>
          <w:tab w:leader="none" w:pos="1329" w:val="left"/>
        </w:tabs>
        <w:numPr>
          <w:ilvl w:val="1"/>
          <w:numId w:val="265"/>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as otherwise permitted by the Administrator, the Unreleased Shares shall not be sold, assigned,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pledged or otherwise encumbered by Participant, either voluntarily or by operation of law, except by will or the laws of descent and distribution.</w:t>
      </w:r>
    </w:p>
    <w:p>
      <w:pPr>
        <w:spacing w:after="0" w:line="123" w:lineRule="exact"/>
        <w:rPr>
          <w:rFonts w:ascii="Arial" w:cs="Arial" w:eastAsia="Arial" w:hAnsi="Arial"/>
          <w:sz w:val="16"/>
          <w:szCs w:val="16"/>
          <w:color w:val="auto"/>
        </w:rPr>
      </w:pPr>
    </w:p>
    <w:p>
      <w:pPr>
        <w:jc w:val="both"/>
        <w:ind w:firstLine="444"/>
        <w:spacing w:after="0" w:line="269" w:lineRule="auto"/>
        <w:tabs>
          <w:tab w:leader="none" w:pos="891" w:val="left"/>
        </w:tabs>
        <w:numPr>
          <w:ilvl w:val="0"/>
          <w:numId w:val="265"/>
        </w:numPr>
        <w:rPr>
          <w:rFonts w:ascii="Arial" w:cs="Arial" w:eastAsia="Arial" w:hAnsi="Arial"/>
          <w:sz w:val="17"/>
          <w:szCs w:val="17"/>
          <w:color w:val="auto"/>
        </w:rPr>
      </w:pPr>
      <w:r>
        <w:rPr>
          <w:rFonts w:ascii="Arial" w:cs="Arial" w:eastAsia="Arial" w:hAnsi="Arial"/>
          <w:sz w:val="17"/>
          <w:szCs w:val="17"/>
          <w:b w:val="1"/>
          <w:bCs w:val="1"/>
          <w:i w:val="1"/>
          <w:iCs w:val="1"/>
          <w:color w:val="auto"/>
        </w:rPr>
        <w:t>Escrow</w:t>
      </w:r>
      <w:r>
        <w:rPr>
          <w:rFonts w:ascii="Arial" w:cs="Arial" w:eastAsia="Arial" w:hAnsi="Arial"/>
          <w:sz w:val="17"/>
          <w:szCs w:val="17"/>
          <w:color w:val="auto"/>
        </w:rPr>
        <w:t>. To insure the availability for delivery of the Unreleased Shares in the event of the application of the Forfeiture Restriction,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appoints the Secretary of the Company, or such other person designated by the Administrator from time to time as escrow agent, as its attorney-in-fact to sell, assign and transfer unto the Company, such Unreleased Shares, if any, forfeited pursuant to the Forfeiture Restriction, together with any Retained Distributions paid thereon pursuant to Section 1(c) and held by the Company, and shall deliver and deposit with the Secretary of the Company, or such other person designated by the Administrator from time to time, the share certificate(s) representing the Shares, together with the Stock Assignment. The Unreleased Shares and Stock Assignment (and any Retained Distributions) shall be held by the Secretary, or such other person designated by the Administrator from time to time, in escrow, until the Shares are forfeited as provided in Section 2(a), until such Shares are fully released from the Forfeiture Restriction or until such time as this Agreement no longer is in effect. Upon release of the Unreleased Shares from the Forfeiture Restriction, the escrow agent shall as soon as reasonably practicable deliver to Participant the certificate or certificates representing such Shares in the escrow agent’s possession belonging to Participant, and the escrow agent shall be discharged of all further obligations hereunder. The Company, or its designee, shall not be liable for any act it may do or omit to do with respect to holding the Shares (or any Retained Distributions) in escrow and while acting in good faith and in the exercise of its judgment.</w:t>
      </w:r>
    </w:p>
    <w:p>
      <w:pPr>
        <w:spacing w:after="0" w:line="179" w:lineRule="exact"/>
        <w:rPr>
          <w:rFonts w:ascii="Arial" w:cs="Arial" w:eastAsia="Arial" w:hAnsi="Arial"/>
          <w:sz w:val="17"/>
          <w:szCs w:val="17"/>
          <w:color w:val="auto"/>
        </w:rPr>
      </w:pPr>
    </w:p>
    <w:p>
      <w:pPr>
        <w:ind w:left="760" w:hanging="316"/>
        <w:spacing w:after="0"/>
        <w:tabs>
          <w:tab w:leader="none" w:pos="760" w:val="left"/>
        </w:tabs>
        <w:numPr>
          <w:ilvl w:val="0"/>
          <w:numId w:val="265"/>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3" w:right="439" w:bottom="1440" w:gutter="0" w:footer="0" w:header="0"/>
        </w:sectPr>
      </w:pPr>
    </w:p>
    <w:bookmarkStart w:id="423" w:name="page424"/>
    <w:bookmarkEnd w:id="423"/>
    <w:p>
      <w:pPr>
        <w:ind w:firstLine="885"/>
        <w:spacing w:after="0" w:line="342" w:lineRule="auto"/>
        <w:tabs>
          <w:tab w:leader="none" w:pos="1315"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6"/>
          <w:szCs w:val="16"/>
          <w:color w:val="auto"/>
        </w:rPr>
        <w:t>. Participant understands and agrees that the Company shall cause any certificates issued evidencing the Shares to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legends set forth below or legends substantially equivalent thereto, together with any other legends that may be required by Applicable Laws:</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SHARES REPRESENTED HEREBY HAVE NOT BEEN REGISTERED UNDER THE SECURITIES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ACT OF 1933, AS AMENDED (“ACT”), NOR HAVE THEY BEEN REGISTERED OR QUALIFIED UNDER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SECURITIES  LAWS  OF  ANY  STATE.  NO  TRANSFER  OF  SUCH  SECURITIES  WILL  BE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PERMITTED UNLESS A REGISTRATION STATEMENT UNDER THE ACT IS IN EFFECT AS TO SUCH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TRANSFER, THE TRANSFER IS MADE IN ACCORDANCE WITH RULE 144 UNDER THE ACT, OR IN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OPINION OF COUNSEL (WHICH MAY BE COUNSEL FOR THE COMPANY) REGISTRATION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UNDER THE ACT IS UNNECESSARY IN ORDER FOR SUCH TRANSFER TO COMPLY WITH THE ACT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AND WITH APPLICABLE STATE SECURITIES LAWS.</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SHARES  REPRESENTED  BY  THIS  CERTIFICATE  MAY  BE  SUBJECT  TO  FORFEITURE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PURSUANT TO, AND MAY BE TRANSFERRED ONLY IN ACCORDANCE WITH, THE TERMS OF AN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AGREEMENT BETWEEN THE COMPANY AND THE STOCKHOLDER, A COPY OF WHICH IS ON FILE</w:t>
      </w:r>
    </w:p>
    <w:p>
      <w:pPr>
        <w:spacing w:after="0" w:line="9" w:lineRule="exact"/>
        <w:rPr>
          <w:sz w:val="20"/>
          <w:szCs w:val="20"/>
          <w:color w:val="auto"/>
        </w:rPr>
      </w:pPr>
    </w:p>
    <w:p>
      <w:pPr>
        <w:ind w:left="1440"/>
        <w:spacing w:after="0"/>
        <w:tabs>
          <w:tab w:leader="none" w:pos="2060" w:val="left"/>
          <w:tab w:leader="none" w:pos="2600" w:val="left"/>
          <w:tab w:leader="none" w:pos="3800" w:val="left"/>
          <w:tab w:leader="none" w:pos="4220" w:val="left"/>
          <w:tab w:leader="none" w:pos="4740" w:val="left"/>
          <w:tab w:leader="none" w:pos="5840" w:val="left"/>
          <w:tab w:leader="none" w:pos="6500" w:val="left"/>
          <w:tab w:leader="none" w:pos="7780" w:val="left"/>
          <w:tab w:leader="none" w:pos="8640" w:val="left"/>
        </w:tabs>
        <w:rPr>
          <w:sz w:val="20"/>
          <w:szCs w:val="20"/>
          <w:color w:val="auto"/>
        </w:rPr>
      </w:pPr>
      <w:r>
        <w:rPr>
          <w:rFonts w:ascii="Arial" w:cs="Arial" w:eastAsia="Arial" w:hAnsi="Arial"/>
          <w:sz w:val="18"/>
          <w:szCs w:val="18"/>
          <w:color w:val="auto"/>
        </w:rPr>
        <w:t>WITH</w:t>
        <w:tab/>
        <w:t>THE</w:t>
        <w:tab/>
        <w:t>SECRETARY</w:t>
        <w:tab/>
        <w:t>OF</w:t>
        <w:tab/>
        <w:t>THE</w:t>
        <w:tab/>
        <w:t>COMPANY.</w:t>
        <w:tab/>
        <w:t>SUCH</w:t>
        <w:tab/>
        <w:t>FORFEITURE</w:t>
        <w:tab/>
        <w:t>AND/OR</w:t>
      </w:r>
      <w:r>
        <w:rPr>
          <w:sz w:val="20"/>
          <w:szCs w:val="20"/>
          <w:color w:val="auto"/>
        </w:rPr>
        <w:tab/>
      </w:r>
      <w:r>
        <w:rPr>
          <w:rFonts w:ascii="Arial" w:cs="Arial" w:eastAsia="Arial" w:hAnsi="Arial"/>
          <w:sz w:val="17"/>
          <w:szCs w:val="17"/>
          <w:color w:val="auto"/>
        </w:rPr>
        <w:t>TRANSFER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RESTRICTIONS ARE BINDING ON TRANSFEREES OF THESE SHARES.</w:t>
      </w:r>
    </w:p>
    <w:p>
      <w:pPr>
        <w:spacing w:after="0" w:line="211" w:lineRule="exact"/>
        <w:rPr>
          <w:sz w:val="20"/>
          <w:szCs w:val="20"/>
          <w:color w:val="auto"/>
        </w:rPr>
      </w:pPr>
    </w:p>
    <w:p>
      <w:pPr>
        <w:jc w:val="both"/>
        <w:ind w:firstLine="885"/>
        <w:spacing w:after="0" w:line="264" w:lineRule="auto"/>
        <w:tabs>
          <w:tab w:leader="none" w:pos="1366"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Stop Transfer Orders</w:t>
      </w:r>
      <w:r>
        <w:rPr>
          <w:rFonts w:ascii="Arial" w:cs="Arial" w:eastAsia="Arial" w:hAnsi="Arial"/>
          <w:sz w:val="18"/>
          <w:szCs w:val="18"/>
          <w:color w:val="auto"/>
        </w:rPr>
        <w:t>. Participant agrees that, in order to ensure compliance with the restrictions referred to in the Plan and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jc w:val="both"/>
        <w:ind w:firstLine="885"/>
        <w:spacing w:after="0" w:line="259" w:lineRule="auto"/>
        <w:tabs>
          <w:tab w:leader="none" w:pos="1356"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Impermissible Transfers Void</w:t>
      </w:r>
      <w:r>
        <w:rPr>
          <w:rFonts w:ascii="Arial" w:cs="Arial" w:eastAsia="Arial" w:hAnsi="Arial"/>
          <w:sz w:val="18"/>
          <w:szCs w:val="18"/>
          <w:color w:val="auto"/>
        </w:rPr>
        <w:t>. The Company shall not be required (i) to transfer on its books any Shares that have been sold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violation of any of the provisions of this Agreement or (ii) to treat as owner of such Shares or to accord the right to vote or pay dividends to any purchaser or other transferee to whom such Shares shall have been so transferred. Any transfer or attempted transfer of the Shares not in accordance with the terms of this Agreement shall be void.</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268"/>
        </w:numPr>
        <w:rPr>
          <w:rFonts w:ascii="Arial" w:cs="Arial" w:eastAsia="Arial" w:hAnsi="Arial"/>
          <w:sz w:val="18"/>
          <w:szCs w:val="18"/>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97" w:lineRule="auto"/>
        <w:tabs>
          <w:tab w:leader="none" w:pos="1288" w:val="left"/>
        </w:tabs>
        <w:numPr>
          <w:ilvl w:val="1"/>
          <w:numId w:val="268"/>
        </w:numPr>
        <w:rPr>
          <w:rFonts w:ascii="Arial" w:cs="Arial" w:eastAsia="Arial" w:hAnsi="Arial"/>
          <w:sz w:val="16"/>
          <w:szCs w:val="16"/>
          <w:color w:val="auto"/>
        </w:rPr>
      </w:pPr>
      <w:r>
        <w:rPr>
          <w:rFonts w:ascii="Arial" w:cs="Arial" w:eastAsia="Arial" w:hAnsi="Arial"/>
          <w:sz w:val="16"/>
          <w:szCs w:val="16"/>
          <w:i w:val="1"/>
          <w:iCs w:val="1"/>
          <w:color w:val="auto"/>
        </w:rPr>
        <w:t>Tax Consequences of Award</w:t>
      </w:r>
      <w:r>
        <w:rPr>
          <w:rFonts w:ascii="Arial" w:cs="Arial" w:eastAsia="Arial" w:hAnsi="Arial"/>
          <w:sz w:val="16"/>
          <w:szCs w:val="16"/>
          <w:color w:val="auto"/>
        </w:rPr>
        <w:t>. Participant understands that Participant may suffer adverse tax consequences as a result of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vesting in or disposition of the Shares. Participant represents that Participant has consulted with any tax consultants Participant deems advisable in connection with the receipt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the transactions contemplated by this Agreement.</w:t>
      </w:r>
    </w:p>
    <w:p>
      <w:pPr>
        <w:spacing w:after="0" w:line="158" w:lineRule="exact"/>
        <w:rPr>
          <w:rFonts w:ascii="Arial" w:cs="Arial" w:eastAsia="Arial" w:hAnsi="Arial"/>
          <w:sz w:val="16"/>
          <w:szCs w:val="16"/>
          <w:color w:val="auto"/>
        </w:rPr>
      </w:pPr>
    </w:p>
    <w:p>
      <w:pPr>
        <w:ind w:firstLine="885"/>
        <w:spacing w:after="0" w:line="277" w:lineRule="auto"/>
        <w:tabs>
          <w:tab w:leader="none" w:pos="1271"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Section 83(b) Election for Unreleased Shares</w:t>
      </w:r>
      <w:r>
        <w:rPr>
          <w:rFonts w:ascii="Arial" w:cs="Arial" w:eastAsia="Arial" w:hAnsi="Arial"/>
          <w:sz w:val="18"/>
          <w:szCs w:val="18"/>
          <w:color w:val="auto"/>
        </w:rPr>
        <w:t>. Participant acknowledges that, unless an election is filed by Participant with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Service and, if necessary, the proper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424" w:name="page425"/>
    <w:bookmarkEnd w:id="42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taxing authorities, within thirty days of the receipt of the Unreleased Shares, electing pursuant to Section 83(b) of the Code (and similar state tax provisions if applicable) to be taxed currently on their Fair Market Value on the date of issuance, there will be a recognition of taxable income to the Participant equal to the Fair Market Value of the Unreleased Shares at the time the Forfeiture Restriction lapses. Participant represents that Participant has consulted any tax consultant(s) Participant deems advisable in connection with the purchase of the Shares or the filing of the election under Section 83(b) of the Code and similar tax provisions.</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PARTICIPANT ACKNOWLEDGES THAT IT IS PARTICIPANT’S SOLE RESPONSIBILITY AND NOT THE COMPANY’S TO TIMELY FILE THE ELECTION UNDER SECTION 83(B) OF THE CODE, AND THE COMPANY AND ITS REPRESENTATIVES SHALL HAVE NO OBLIGATION OR AUTHORITY TO MAKE THIS FILING ON PARTICIPANT’S BEHALF.</w:t>
      </w:r>
    </w:p>
    <w:p>
      <w:pPr>
        <w:spacing w:after="0" w:line="181" w:lineRule="exact"/>
        <w:rPr>
          <w:sz w:val="20"/>
          <w:szCs w:val="20"/>
          <w:color w:val="auto"/>
        </w:rPr>
      </w:pPr>
    </w:p>
    <w:p>
      <w:pPr>
        <w:jc w:val="both"/>
        <w:ind w:firstLine="885"/>
        <w:spacing w:after="0" w:line="257" w:lineRule="auto"/>
        <w:tabs>
          <w:tab w:leader="none" w:pos="1339"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authority and the right to deduct or withhold, or require Participant to remit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 amount sufficient to satisfy federal, state, local and foreign taxes (including Participant’s employment tax obligation) required by Applicable Law to be withheld with respect to any taxable event concerning Participant arising as a result of the grant or vesting of the Shares or otherwise under this Agreement, including, without limitation, the authority to deduct such amounts from other compensation payable to Participant by the Company.</w:t>
      </w:r>
    </w:p>
    <w:p>
      <w:pPr>
        <w:spacing w:after="0" w:line="188" w:lineRule="exact"/>
        <w:rPr>
          <w:rFonts w:ascii="Arial" w:cs="Arial" w:eastAsia="Arial" w:hAnsi="Arial"/>
          <w:sz w:val="18"/>
          <w:szCs w:val="18"/>
          <w:color w:val="auto"/>
        </w:rPr>
      </w:pPr>
    </w:p>
    <w:p>
      <w:pPr>
        <w:ind w:left="760" w:hanging="316"/>
        <w:spacing w:after="0"/>
        <w:tabs>
          <w:tab w:leader="none" w:pos="760" w:val="left"/>
        </w:tabs>
        <w:numPr>
          <w:ilvl w:val="0"/>
          <w:numId w:val="270"/>
        </w:numPr>
        <w:rPr>
          <w:rFonts w:ascii="Arial" w:cs="Arial" w:eastAsia="Arial" w:hAnsi="Arial"/>
          <w:sz w:val="16"/>
          <w:szCs w:val="16"/>
          <w:color w:val="auto"/>
        </w:rPr>
      </w:pPr>
      <w:r>
        <w:rPr>
          <w:rFonts w:ascii="Arial" w:cs="Arial" w:eastAsia="Arial" w:hAnsi="Arial"/>
          <w:sz w:val="16"/>
          <w:szCs w:val="16"/>
          <w:b w:val="1"/>
          <w:bCs w:val="1"/>
          <w:i w:val="1"/>
          <w:iCs w:val="1"/>
          <w:color w:val="auto"/>
        </w:rPr>
        <w:t>Participant Representations</w:t>
      </w:r>
      <w:r>
        <w:rPr>
          <w:rFonts w:ascii="Arial" w:cs="Arial" w:eastAsia="Arial" w:hAnsi="Arial"/>
          <w:sz w:val="16"/>
          <w:szCs w:val="16"/>
          <w:color w:val="auto"/>
        </w:rPr>
        <w:t>. Participant hereby makes the following certifications and representations with respect to the Shares listed above:</w:t>
      </w:r>
    </w:p>
    <w:p>
      <w:pPr>
        <w:spacing w:after="0" w:line="248" w:lineRule="exact"/>
        <w:rPr>
          <w:rFonts w:ascii="Arial" w:cs="Arial" w:eastAsia="Arial" w:hAnsi="Arial"/>
          <w:sz w:val="16"/>
          <w:szCs w:val="16"/>
          <w:color w:val="auto"/>
        </w:rPr>
      </w:pPr>
    </w:p>
    <w:p>
      <w:pPr>
        <w:jc w:val="both"/>
        <w:ind w:firstLine="885"/>
        <w:spacing w:after="0" w:line="312" w:lineRule="auto"/>
        <w:tabs>
          <w:tab w:leader="none" w:pos="136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Shares. Participant is acquiring these Shares for investment for Participant’s own account only and not with a view to, or for resale in connection with, any “distribution” thereof within the meaning of the Securities Act.</w:t>
      </w:r>
    </w:p>
    <w:p>
      <w:pPr>
        <w:spacing w:after="0" w:line="146" w:lineRule="exact"/>
        <w:rPr>
          <w:rFonts w:ascii="Arial" w:cs="Arial" w:eastAsia="Arial" w:hAnsi="Arial"/>
          <w:sz w:val="16"/>
          <w:szCs w:val="16"/>
          <w:color w:val="auto"/>
        </w:rPr>
      </w:pPr>
    </w:p>
    <w:p>
      <w:pPr>
        <w:jc w:val="both"/>
        <w:ind w:firstLine="885"/>
        <w:spacing w:after="0" w:line="272" w:lineRule="auto"/>
        <w:tabs>
          <w:tab w:leader="none" w:pos="129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Participant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will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77" w:lineRule="exact"/>
        <w:rPr>
          <w:rFonts w:ascii="Arial" w:cs="Arial" w:eastAsia="Arial" w:hAnsi="Arial"/>
          <w:sz w:val="17"/>
          <w:szCs w:val="17"/>
          <w:color w:val="auto"/>
        </w:rPr>
      </w:pPr>
    </w:p>
    <w:p>
      <w:pPr>
        <w:jc w:val="both"/>
        <w:ind w:firstLine="885"/>
        <w:spacing w:after="0" w:line="257" w:lineRule="auto"/>
        <w:tabs>
          <w:tab w:leader="none" w:pos="128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days thereafter (or such longer period as any market stand-off agreement may require) the securities exempt under Rule 701 may be resold, subject to the satisfaction of certain of the conditions specified by Rule 144.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425" w:name="page426"/>
    <w:bookmarkEnd w:id="425"/>
    <w:p>
      <w:pPr>
        <w:ind w:firstLine="885"/>
        <w:spacing w:after="0" w:line="277" w:lineRule="auto"/>
        <w:tabs>
          <w:tab w:leader="none" w:pos="1288" w:val="left"/>
        </w:tabs>
        <w:numPr>
          <w:ilvl w:val="1"/>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Company does not qualify under Rule 701 at the time of issuance of the Shares, then the securities may be resold in certain limited circumstances subject to the provisions of Rule 144.</w:t>
      </w:r>
    </w:p>
    <w:p>
      <w:pPr>
        <w:spacing w:after="0" w:line="170" w:lineRule="exact"/>
        <w:rPr>
          <w:rFonts w:ascii="Arial" w:cs="Arial" w:eastAsia="Arial" w:hAnsi="Arial"/>
          <w:sz w:val="18"/>
          <w:szCs w:val="18"/>
          <w:color w:val="auto"/>
        </w:rPr>
      </w:pPr>
    </w:p>
    <w:p>
      <w:pPr>
        <w:jc w:val="both"/>
        <w:ind w:firstLine="885"/>
        <w:spacing w:after="0" w:line="255" w:lineRule="auto"/>
        <w:tabs>
          <w:tab w:leader="none" w:pos="132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89" w:lineRule="exact"/>
        <w:rPr>
          <w:rFonts w:ascii="Arial" w:cs="Arial" w:eastAsia="Arial" w:hAnsi="Arial"/>
          <w:sz w:val="18"/>
          <w:szCs w:val="18"/>
          <w:color w:val="auto"/>
        </w:rPr>
      </w:pPr>
    </w:p>
    <w:p>
      <w:pPr>
        <w:ind w:left="760" w:hanging="316"/>
        <w:spacing w:after="0"/>
        <w:tabs>
          <w:tab w:leader="none" w:pos="760" w:val="left"/>
        </w:tabs>
        <w:numPr>
          <w:ilvl w:val="0"/>
          <w:numId w:val="272"/>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261"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Other Status. </w:t>
      </w:r>
      <w:r>
        <w:rPr>
          <w:rFonts w:ascii="Arial" w:cs="Arial" w:eastAsia="Arial" w:hAnsi="Arial"/>
          <w:sz w:val="18"/>
          <w:szCs w:val="18"/>
          <w:color w:val="auto"/>
        </w:rPr>
        <w:t>No person shall have any claim or right to be granted an Award, and the grant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construed as giving Participant the right to continued employment or any other relationship with the Company. The Company expressly reserves the right at any time to dismiss or otherwise terminate its relationship with Participant free from any liability or claim under the Plan or this Agreement.</w:t>
      </w:r>
    </w:p>
    <w:p>
      <w:pPr>
        <w:spacing w:after="0" w:line="186" w:lineRule="exact"/>
        <w:rPr>
          <w:rFonts w:ascii="Arial" w:cs="Arial" w:eastAsia="Arial" w:hAnsi="Arial"/>
          <w:sz w:val="18"/>
          <w:szCs w:val="18"/>
          <w:color w:val="auto"/>
        </w:rPr>
      </w:pPr>
    </w:p>
    <w:p>
      <w:pPr>
        <w:jc w:val="both"/>
        <w:ind w:firstLine="885"/>
        <w:spacing w:after="0" w:line="255" w:lineRule="auto"/>
        <w:tabs>
          <w:tab w:leader="none" w:pos="1298"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to be given under the terms of this Agreement to the Company shall be addressed to the Company in care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the Company at the Company’s principal executive offices, and any notice to be given to Participant shall be addressed to Participant at the most-recent physical or email address for Participant listed in the Company’s personnel records. By a notice given pursuant to this Section 7(b),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3" w:lineRule="exact"/>
        <w:rPr>
          <w:rFonts w:ascii="Arial" w:cs="Arial" w:eastAsia="Arial" w:hAnsi="Arial"/>
          <w:sz w:val="18"/>
          <w:szCs w:val="18"/>
          <w:color w:val="auto"/>
        </w:rPr>
      </w:pPr>
    </w:p>
    <w:p>
      <w:pPr>
        <w:jc w:val="both"/>
        <w:ind w:firstLine="885"/>
        <w:spacing w:after="0" w:line="286" w:lineRule="auto"/>
        <w:tabs>
          <w:tab w:leader="none" w:pos="1329" w:val="left"/>
        </w:tabs>
        <w:numPr>
          <w:ilvl w:val="1"/>
          <w:numId w:val="272"/>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The Company may assign any of its rights under this Agreement to single or multiple assignees, and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65" w:lineRule="exact"/>
        <w:rPr>
          <w:rFonts w:ascii="Arial" w:cs="Arial" w:eastAsia="Arial" w:hAnsi="Arial"/>
          <w:sz w:val="17"/>
          <w:szCs w:val="17"/>
          <w:color w:val="auto"/>
        </w:rPr>
      </w:pPr>
    </w:p>
    <w:p>
      <w:pPr>
        <w:jc w:val="both"/>
        <w:ind w:firstLine="885"/>
        <w:spacing w:after="0" w:line="312" w:lineRule="auto"/>
        <w:tabs>
          <w:tab w:leader="none" w:pos="1285" w:val="left"/>
        </w:tabs>
        <w:numPr>
          <w:ilvl w:val="1"/>
          <w:numId w:val="272"/>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any portion of the Plan or this Agreement or any action taken pursuant hereto shall be held illegal or invalid</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reason, the illegality or invalidity shall not affect the remaining parts of the Plan and this Agreement, and the Plan and this Agreement shall be construed and enforced as if the illegal or invalid provisions had not been included, and the illegal or invalid action shall be null and void.</w:t>
      </w:r>
    </w:p>
    <w:p>
      <w:pPr>
        <w:spacing w:after="0" w:line="146" w:lineRule="exact"/>
        <w:rPr>
          <w:rFonts w:ascii="Arial" w:cs="Arial" w:eastAsia="Arial" w:hAnsi="Arial"/>
          <w:sz w:val="16"/>
          <w:szCs w:val="16"/>
          <w:color w:val="auto"/>
        </w:rPr>
      </w:pPr>
    </w:p>
    <w:p>
      <w:pPr>
        <w:jc w:val="both"/>
        <w:ind w:firstLine="885"/>
        <w:spacing w:after="0" w:line="255" w:lineRule="auto"/>
        <w:tabs>
          <w:tab w:leader="none" w:pos="1261"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Entire Agreement; Governing Documents</w:t>
      </w:r>
      <w:r>
        <w:rPr>
          <w:rFonts w:ascii="Arial" w:cs="Arial" w:eastAsia="Arial" w:hAnsi="Arial"/>
          <w:sz w:val="18"/>
          <w:szCs w:val="18"/>
          <w:color w:val="auto"/>
        </w:rPr>
        <w:t>. The Plan, the Grant Notice and this Agreement (including all Exhibits thereto) constitute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agreement of the parties and supersede in their entirety all prior undertakings and agreements of the Company and Participant with respect to the subject matter hereof. In the event of any contradiction between the Plan and this Agreement or any other written agreement between a Participant and the Company that has been approved by the Administrator, the terms of the Plan shall govern.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3" w:right="439" w:bottom="1440" w:gutter="0" w:footer="0" w:header="0"/>
        </w:sectPr>
      </w:pPr>
    </w:p>
    <w:bookmarkStart w:id="426" w:name="page427"/>
    <w:bookmarkEnd w:id="42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be transferred in the event of certain transactions, tag-along rights, bring-along rights, redemption and co-sale rights and voting requirements in accordance with Section 10(o) of the Plan.</w:t>
      </w:r>
    </w:p>
    <w:p>
      <w:pPr>
        <w:spacing w:after="0" w:line="170" w:lineRule="exact"/>
        <w:rPr>
          <w:sz w:val="20"/>
          <w:szCs w:val="20"/>
          <w:color w:val="auto"/>
        </w:rPr>
      </w:pPr>
    </w:p>
    <w:p>
      <w:pPr>
        <w:jc w:val="both"/>
        <w:ind w:firstLine="885"/>
        <w:spacing w:after="0" w:line="264" w:lineRule="auto"/>
        <w:tabs>
          <w:tab w:leader="none" w:pos="1241"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and all Awards made thereunder, including the Shares, shall be governed by and interpreted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laws of the State of Delaware, disregarding choice-of-law principles of the law of any state that would require the application of the laws of a jurisdiction other than such state.</w:t>
      </w:r>
    </w:p>
    <w:p>
      <w:pPr>
        <w:spacing w:after="0" w:line="181" w:lineRule="exact"/>
        <w:rPr>
          <w:rFonts w:ascii="Arial" w:cs="Arial" w:eastAsia="Arial" w:hAnsi="Arial"/>
          <w:sz w:val="18"/>
          <w:szCs w:val="18"/>
          <w:color w:val="auto"/>
        </w:rPr>
      </w:pPr>
    </w:p>
    <w:p>
      <w:pPr>
        <w:ind w:firstLine="885"/>
        <w:spacing w:after="0" w:line="277" w:lineRule="auto"/>
        <w:tabs>
          <w:tab w:leader="none" w:pos="1285"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this Agreement are for convenience of reference only and,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conflict, the text of this Agreement, rather than such titles or headings, shall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20"/>
          </w:cols>
          <w:pgMar w:left="440" w:top="274" w:right="43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8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EXHIBIT B</w:t>
            </w: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2"/>
        </w:trPr>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rPr>
              <w:t>TO RESTRICTED STOCK GRANT NOTICE</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8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9"/>
              </w:rPr>
              <w:t>STOCK ASSIGNMENT</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80" w:type="dxa"/>
            <w:vAlign w:val="bottom"/>
            <w:gridSpan w:val="3"/>
          </w:tcPr>
          <w:p>
            <w:pPr>
              <w:jc w:val="center"/>
              <w:ind w:right="15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See instructions below</w:t>
            </w:r>
            <w:r>
              <w:rPr>
                <w:rFonts w:ascii="Arial" w:cs="Arial" w:eastAsia="Arial" w:hAnsi="Arial"/>
                <w:sz w:val="18"/>
                <w:szCs w:val="18"/>
                <w:color w:val="auto"/>
                <w:w w:val="91"/>
              </w:rPr>
              <w:t>]</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92"/>
        </w:trPr>
        <w:tc>
          <w:tcPr>
            <w:tcW w:w="2560" w:type="dxa"/>
            <w:vAlign w:val="bottom"/>
            <w:gridSpan w:val="2"/>
          </w:tcPr>
          <w:p>
            <w:pPr>
              <w:ind w:left="440"/>
              <w:spacing w:after="0"/>
              <w:rPr>
                <w:sz w:val="20"/>
                <w:szCs w:val="20"/>
                <w:color w:val="auto"/>
              </w:rPr>
            </w:pPr>
            <w:r>
              <w:rPr>
                <w:rFonts w:ascii="Arial" w:cs="Arial" w:eastAsia="Arial" w:hAnsi="Arial"/>
                <w:sz w:val="18"/>
                <w:szCs w:val="18"/>
                <w:color w:val="auto"/>
                <w:w w:val="98"/>
              </w:rPr>
              <w:t>FOR VALUE RECEIVED I,</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0"/>
              </w:rPr>
              <w:t>, hereby sell, assign and transfer unto</w:t>
            </w:r>
          </w:p>
        </w:tc>
        <w:tc>
          <w:tcPr>
            <w:tcW w:w="1540" w:type="dxa"/>
            <w:vAlign w:val="bottom"/>
            <w:tcBorders>
              <w:bottom w:val="single" w:sz="8" w:color="auto"/>
            </w:tcBorders>
            <w:gridSpan w:val="2"/>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w w:val="92"/>
              </w:rPr>
              <w:t>the shares of the Common Stock of</w:t>
            </w:r>
          </w:p>
        </w:tc>
      </w:tr>
      <w:tr>
        <w:trPr>
          <w:trHeight w:val="196"/>
        </w:trPr>
        <w:tc>
          <w:tcPr>
            <w:tcW w:w="7980" w:type="dxa"/>
            <w:vAlign w:val="bottom"/>
            <w:gridSpan w:val="6"/>
          </w:tcPr>
          <w:p>
            <w:pPr>
              <w:spacing w:after="0" w:line="196" w:lineRule="exact"/>
              <w:rPr>
                <w:sz w:val="20"/>
                <w:szCs w:val="20"/>
                <w:color w:val="auto"/>
              </w:rPr>
            </w:pPr>
            <w:r>
              <w:rPr>
                <w:rFonts w:ascii="Arial" w:cs="Arial" w:eastAsia="Arial" w:hAnsi="Arial"/>
                <w:sz w:val="18"/>
                <w:szCs w:val="18"/>
                <w:color w:val="auto"/>
                <w:w w:val="94"/>
              </w:rPr>
              <w:t>Gossamer Bio, Inc. registered in my name on the books of said corporation represented by Certificate No.</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w w:val="95"/>
              </w:rPr>
              <w:t>and do hereby irrevocably</w:t>
            </w:r>
          </w:p>
        </w:tc>
      </w:tr>
      <w:tr>
        <w:trPr>
          <w:trHeight w:val="196"/>
        </w:trPr>
        <w:tc>
          <w:tcPr>
            <w:tcW w:w="1640" w:type="dxa"/>
            <w:vAlign w:val="bottom"/>
          </w:tcPr>
          <w:p>
            <w:pPr>
              <w:spacing w:after="0" w:line="196" w:lineRule="exact"/>
              <w:rPr>
                <w:sz w:val="20"/>
                <w:szCs w:val="20"/>
                <w:color w:val="auto"/>
              </w:rPr>
            </w:pPr>
            <w:r>
              <w:rPr>
                <w:rFonts w:ascii="Arial" w:cs="Arial" w:eastAsia="Arial" w:hAnsi="Arial"/>
                <w:sz w:val="18"/>
                <w:szCs w:val="18"/>
                <w:color w:val="auto"/>
                <w:w w:val="91"/>
              </w:rPr>
              <w:t>constitute and appoint</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8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93"/>
              </w:rPr>
              <w:t>to transfer the said stock on the books of the within named corporation with full power of substitution in the</w:t>
            </w:r>
          </w:p>
        </w:tc>
      </w:tr>
      <w:tr>
        <w:trPr>
          <w:trHeight w:val="237"/>
        </w:trPr>
        <w:tc>
          <w:tcPr>
            <w:tcW w:w="256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This Assignment Separate from Certificate may be used only in accordance with the Restricted Stock Grant Notice and Restricted Stock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5"/>
          </w:tcPr>
          <w:p>
            <w:pPr>
              <w:spacing w:after="0"/>
              <w:rPr>
                <w:sz w:val="20"/>
                <w:szCs w:val="20"/>
                <w:color w:val="auto"/>
              </w:rPr>
            </w:pPr>
            <w:r>
              <w:rPr>
                <w:rFonts w:ascii="Arial" w:cs="Arial" w:eastAsia="Arial" w:hAnsi="Arial"/>
                <w:sz w:val="18"/>
                <w:szCs w:val="18"/>
                <w:color w:val="auto"/>
                <w:w w:val="89"/>
              </w:rPr>
              <w:t>Agreement between Gossamer Bio, Inc. and the undersigned dated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144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72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-130810</wp:posOffset>
            </wp:positionV>
            <wp:extent cx="22637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 xml:space="preserve">INSTRUCTIONS: </w:t>
      </w:r>
      <w:r>
        <w:rPr>
          <w:rFonts w:ascii="Arial" w:cs="Arial" w:eastAsia="Arial" w:hAnsi="Arial"/>
          <w:sz w:val="18"/>
          <w:szCs w:val="18"/>
          <w:u w:val="single" w:color="auto"/>
          <w:color w:val="auto"/>
        </w:rPr>
        <w:t>Please do not fill in any blanks other than the signature line. The purpose of this assignment is to enable the Company to enforce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the Forfeiture Restriction, as set forth in the Restricted Stock Grant Notice and Restricted Stock Agreement, without requiring additional signatures on the part of Participant</w:t>
      </w:r>
      <w:r>
        <w:rPr>
          <w:rFonts w:ascii="Arial" w:cs="Arial" w:eastAsia="Arial" w:hAnsi="Arial"/>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69" w:right="439"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20" w:type="dxa"/>
            <w:vAlign w:val="bottom"/>
          </w:tcPr>
          <w:p>
            <w:pPr>
              <w:jc w:val="center"/>
              <w:ind w:right="4410"/>
              <w:spacing w:after="0"/>
              <w:rPr>
                <w:sz w:val="20"/>
                <w:szCs w:val="20"/>
                <w:color w:val="auto"/>
              </w:rPr>
            </w:pPr>
            <w:r>
              <w:rPr>
                <w:rFonts w:ascii="Arial" w:cs="Arial" w:eastAsia="Arial" w:hAnsi="Arial"/>
                <w:sz w:val="18"/>
                <w:szCs w:val="18"/>
                <w:b w:val="1"/>
                <w:bCs w:val="1"/>
                <w:color w:val="auto"/>
              </w:rPr>
              <w:t>EXHIBIT C</w:t>
            </w: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40" w:type="dxa"/>
            <w:vAlign w:val="bottom"/>
            <w:gridSpan w:val="2"/>
          </w:tcPr>
          <w:p>
            <w:pPr>
              <w:jc w:val="center"/>
              <w:ind w:right="3470"/>
              <w:spacing w:after="0"/>
              <w:rPr>
                <w:sz w:val="20"/>
                <w:szCs w:val="20"/>
                <w:color w:val="auto"/>
              </w:rPr>
            </w:pPr>
            <w:r>
              <w:rPr>
                <w:rFonts w:ascii="Arial" w:cs="Arial" w:eastAsia="Arial" w:hAnsi="Arial"/>
                <w:sz w:val="18"/>
                <w:szCs w:val="18"/>
                <w:b w:val="1"/>
                <w:bCs w:val="1"/>
                <w:color w:val="auto"/>
              </w:rPr>
              <w:t>TO RESTRICTED STOCK GRANT NOTICE</w:t>
            </w: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520" w:type="dxa"/>
            <w:vAlign w:val="bottom"/>
          </w:tcPr>
          <w:p>
            <w:pPr>
              <w:jc w:val="center"/>
              <w:ind w:right="4410"/>
              <w:spacing w:after="0"/>
              <w:rPr>
                <w:sz w:val="20"/>
                <w:szCs w:val="20"/>
                <w:color w:val="auto"/>
              </w:rPr>
            </w:pPr>
            <w:r>
              <w:rPr>
                <w:rFonts w:ascii="Arial" w:cs="Arial" w:eastAsia="Arial" w:hAnsi="Arial"/>
                <w:sz w:val="18"/>
                <w:szCs w:val="18"/>
                <w:b w:val="1"/>
                <w:bCs w:val="1"/>
                <w:color w:val="auto"/>
                <w:w w:val="95"/>
              </w:rPr>
              <w:t>CONSENT OF SPOUSE</w:t>
            </w:r>
          </w:p>
        </w:tc>
      </w:tr>
      <w:tr>
        <w:trPr>
          <w:trHeight w:val="392"/>
        </w:trPr>
        <w:tc>
          <w:tcPr>
            <w:tcW w:w="600" w:type="dxa"/>
            <w:vAlign w:val="bottom"/>
          </w:tcPr>
          <w:p>
            <w:pPr>
              <w:ind w:left="440"/>
              <w:spacing w:after="0"/>
              <w:rPr>
                <w:sz w:val="20"/>
                <w:szCs w:val="20"/>
                <w:color w:val="auto"/>
              </w:rPr>
            </w:pPr>
            <w:r>
              <w:rPr>
                <w:rFonts w:ascii="Arial" w:cs="Arial" w:eastAsia="Arial" w:hAnsi="Arial"/>
                <w:sz w:val="18"/>
                <w:szCs w:val="18"/>
                <w:color w:val="auto"/>
              </w:rPr>
              <w:t>I,</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w w:val="90"/>
              </w:rPr>
              <w:t>, spouse of</w:t>
            </w:r>
          </w:p>
        </w:tc>
        <w:tc>
          <w:tcPr>
            <w:tcW w:w="640" w:type="dxa"/>
            <w:vAlign w:val="bottom"/>
          </w:tcPr>
          <w:p>
            <w:pPr>
              <w:spacing w:after="0"/>
              <w:rPr>
                <w:sz w:val="24"/>
                <w:szCs w:val="24"/>
                <w:color w:val="auto"/>
              </w:rPr>
            </w:pP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 have read and approve the foregoing Restricted Stock Grant Notice and Restricted Stock</w:t>
            </w:r>
          </w:p>
        </w:tc>
      </w:tr>
      <w:tr>
        <w:trPr>
          <w:trHeight w:val="20"/>
        </w:trPr>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Arial" w:cs="Arial" w:eastAsia="Arial" w:hAnsi="Arial"/>
                <w:sz w:val="18"/>
                <w:szCs w:val="18"/>
                <w:color w:val="auto"/>
                <w:w w:val="91"/>
              </w:rPr>
              <w:t>Agreement dated</w:t>
            </w:r>
          </w:p>
        </w:tc>
        <w:tc>
          <w:tcPr>
            <w:tcW w:w="15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7"/>
              </w:rPr>
              <w:t>, between my spouse and Gossamer Bio, Inc. In consideration of issuing to my spouse the shares of the</w:t>
            </w: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Common Stock of Gossamer Bio, Inc. set forth in the Restricted Stock Grant Notice and Restricted Stock Agreement, I hereby appoint my spouse as my attorney-in-fact in respect to the exercise of any rights under the Restricted Stock Grant Notice and Restricted Stock Agreement and agree to be bound by the provisions of the Restricted Stock Grant Notice and Restricted Stock Agreement insofar as I may have any rights in said Agreement or any shares issued pursuant thereto under the community property laws or similar laws relating to marital property in effect in the state of our residence as of the date of the signing of the Restricted Stock Grant Notice and Restricted Stock Agreement.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920" w:type="dxa"/>
            <w:vAlign w:val="bottom"/>
          </w:tcPr>
          <w:p>
            <w:pPr>
              <w:ind w:left="2420"/>
              <w:spacing w:after="0"/>
              <w:rPr>
                <w:sz w:val="20"/>
                <w:szCs w:val="20"/>
                <w:color w:val="auto"/>
              </w:rPr>
            </w:pPr>
            <w:r>
              <w:rPr>
                <w:rFonts w:ascii="Arial" w:cs="Arial" w:eastAsia="Arial" w:hAnsi="Arial"/>
                <w:sz w:val="18"/>
                <w:szCs w:val="18"/>
                <w:color w:val="auto"/>
                <w:w w:val="88"/>
              </w:rPr>
              <w:t>Signature of Spouse:</w:t>
            </w:r>
          </w:p>
        </w:tc>
      </w:tr>
      <w:tr>
        <w:trPr>
          <w:trHeight w:val="385"/>
        </w:trPr>
        <w:tc>
          <w:tcPr>
            <w:tcW w:w="5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920" w:type="dxa"/>
            <w:vAlign w:val="bottom"/>
          </w:tcPr>
          <w:p>
            <w:pPr>
              <w:ind w:left="2600"/>
              <w:spacing w:after="0"/>
              <w:rPr>
                <w:sz w:val="20"/>
                <w:szCs w:val="20"/>
                <w:color w:val="auto"/>
              </w:rPr>
            </w:pPr>
            <w:r>
              <w:rPr>
                <w:rFonts w:ascii="Arial" w:cs="Arial" w:eastAsia="Arial" w:hAnsi="Arial"/>
                <w:sz w:val="18"/>
                <w:szCs w:val="18"/>
                <w:color w:val="auto"/>
              </w:rPr>
              <w:t>C-1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-256540</wp:posOffset>
            </wp:positionV>
            <wp:extent cx="185737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83(B) ELECTION AND INSTRUCTIONS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These instructions are provided to assist you if you choose to make an election under Section 83(b) of the Internal Revenue Code, as amended, with respect to the shares of common stock of Gossamer Bio, Inc. transferred to you. </w:t>
      </w:r>
      <w:r>
        <w:rPr>
          <w:rFonts w:ascii="Arial" w:cs="Arial" w:eastAsia="Arial" w:hAnsi="Arial"/>
          <w:sz w:val="18"/>
          <w:szCs w:val="18"/>
          <w:b w:val="1"/>
          <w:bCs w:val="1"/>
          <w:color w:val="auto"/>
        </w:rPr>
        <w:t>Please consult with your personal tax advisor as to whether an</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 of this nature will be in your best interests in light of your personal tax situation.</w:t>
      </w:r>
    </w:p>
    <w:p>
      <w:pPr>
        <w:spacing w:after="0" w:line="18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The executed original of the Section 83(b) election must be filed with the Internal Revenue Service not later than 30 days after the date the shares were transferred to you. </w:t>
      </w:r>
      <w:r>
        <w:rPr>
          <w:rFonts w:ascii="Arial" w:cs="Arial" w:eastAsia="Arial" w:hAnsi="Arial"/>
          <w:sz w:val="17"/>
          <w:szCs w:val="17"/>
          <w:b w:val="1"/>
          <w:bCs w:val="1"/>
          <w:color w:val="auto"/>
        </w:rPr>
        <w:t>There is no remedy for failure to file on time.</w:t>
      </w:r>
      <w:r>
        <w:rPr>
          <w:rFonts w:ascii="Arial" w:cs="Arial" w:eastAsia="Arial" w:hAnsi="Arial"/>
          <w:sz w:val="17"/>
          <w:szCs w:val="17"/>
          <w:color w:val="auto"/>
        </w:rPr>
        <w:t xml:space="preserve"> The steps outlined below should be followed to ensure the election is mailed and filed correctly and in a timely manner. </w:t>
      </w:r>
      <w:r>
        <w:rPr>
          <w:rFonts w:ascii="Arial" w:cs="Arial" w:eastAsia="Arial" w:hAnsi="Arial"/>
          <w:sz w:val="17"/>
          <w:szCs w:val="17"/>
          <w:b w:val="1"/>
          <w:bCs w:val="1"/>
          <w:color w:val="auto"/>
        </w:rPr>
        <w:t>If you make the Section 83(b) election, the election is irrevocable.</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 and make four (4) copies of the signed election form. Your spouse, if any, should sign the Section 83(b) election form as well.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u w:val="single" w:color="auto"/>
          <w:color w:val="auto"/>
        </w:rPr>
        <w:t>Attachment 2</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(1) copy must be sent to Gossamer Bio, Inc. for its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consult your personal tax advisor for the address of the office of the Internal Revenue Service to which you should mail your election form.</w:t>
      </w:r>
    </w:p>
    <w:p>
      <w:pPr>
        <w:sectPr>
          <w:pgSz w:w="11900" w:h="16838" w:orient="portrait"/>
          <w:cols w:equalWidth="0" w:num="1">
            <w:col w:w="11020"/>
          </w:cols>
          <w:pgMar w:left="440" w:top="270" w:right="4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of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231521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461010</wp:posOffset>
            </wp:positionV>
            <wp:extent cx="231521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231521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wp:posOffset>
            </wp:positionV>
            <wp:extent cx="209232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address and taxpayer identification number of the Taxpayer’s spouse are (complete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231521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461010</wp:posOffset>
            </wp:positionV>
            <wp:extent cx="231521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231521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wp:posOffset>
            </wp:positionV>
            <wp:extent cx="20923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property with respect to which the election is being made:</w:t>
      </w:r>
    </w:p>
    <w:p>
      <w:pPr>
        <w:spacing w:after="0" w:line="225" w:lineRule="exact"/>
        <w:rPr>
          <w:sz w:val="20"/>
          <w:szCs w:val="20"/>
          <w:color w:val="auto"/>
        </w:rPr>
      </w:pPr>
    </w:p>
    <w:p>
      <w:pPr>
        <w:ind w:left="2760" w:hanging="786"/>
        <w:spacing w:after="0"/>
        <w:tabs>
          <w:tab w:leader="none" w:pos="27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-10160</wp:posOffset>
            </wp:positionV>
            <wp:extent cx="146685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46685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200" w:val="left"/>
          <w:tab w:leader="none" w:pos="10540" w:val="left"/>
        </w:tabs>
        <w:rPr>
          <w:sz w:val="20"/>
          <w:szCs w:val="20"/>
          <w:color w:val="auto"/>
        </w:rPr>
      </w:pPr>
      <w:r>
        <w:rPr>
          <w:rFonts w:ascii="Arial" w:cs="Arial" w:eastAsia="Arial" w:hAnsi="Arial"/>
          <w:sz w:val="18"/>
          <w:szCs w:val="18"/>
          <w:color w:val="auto"/>
        </w:rPr>
        <w:t>The date on which the property was transferred was</w:t>
      </w:r>
      <w:r>
        <w:rPr>
          <w:sz w:val="20"/>
          <w:szCs w:val="20"/>
          <w:color w:val="auto"/>
        </w:rPr>
        <w:tab/>
      </w:r>
      <w:r>
        <w:rPr>
          <w:rFonts w:ascii="Arial" w:cs="Arial" w:eastAsia="Arial" w:hAnsi="Arial"/>
          <w:sz w:val="18"/>
          <w:szCs w:val="18"/>
          <w:color w:val="auto"/>
        </w:rPr>
        <w:t>. The taxable year to which this election relates is calendar year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-10160</wp:posOffset>
            </wp:positionV>
            <wp:extent cx="9144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1440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-10160</wp:posOffset>
            </wp:positionV>
            <wp:extent cx="4572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Nature of restrictions to which the property is subject:</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Shares are subject to forfeiture upon the occurrence of certain events. This forfeiture restriction lapses based upon the continued performance of services by the taxpayer over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at the time of transfer (determined without regard to any lapse restrictions, as defined in Treasury Regulation Section 1.83-3(i)) of</w:t>
      </w:r>
    </w:p>
    <w:p>
      <w:pPr>
        <w:spacing w:after="0" w:line="4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the Shares was $</w:t>
      </w:r>
      <w:r>
        <w:rPr>
          <w:sz w:val="20"/>
          <w:szCs w:val="20"/>
          <w:color w:val="auto"/>
        </w:rPr>
        <w:tab/>
      </w:r>
      <w:r>
        <w:rPr>
          <w:rFonts w:ascii="Arial" w:cs="Arial" w:eastAsia="Arial" w:hAnsi="Arial"/>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-19050</wp:posOffset>
            </wp:positionV>
            <wp:extent cx="4572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amount paid by the taxpayer for the Shares was $0.00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statement has been furnished to the Company.</w:t>
      </w:r>
    </w:p>
    <w:p>
      <w:pPr>
        <w:spacing w:after="0" w:line="225" w:lineRule="exact"/>
        <w:rPr>
          <w:sz w:val="20"/>
          <w:szCs w:val="20"/>
          <w:color w:val="auto"/>
        </w:rPr>
      </w:pPr>
    </w:p>
    <w:p>
      <w:pPr>
        <w:spacing w:after="0"/>
        <w:tabs>
          <w:tab w:leader="none" w:pos="1940" w:val="left"/>
          <w:tab w:leader="none" w:pos="5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142875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42875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-10160</wp:posOffset>
            </wp:positionV>
            <wp:extent cx="185737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NOTICE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11"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Gossamer 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grants to Recipient the number of shares of the Company’s Common Stock (referred to herein as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set forth below. This Restricted Stock award (this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xml:space="preserve">”) is subject to all of the terms and conditions as set forth herein and in the Restricted Stock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is incorporated herein by reference. This Award is made and granted as a stand-alone award and is not granted under or pursuant to the Company’s 2017 Equity Incentive Plan (as the same may be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However, for convenience purposes, unless otherwise defined herein, the terms defined in the Plan shall have the same defined meanings in this Restricted Stock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Recipient: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Shares of Restricted Stock:</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50% of the Shares shall be vested and not subject to the Forfeiture Restriction (as defined in Section 2(a) of the Agreement) on the Grant Date, 20% of the Shares shall vest and be released from the Forfeiture Restriction on January 4, 2019, and the remaining 30% of the Shares shall vest and be released from the Forfeiture Restriction in forty-eight equal monthly installments thereafter on the last day of each one-month period of Recipient’s service as a full-time employee of the Company thereafter, so that all of the Shares shall be vested and released from the Forfeiture Restriction on January 4, 2023.</w:t>
      </w:r>
    </w:p>
    <w:p>
      <w:pPr>
        <w:spacing w:after="0" w:line="200" w:lineRule="exact"/>
        <w:rPr>
          <w:sz w:val="20"/>
          <w:szCs w:val="20"/>
          <w:color w:val="auto"/>
        </w:rPr>
      </w:pPr>
    </w:p>
    <w:p>
      <w:pPr>
        <w:sectPr>
          <w:pgSz w:w="11900" w:h="16838" w:orient="portrait"/>
          <w:cols w:equalWidth="0" w:num="2">
            <w:col w:w="3480" w:space="720"/>
            <w:col w:w="6820"/>
          </w:cols>
          <w:pgMar w:left="440" w:top="121" w:right="439" w:bottom="1440" w:gutter="0" w:footer="0" w:header="0"/>
          <w:type w:val="continuous"/>
        </w:sectPr>
      </w:pPr>
    </w:p>
    <w:p>
      <w:pPr>
        <w:spacing w:after="0" w:line="5" w:lineRule="exact"/>
        <w:rPr>
          <w:sz w:val="20"/>
          <w:szCs w:val="20"/>
          <w:color w:val="auto"/>
        </w:rPr>
      </w:pPr>
    </w:p>
    <w:p>
      <w:pPr>
        <w:jc w:val="both"/>
        <w:ind w:left="4200"/>
        <w:spacing w:after="0" w:line="290" w:lineRule="auto"/>
        <w:rPr>
          <w:sz w:val="20"/>
          <w:szCs w:val="20"/>
          <w:color w:val="auto"/>
        </w:rPr>
      </w:pPr>
      <w:r>
        <w:rPr>
          <w:rFonts w:ascii="Arial" w:cs="Arial" w:eastAsia="Arial" w:hAnsi="Arial"/>
          <w:sz w:val="16"/>
          <w:szCs w:val="16"/>
          <w:color w:val="auto"/>
        </w:rPr>
        <w:t>In addition, in the event of Recipient’s termination of employment by the Company (or any of its subsidiaries or affiliates, as applicable, or any of their respective successors or assigns) without Cause (as defined below) (excluding by reason of Recipient’s death or Disability (as defined below)) or by Recipient for Good Reason (as defined below), in each case prior to a Change in Control, such number of the Shares shall be vested and no longer subject to the Forfeiture Restriction as would have vested pursuant to the vesting schedule set forth above over the twelve months following the date of termination had Recipient remained employed through such period, with such vesting effective as of the date of such termination.</w:t>
      </w:r>
    </w:p>
    <w:p>
      <w:pPr>
        <w:spacing w:after="0" w:line="193" w:lineRule="exact"/>
        <w:rPr>
          <w:sz w:val="20"/>
          <w:szCs w:val="20"/>
          <w:color w:val="auto"/>
        </w:rPr>
      </w:pPr>
    </w:p>
    <w:p>
      <w:pPr>
        <w:jc w:val="both"/>
        <w:ind w:left="4200"/>
        <w:spacing w:after="0" w:line="255" w:lineRule="auto"/>
        <w:rPr>
          <w:sz w:val="20"/>
          <w:szCs w:val="20"/>
          <w:color w:val="auto"/>
        </w:rPr>
      </w:pPr>
      <w:r>
        <w:rPr>
          <w:rFonts w:ascii="Arial" w:cs="Arial" w:eastAsia="Arial" w:hAnsi="Arial"/>
          <w:sz w:val="18"/>
          <w:szCs w:val="18"/>
          <w:color w:val="auto"/>
        </w:rPr>
        <w:t>In addition, in the event of Recipient’s termination of employment by the Company (or any of its subsidiaries or affiliates, as applicable, or any of their respective successors or assigns) without Cause (excluding by reason of Recipient’s death or Disability) or by Recipient for Good Reason, in each case within twelve months following a Change in Control, then all of the Shares shall be vested and no longer subject to the Forfeiture Restriction effective as of the date of such termination.</w:t>
      </w:r>
    </w:p>
    <w:p>
      <w:pPr>
        <w:spacing w:after="0" w:line="220" w:lineRule="exact"/>
        <w:rPr>
          <w:sz w:val="20"/>
          <w:szCs w:val="20"/>
          <w:color w:val="auto"/>
        </w:rPr>
      </w:pPr>
    </w:p>
    <w:p>
      <w:pPr>
        <w:jc w:val="both"/>
        <w:ind w:left="4200"/>
        <w:spacing w:after="0" w:line="291" w:lineRule="auto"/>
        <w:rPr>
          <w:sz w:val="20"/>
          <w:szCs w:val="20"/>
          <w:color w:val="auto"/>
        </w:rPr>
      </w:pPr>
      <w:r>
        <w:rPr>
          <w:rFonts w:ascii="Arial" w:cs="Arial" w:eastAsia="Arial" w:hAnsi="Arial"/>
          <w:sz w:val="16"/>
          <w:szCs w:val="16"/>
          <w:color w:val="auto"/>
        </w:rPr>
        <w:t>In addition, in the event of Recipient’s termination of employment by reason of his or her death or Disability, then such number of the Shares shall be vested and no longer subject to the Forfeiture Restriction as is equal to the greater of (a) 50% of the number of Shares then subject to the Forfeiture Restriction, or (b) such number of Shares as would have vested and released from the Forfeiture Restriction pursuant to the vesting schedule set forth above over the twelve months following the date of termination had Recipient remained employed through such period, with such vesting effective as of the date of such termination.</w:t>
      </w:r>
    </w:p>
    <w:p>
      <w:pPr>
        <w:sectPr>
          <w:pgSz w:w="11900" w:h="16838" w:orient="portrait"/>
          <w:cols w:equalWidth="0" w:num="1">
            <w:col w:w="11020"/>
          </w:cols>
          <w:pgMar w:left="440" w:top="121" w:right="439" w:bottom="1440" w:gutter="0" w:footer="0" w:header="0"/>
          <w:type w:val="continuous"/>
        </w:sectPr>
      </w:pPr>
    </w:p>
    <w:bookmarkStart w:id="432" w:name="page433"/>
    <w:bookmarkEnd w:id="432"/>
    <w:p>
      <w:pPr>
        <w:jc w:val="both"/>
        <w:ind w:left="420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Grant Notice, the terms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have the meanings given to such terms in that certain offer letter dated January 4, 2018, between the Company and Recipient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w:t>
      </w:r>
    </w:p>
    <w:p>
      <w:pPr>
        <w:spacing w:after="0" w:line="193" w:lineRule="exact"/>
        <w:rPr>
          <w:sz w:val="20"/>
          <w:szCs w:val="20"/>
          <w:color w:val="auto"/>
        </w:rPr>
      </w:pPr>
    </w:p>
    <w:p>
      <w:pPr>
        <w:jc w:val="both"/>
        <w:ind w:left="4200" w:right="20"/>
        <w:spacing w:after="0" w:line="257" w:lineRule="auto"/>
        <w:rPr>
          <w:sz w:val="20"/>
          <w:szCs w:val="20"/>
          <w:color w:val="auto"/>
        </w:rPr>
      </w:pPr>
      <w:r>
        <w:rPr>
          <w:rFonts w:ascii="Arial" w:cs="Arial" w:eastAsia="Arial" w:hAnsi="Arial"/>
          <w:sz w:val="18"/>
          <w:szCs w:val="18"/>
          <w:color w:val="auto"/>
        </w:rPr>
        <w:t>All of the foregoing vesting acceleration shall be subject to Recipient’s (or his or her legal representatives) execution of a general release of all known and unknown claims and covenant not to sue in the form attached to the Offer Letter and the lapse of any revocation period thereunder without exercise by Recipient (or his or her legal representatives) of such revocation right.</w:t>
      </w:r>
    </w:p>
    <w:p>
      <w:pPr>
        <w:spacing w:after="0" w:line="188" w:lineRule="exact"/>
        <w:rPr>
          <w:sz w:val="20"/>
          <w:szCs w:val="20"/>
          <w:color w:val="auto"/>
        </w:rPr>
      </w:pPr>
    </w:p>
    <w:p>
      <w:pPr>
        <w:jc w:val="both"/>
        <w:ind w:right="20" w:firstLine="441"/>
        <w:spacing w:after="0" w:line="273" w:lineRule="auto"/>
        <w:rPr>
          <w:sz w:val="20"/>
          <w:szCs w:val="20"/>
          <w:color w:val="auto"/>
        </w:rPr>
      </w:pPr>
      <w:r>
        <w:rPr>
          <w:rFonts w:ascii="Arial" w:cs="Arial" w:eastAsia="Arial" w:hAnsi="Arial"/>
          <w:sz w:val="17"/>
          <w:szCs w:val="17"/>
          <w:color w:val="auto"/>
        </w:rPr>
        <w:t xml:space="preserve">By his or her signature and the Company’s signature below, Recipient agrees to be bound by the terms and conditions of the Agreement and this Grant Notice. Recipient has reviewed the Agreement and this Grant Notice in their entirety, has had an opportunity to obtain the advice of counsel prior to executing this Grant Notice and fully understands all provisions of this Grant Notice and the Agreement. Recipient hereby agrees to accept as binding, conclusive and final all decisions or interpretations of the Board upon any questions arising under the Agreement. Recipient shall also execute and deliver to the Company the stock assignment duly endorsed in blank, attached to this Grant Notice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Stock Assignment</w:t>
      </w:r>
      <w:r>
        <w:rPr>
          <w:rFonts w:ascii="Arial" w:cs="Arial" w:eastAsia="Arial" w:hAnsi="Arial"/>
          <w:sz w:val="17"/>
          <w:szCs w:val="17"/>
          <w:color w:val="auto"/>
        </w:rPr>
        <w:t xml:space="preserve">”). If Recipient is married, his or her spouse has signed the Consent of Spouse attached to this Grant Notice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GOSSAMER BIO, INC.</w:t>
            </w:r>
          </w:p>
        </w:tc>
        <w:tc>
          <w:tcPr>
            <w:tcW w:w="6040" w:type="dxa"/>
            <w:vAlign w:val="bottom"/>
            <w:gridSpan w:val="2"/>
          </w:tcPr>
          <w:p>
            <w:pPr>
              <w:ind w:left="640"/>
              <w:spacing w:after="0"/>
              <w:rPr>
                <w:sz w:val="20"/>
                <w:szCs w:val="20"/>
                <w:color w:val="auto"/>
              </w:rPr>
            </w:pPr>
            <w:r>
              <w:rPr>
                <w:rFonts w:ascii="Arial" w:cs="Arial" w:eastAsia="Arial" w:hAnsi="Arial"/>
                <w:sz w:val="18"/>
                <w:szCs w:val="18"/>
                <w:b w:val="1"/>
                <w:bCs w:val="1"/>
                <w:color w:val="auto"/>
              </w:rPr>
              <w:t>RECIPIENT</w:t>
            </w: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By:</w:t>
            </w:r>
          </w:p>
        </w:tc>
        <w:tc>
          <w:tcPr>
            <w:tcW w:w="6040" w:type="dxa"/>
            <w:vAlign w:val="bottom"/>
            <w:gridSpan w:val="2"/>
          </w:tcPr>
          <w:p>
            <w:pPr>
              <w:ind w:left="640"/>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Print</w:t>
            </w:r>
          </w:p>
        </w:tc>
        <w:tc>
          <w:tcPr>
            <w:tcW w:w="4400" w:type="dxa"/>
            <w:vAlign w:val="bottom"/>
            <w:tcBorders>
              <w:top w:val="single" w:sz="8" w:color="auto"/>
            </w:tcBorders>
          </w:tcPr>
          <w:p>
            <w:pPr>
              <w:spacing w:after="0"/>
              <w:rPr>
                <w:sz w:val="18"/>
                <w:szCs w:val="18"/>
                <w:color w:val="auto"/>
              </w:rPr>
            </w:pPr>
          </w:p>
        </w:tc>
        <w:tc>
          <w:tcPr>
            <w:tcW w:w="1620" w:type="dxa"/>
            <w:vAlign w:val="bottom"/>
          </w:tcPr>
          <w:p>
            <w:pPr>
              <w:ind w:left="640"/>
              <w:spacing w:after="0"/>
              <w:rPr>
                <w:sz w:val="20"/>
                <w:szCs w:val="20"/>
                <w:color w:val="auto"/>
              </w:rPr>
            </w:pPr>
            <w:r>
              <w:rPr>
                <w:rFonts w:ascii="Arial" w:cs="Arial" w:eastAsia="Arial" w:hAnsi="Arial"/>
                <w:sz w:val="18"/>
                <w:szCs w:val="18"/>
                <w:color w:val="auto"/>
              </w:rPr>
              <w:t>Print</w:t>
            </w:r>
          </w:p>
        </w:tc>
        <w:tc>
          <w:tcPr>
            <w:tcW w:w="4420" w:type="dxa"/>
            <w:vAlign w:val="bottom"/>
            <w:tcBorders>
              <w:top w:val="single" w:sz="8" w:color="auto"/>
            </w:tcBorders>
          </w:tcPr>
          <w:p>
            <w:pPr>
              <w:spacing w:after="0"/>
              <w:rPr>
                <w:sz w:val="18"/>
                <w:szCs w:val="18"/>
                <w:color w:val="auto"/>
              </w:rPr>
            </w:pPr>
          </w:p>
        </w:tc>
      </w:tr>
      <w:tr>
        <w:trPr>
          <w:trHeight w:val="217"/>
        </w:trPr>
        <w:tc>
          <w:tcPr>
            <w:tcW w:w="5000" w:type="dxa"/>
            <w:vAlign w:val="bottom"/>
            <w:gridSpan w:val="2"/>
          </w:tcPr>
          <w:p>
            <w:pPr>
              <w:spacing w:after="0"/>
              <w:rPr>
                <w:sz w:val="20"/>
                <w:szCs w:val="20"/>
                <w:color w:val="auto"/>
              </w:rPr>
            </w:pPr>
            <w:r>
              <w:rPr>
                <w:rFonts w:ascii="Arial" w:cs="Arial" w:eastAsia="Arial" w:hAnsi="Arial"/>
                <w:sz w:val="18"/>
                <w:szCs w:val="18"/>
                <w:color w:val="auto"/>
              </w:rPr>
              <w:t>Name:</w:t>
            </w:r>
          </w:p>
        </w:tc>
        <w:tc>
          <w:tcPr>
            <w:tcW w:w="6040" w:type="dxa"/>
            <w:vAlign w:val="bottom"/>
            <w:gridSpan w:val="2"/>
          </w:tcPr>
          <w:p>
            <w:pPr>
              <w:ind w:left="640"/>
              <w:spacing w:after="0"/>
              <w:rPr>
                <w:sz w:val="20"/>
                <w:szCs w:val="20"/>
                <w:color w:val="auto"/>
              </w:rPr>
            </w:pPr>
            <w:r>
              <w:rPr>
                <w:rFonts w:ascii="Arial" w:cs="Arial" w:eastAsia="Arial" w:hAnsi="Arial"/>
                <w:sz w:val="18"/>
                <w:szCs w:val="18"/>
                <w:color w:val="auto"/>
              </w:rPr>
              <w:t>Name:</w:t>
            </w:r>
          </w:p>
        </w:tc>
      </w:tr>
      <w:tr>
        <w:trPr>
          <w:trHeight w:val="209"/>
        </w:trPr>
        <w:tc>
          <w:tcPr>
            <w:tcW w:w="600" w:type="dxa"/>
            <w:vAlign w:val="bottom"/>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1620" w:type="dxa"/>
            <w:vAlign w:val="bottom"/>
          </w:tcPr>
          <w:p>
            <w:pPr>
              <w:ind w:left="640"/>
              <w:spacing w:after="0"/>
              <w:rPr>
                <w:sz w:val="20"/>
                <w:szCs w:val="20"/>
                <w:color w:val="auto"/>
              </w:rPr>
            </w:pPr>
            <w:r>
              <w:rPr>
                <w:rFonts w:ascii="Arial" w:cs="Arial" w:eastAsia="Arial" w:hAnsi="Arial"/>
                <w:sz w:val="18"/>
                <w:szCs w:val="18"/>
                <w:color w:val="auto"/>
              </w:rPr>
              <w:t>State of</w:t>
            </w:r>
          </w:p>
        </w:tc>
        <w:tc>
          <w:tcPr>
            <w:tcW w:w="4420" w:type="dxa"/>
            <w:vAlign w:val="bottom"/>
            <w:tcBorders>
              <w:top w:val="single" w:sz="8" w:color="auto"/>
            </w:tcBorders>
          </w:tcPr>
          <w:p>
            <w:pPr>
              <w:spacing w:after="0"/>
              <w:rPr>
                <w:sz w:val="18"/>
                <w:szCs w:val="18"/>
                <w:color w:val="auto"/>
              </w:rPr>
            </w:pP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17"/>
                <w:szCs w:val="17"/>
                <w:color w:val="auto"/>
              </w:rPr>
            </w:pPr>
          </w:p>
        </w:tc>
        <w:tc>
          <w:tcPr>
            <w:tcW w:w="1620" w:type="dxa"/>
            <w:vAlign w:val="bottom"/>
          </w:tcPr>
          <w:p>
            <w:pPr>
              <w:ind w:left="640"/>
              <w:spacing w:after="0" w:line="203" w:lineRule="exact"/>
              <w:rPr>
                <w:sz w:val="20"/>
                <w:szCs w:val="20"/>
                <w:color w:val="auto"/>
              </w:rPr>
            </w:pPr>
            <w:r>
              <w:rPr>
                <w:rFonts w:ascii="Arial" w:cs="Arial" w:eastAsia="Arial" w:hAnsi="Arial"/>
                <w:sz w:val="18"/>
                <w:szCs w:val="18"/>
                <w:color w:val="auto"/>
              </w:rPr>
              <w:t>Residence:</w:t>
            </w:r>
          </w:p>
        </w:tc>
        <w:tc>
          <w:tcPr>
            <w:tcW w:w="4420" w:type="dxa"/>
            <w:vAlign w:val="bottom"/>
            <w:tcBorders>
              <w:bottom w:val="single" w:sz="8" w:color="auto"/>
            </w:tcBorders>
          </w:tcPr>
          <w:p>
            <w:pPr>
              <w:spacing w:after="0"/>
              <w:rPr>
                <w:sz w:val="17"/>
                <w:szCs w:val="17"/>
                <w:color w:val="auto"/>
              </w:rPr>
            </w:pPr>
          </w:p>
        </w:tc>
      </w:tr>
    </w:tbl>
    <w:p>
      <w:pPr>
        <w:sectPr>
          <w:pgSz w:w="11900" w:h="16838" w:orient="portrait"/>
          <w:cols w:equalWidth="0" w:num="1">
            <w:col w:w="11040"/>
          </w:cols>
          <w:pgMar w:left="440" w:top="274" w:right="41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GRANT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Recipient the number of Shares indicated in the Grant Notice.</w:t>
      </w:r>
    </w:p>
    <w:p>
      <w:pPr>
        <w:spacing w:after="0" w:line="170"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This Award is made and granted as a stand-alone award, separate and apart from, and outside of, the Plan, and shall not constitute an award granted under or pursuant to the Plan. Notwithstanding the foregoing, the terms, conditions and definitions set forth in the Plan shall apply to the Award (including but not limited to the adjustment provisions contained in Section 8 of the Plan), and the Award shall be subject to such terms, conditions and definitions, which are hereby incorporated into this Agreement by reference. For the avoidance of doubt, the Award shall not be counted for purposes of calculating the aggregate number of Shares that may be issued or transferred pursuant to Awards under the Plan as set forth in Section 4(a) of the Plan. In the event of any inconsistency between the Plan and this Agreement, the terms of this Agreement shall control.</w:t>
      </w:r>
    </w:p>
    <w:p>
      <w:pPr>
        <w:spacing w:after="0" w:line="165" w:lineRule="exact"/>
        <w:rPr>
          <w:sz w:val="20"/>
          <w:szCs w:val="20"/>
          <w:color w:val="auto"/>
        </w:rPr>
      </w:pPr>
    </w:p>
    <w:p>
      <w:pPr>
        <w:ind w:left="760" w:hanging="316"/>
        <w:spacing w:after="0"/>
        <w:tabs>
          <w:tab w:leader="none" w:pos="760"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Grant of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329" w:val="left"/>
        </w:tabs>
        <w:numPr>
          <w:ilvl w:val="1"/>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Grant of Restricted Stock. </w:t>
      </w:r>
      <w:r>
        <w:rPr>
          <w:rFonts w:ascii="Arial" w:cs="Arial" w:eastAsia="Arial" w:hAnsi="Arial"/>
          <w:sz w:val="18"/>
          <w:szCs w:val="18"/>
          <w:color w:val="auto"/>
        </w:rPr>
        <w:t>In consideration of Recipient’s past and/or continued employment with or service to the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parent or subsidiary of the Company and for other good and valuable consideration, which the Board has determined exceeds the par value per Share, effective as of the Grant Date set forth in the Grant Notice, the Company irrevocably grants to Recipient the Shares set forth in the Grant Notice, upon the terms and conditions set forth in the this Agreement.</w:t>
      </w:r>
    </w:p>
    <w:p>
      <w:pPr>
        <w:spacing w:after="0" w:line="186" w:lineRule="exact"/>
        <w:rPr>
          <w:rFonts w:ascii="Arial" w:cs="Arial" w:eastAsia="Arial" w:hAnsi="Arial"/>
          <w:sz w:val="18"/>
          <w:szCs w:val="18"/>
          <w:color w:val="auto"/>
        </w:rPr>
      </w:pPr>
    </w:p>
    <w:p>
      <w:pPr>
        <w:jc w:val="both"/>
        <w:ind w:firstLine="885"/>
        <w:spacing w:after="0" w:line="279" w:lineRule="auto"/>
        <w:tabs>
          <w:tab w:leader="none" w:pos="1352" w:val="left"/>
        </w:tabs>
        <w:numPr>
          <w:ilvl w:val="1"/>
          <w:numId w:val="275"/>
        </w:numPr>
        <w:rPr>
          <w:rFonts w:ascii="Arial" w:cs="Arial" w:eastAsia="Arial" w:hAnsi="Arial"/>
          <w:sz w:val="17"/>
          <w:szCs w:val="17"/>
          <w:color w:val="auto"/>
        </w:rPr>
      </w:pPr>
      <w:r>
        <w:rPr>
          <w:rFonts w:ascii="Arial" w:cs="Arial" w:eastAsia="Arial" w:hAnsi="Arial"/>
          <w:sz w:val="17"/>
          <w:szCs w:val="17"/>
          <w:i w:val="1"/>
          <w:iCs w:val="1"/>
          <w:color w:val="auto"/>
        </w:rPr>
        <w:t xml:space="preserve">Issuance of Shares. </w:t>
      </w:r>
      <w:r>
        <w:rPr>
          <w:rFonts w:ascii="Arial" w:cs="Arial" w:eastAsia="Arial" w:hAnsi="Arial"/>
          <w:sz w:val="17"/>
          <w:szCs w:val="17"/>
          <w:color w:val="auto"/>
        </w:rPr>
        <w:t>On the Grant Date, the Company shall issue the Shares to Recipient and shall (i) cause a share certificate or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representing the Shares to be registered in the name of Recipient, or (ii) cause such Shares to be held in book entry form. If a share certificate is issued, it shall be delivered to and held in custody by the Company and shall bear the restrictive legends required by Section 4(a) below. If the Shares are held in book entry form, then such entry will reflect that the Shares are subject to the restrictions of this Agreement.</w:t>
      </w:r>
    </w:p>
    <w:p>
      <w:pPr>
        <w:spacing w:after="0" w:line="171" w:lineRule="exact"/>
        <w:rPr>
          <w:rFonts w:ascii="Arial" w:cs="Arial" w:eastAsia="Arial" w:hAnsi="Arial"/>
          <w:sz w:val="17"/>
          <w:szCs w:val="17"/>
          <w:color w:val="auto"/>
        </w:rPr>
      </w:pPr>
    </w:p>
    <w:p>
      <w:pPr>
        <w:jc w:val="both"/>
        <w:ind w:firstLine="885"/>
        <w:spacing w:after="0" w:line="287" w:lineRule="auto"/>
        <w:tabs>
          <w:tab w:leader="none" w:pos="1261"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as otherwise provided herein, upon issuance of the Shares by the Company to Recipient (as evidenced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appropriate entry on the books of the Company or of a duly authorized transfer agent of the Company), Recipient shall have all the rights of a stockholder with respect to said Shares, including the right to receive any cash or stock dividends or other distributions paid to or made with respect to the Shares, subject to the restrictions described in the following sentence, which restrictions shall lapse when the Unreleased Shares are released from the Forfeiture Restriction as set forth in Section 2. Unless otherwise provided by the Board, if any dividends or distributions are paid in cash or shares, or consist of a dividend or distribution to holders of Common Stock of property, the cash, shares or other property paid or made with respect to Unreleased Shares will be retained in custody by the Company (without interest) (the “</w:t>
      </w:r>
      <w:r>
        <w:rPr>
          <w:rFonts w:ascii="Arial" w:cs="Arial" w:eastAsia="Arial" w:hAnsi="Arial"/>
          <w:sz w:val="16"/>
          <w:szCs w:val="16"/>
          <w:b w:val="1"/>
          <w:bCs w:val="1"/>
          <w:i w:val="1"/>
          <w:iCs w:val="1"/>
          <w:color w:val="auto"/>
        </w:rPr>
        <w:t>Retained Distributions</w:t>
      </w:r>
      <w:r>
        <w:rPr>
          <w:rFonts w:ascii="Arial" w:cs="Arial" w:eastAsia="Arial" w:hAnsi="Arial"/>
          <w:sz w:val="16"/>
          <w:szCs w:val="16"/>
          <w:color w:val="auto"/>
        </w:rPr>
        <w:t>”) and subject to the same forfeiture and transferability restrictions as the Unreleased Shares with respect to which they were paid or made and shall automatically be forfeited to the Company for no consideration in the event of the forfeiture of the Unreleased Shares with respect to which they were paid pursuant to the Forfeiture Restriction. Any Retained Distributions held by the Company that were paid on those Unreleased Shares as to which the Forfeiture Restriction and transfer restrictions lapse or are removed shall also be released to Recipient at the time of such lapse or removal. In no event shall a Retained Distribution be paid with respect to Unreleased Shares later than the end of the calendar year in which the corresponding dividends</w:t>
      </w:r>
    </w:p>
    <w:p>
      <w:pPr>
        <w:sectPr>
          <w:pgSz w:w="11900" w:h="16838" w:orient="portrait"/>
          <w:cols w:equalWidth="0" w:num="1">
            <w:col w:w="11020"/>
          </w:cols>
          <w:pgMar w:left="440" w:top="270" w:right="439" w:bottom="1440" w:gutter="0" w:footer="0" w:header="0"/>
        </w:sectPr>
      </w:pPr>
    </w:p>
    <w:bookmarkStart w:id="434" w:name="page435"/>
    <w:bookmarkEnd w:id="434"/>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distributions are paid to holders of Common Stock or, if later, the 15th day of the third month following the later of (i) the date the dividends or distributions are paid to holders of Common Stock and (ii) the date the Unreleased Shares with respect to which the Retained Distributions are paid vest. Recipient shall enjoy rights as a stockholder until such time as Recipient disposes of the Shares or the Company and/or its assignee(s) exercises the Right of First Refusal under the Plan. Upon such exercise, Recipient shall have no further rights as a holder of the Shares except the right to receive payment for the Shares so purchased in accordance with the provisions of this Agreement, and Recipient shall forthwith cause the certificate(s), if any issued, evidencing the Shares so purchased to be surrendered to the Company for transfer or cancellation.</w:t>
      </w:r>
    </w:p>
    <w:p>
      <w:pPr>
        <w:spacing w:after="0" w:line="178" w:lineRule="exact"/>
        <w:rPr>
          <w:sz w:val="20"/>
          <w:szCs w:val="20"/>
          <w:color w:val="auto"/>
        </w:rPr>
      </w:pPr>
    </w:p>
    <w:p>
      <w:pPr>
        <w:ind w:left="760" w:hanging="316"/>
        <w:spacing w:after="0"/>
        <w:tabs>
          <w:tab w:leader="none" w:pos="760" w:val="left"/>
        </w:tabs>
        <w:numPr>
          <w:ilvl w:val="0"/>
          <w:numId w:val="276"/>
        </w:numPr>
        <w:rPr>
          <w:rFonts w:ascii="Arial" w:cs="Arial" w:eastAsia="Arial" w:hAnsi="Arial"/>
          <w:sz w:val="18"/>
          <w:szCs w:val="18"/>
          <w:color w:val="auto"/>
        </w:rPr>
      </w:pPr>
      <w:r>
        <w:rPr>
          <w:rFonts w:ascii="Arial" w:cs="Arial" w:eastAsia="Arial" w:hAnsi="Arial"/>
          <w:sz w:val="18"/>
          <w:szCs w:val="18"/>
          <w:b w:val="1"/>
          <w:bCs w:val="1"/>
          <w:i w:val="1"/>
          <w:iCs w:val="1"/>
          <w:color w:val="auto"/>
        </w:rPr>
        <w:t>Restrictions 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97" w:lineRule="auto"/>
        <w:tabs>
          <w:tab w:leader="none" w:pos="1342" w:val="left"/>
        </w:tabs>
        <w:numPr>
          <w:ilvl w:val="1"/>
          <w:numId w:val="276"/>
        </w:numPr>
        <w:rPr>
          <w:rFonts w:ascii="Arial" w:cs="Arial" w:eastAsia="Arial" w:hAnsi="Arial"/>
          <w:sz w:val="16"/>
          <w:szCs w:val="16"/>
          <w:color w:val="auto"/>
        </w:rPr>
      </w:pPr>
      <w:r>
        <w:rPr>
          <w:rFonts w:ascii="Arial" w:cs="Arial" w:eastAsia="Arial" w:hAnsi="Arial"/>
          <w:sz w:val="16"/>
          <w:szCs w:val="16"/>
          <w:i w:val="1"/>
          <w:iCs w:val="1"/>
          <w:color w:val="auto"/>
        </w:rPr>
        <w:t>Forfeiture Restriction</w:t>
      </w:r>
      <w:r>
        <w:rPr>
          <w:rFonts w:ascii="Arial" w:cs="Arial" w:eastAsia="Arial" w:hAnsi="Arial"/>
          <w:sz w:val="16"/>
          <w:szCs w:val="16"/>
          <w:color w:val="auto"/>
        </w:rPr>
        <w:t>. Subject to the provisions of Section 2(b) below, in the event of Recipient’s Termination of Service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all of the Shares which, from time to time, have not yet been released from the Forfeiture Restriction shall thereupon be forfeited immediately and without any further action by the Company (the “</w:t>
      </w:r>
      <w:r>
        <w:rPr>
          <w:rFonts w:ascii="Arial" w:cs="Arial" w:eastAsia="Arial" w:hAnsi="Arial"/>
          <w:sz w:val="16"/>
          <w:szCs w:val="16"/>
          <w:b w:val="1"/>
          <w:bCs w:val="1"/>
          <w:i w:val="1"/>
          <w:iCs w:val="1"/>
          <w:color w:val="auto"/>
        </w:rPr>
        <w:t>Forfeiture Restriction</w:t>
      </w:r>
      <w:r>
        <w:rPr>
          <w:rFonts w:ascii="Arial" w:cs="Arial" w:eastAsia="Arial" w:hAnsi="Arial"/>
          <w:sz w:val="16"/>
          <w:szCs w:val="16"/>
          <w:color w:val="auto"/>
        </w:rPr>
        <w:t>”). Upon the occurrence of such forfeiture, the Company shall become the legal and beneficial owner of the Unreleased Shares (as defined below) so forfeited, and all rights and interests therein or relating thereto, and the Company shall have the right to retain and transfer to its own name the number of Unreleased Shares being forfeited by Recipient.</w:t>
      </w:r>
    </w:p>
    <w:p>
      <w:pPr>
        <w:spacing w:after="0" w:line="158" w:lineRule="exact"/>
        <w:rPr>
          <w:rFonts w:ascii="Arial" w:cs="Arial" w:eastAsia="Arial" w:hAnsi="Arial"/>
          <w:sz w:val="16"/>
          <w:szCs w:val="16"/>
          <w:color w:val="auto"/>
        </w:rPr>
      </w:pPr>
    </w:p>
    <w:p>
      <w:pPr>
        <w:jc w:val="both"/>
        <w:ind w:firstLine="885"/>
        <w:spacing w:after="0" w:line="269" w:lineRule="auto"/>
        <w:tabs>
          <w:tab w:leader="none" w:pos="1352" w:val="left"/>
        </w:tabs>
        <w:numPr>
          <w:ilvl w:val="1"/>
          <w:numId w:val="276"/>
        </w:numPr>
        <w:rPr>
          <w:rFonts w:ascii="Arial" w:cs="Arial" w:eastAsia="Arial" w:hAnsi="Arial"/>
          <w:sz w:val="17"/>
          <w:szCs w:val="17"/>
          <w:color w:val="auto"/>
        </w:rPr>
      </w:pPr>
      <w:r>
        <w:rPr>
          <w:rFonts w:ascii="Arial" w:cs="Arial" w:eastAsia="Arial" w:hAnsi="Arial"/>
          <w:sz w:val="17"/>
          <w:szCs w:val="17"/>
          <w:i w:val="1"/>
          <w:iCs w:val="1"/>
          <w:color w:val="auto"/>
        </w:rPr>
        <w:t>Release of Shares from Restriction</w:t>
      </w:r>
      <w:r>
        <w:rPr>
          <w:rFonts w:ascii="Arial" w:cs="Arial" w:eastAsia="Arial" w:hAnsi="Arial"/>
          <w:sz w:val="17"/>
          <w:szCs w:val="17"/>
          <w:color w:val="auto"/>
        </w:rPr>
        <w:t>. Any Shares that have not yet been released from the Forfeiture Restriction, together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Distributions paid thereon pursuant to Section 1(c) and held by the Company, are referred to herein as the “</w:t>
      </w:r>
      <w:r>
        <w:rPr>
          <w:rFonts w:ascii="Arial" w:cs="Arial" w:eastAsia="Arial" w:hAnsi="Arial"/>
          <w:sz w:val="17"/>
          <w:szCs w:val="17"/>
          <w:b w:val="1"/>
          <w:bCs w:val="1"/>
          <w:i w:val="1"/>
          <w:iCs w:val="1"/>
          <w:color w:val="auto"/>
        </w:rPr>
        <w:t>Unreleased Shares</w:t>
      </w:r>
      <w:r>
        <w:rPr>
          <w:rFonts w:ascii="Arial" w:cs="Arial" w:eastAsia="Arial" w:hAnsi="Arial"/>
          <w:sz w:val="17"/>
          <w:szCs w:val="17"/>
          <w:color w:val="auto"/>
        </w:rPr>
        <w:t>.” The Unreleased Shares shall be released from the Forfeiture Restriction in accordance with the vesting schedules set forth in the Grant Notice. The Unreleased Shares shall be held by the Company in accordance with Section 3 until the Shares are forfeited as provided in Section 2(a), until such Unreleased Shares are fully released from the Forfeiture Restriction, or until such time as this Agreement no longer is in effect. Recipient hereby authorizes and directs the Secretary of the Company, or such other person designated by the Board, to transfer the Unreleased Shares which have been forfeited pursuant to Section 2(a) from Recipient to the Company. As soon as administratively practicable following the release of any Unreleased Shares from the Forfeiture Restriction, the Company shall, as applicable, either deliver to Recipient the certificate or certificates representing such Shares in the Company’s possession belonging to Recipient, or, if the Shares are held in book entry form, then the Company shall remove the notations on the book form. Recipient (or the beneficiary or personal representative of Recipient in the event of Recipient’s death or incapacity, as the case may be) shall deliver to the Company any representations or other documents or assurances as the Company or its representatives deem necessary or advisable in connection with any such delivery.</w:t>
      </w:r>
    </w:p>
    <w:p>
      <w:pPr>
        <w:spacing w:after="0" w:line="180" w:lineRule="exact"/>
        <w:rPr>
          <w:sz w:val="20"/>
          <w:szCs w:val="20"/>
          <w:color w:val="auto"/>
        </w:rPr>
      </w:pPr>
    </w:p>
    <w:p>
      <w:pPr>
        <w:jc w:val="both"/>
        <w:ind w:firstLine="885"/>
        <w:spacing w:after="0" w:line="253" w:lineRule="auto"/>
        <w:tabs>
          <w:tab w:leader="none" w:pos="1285"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Except as otherwise permitted by the Board, the Unreleased Shares shall not be sold, assigned, transferred, pledged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encumbered by Recipient, either voluntarily or by operation of law, except by will or the laws of descent and distribution; provided, however, that, notwithstanding the foregoing, the Board hereby agrees that the Unreleased Shares may be transferred by Recipient to a “Permitted Transferee, provided that any Permitted Transferee agrees to be bound by the provisions of this Agreement and the Shares remain subject to any applicable restrictions set forth in this Agreement. For purposes of this Agreement,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will mean, with respect to Recipient, any child, stepchild, grandchild, parent, stepparent, grandparent, spouse, former spouse, sibling, niece, nephew, mother-in-law, father-in-law, son-in-law, daughter-in-law, brother-in-law, or sister-in-law, including adoptive relationships, any person sharing Recipient’s household (other than a tenant or employee), a trust in which these persons (or the holder) control the management of assets, and any other entity in which these persons (or the holder) own more than fifty percent of the voting interests, or to a custodian, trustee or other fiduciary for the account of Recipient or any of the foregoing persons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 bona fide estate planning transaction, or any other transferee specifically approved by the Board.</w:t>
      </w:r>
    </w:p>
    <w:p>
      <w:pPr>
        <w:spacing w:after="0" w:line="225" w:lineRule="exact"/>
        <w:rPr>
          <w:sz w:val="20"/>
          <w:szCs w:val="20"/>
          <w:color w:val="auto"/>
        </w:rPr>
      </w:pPr>
    </w:p>
    <w:p>
      <w:pPr>
        <w:jc w:val="both"/>
        <w:ind w:firstLine="885"/>
        <w:spacing w:after="0" w:line="264" w:lineRule="auto"/>
        <w:tabs>
          <w:tab w:leader="none" w:pos="1342" w:val="left"/>
        </w:tabs>
        <w:numPr>
          <w:ilvl w:val="2"/>
          <w:numId w:val="278"/>
        </w:numPr>
        <w:rPr>
          <w:rFonts w:ascii="Arial" w:cs="Arial" w:eastAsia="Arial" w:hAnsi="Arial"/>
          <w:sz w:val="18"/>
          <w:szCs w:val="18"/>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Recipient acknowledges that the Shares are subject to a Right of First Refusal pursuant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Bylaws, a copy of which is available from the Secretary of the Company, and shall further be subject to the Right of First Refusal set forth in the Plan as if such provision were fully set forth herein.</w:t>
      </w:r>
    </w:p>
    <w:p>
      <w:pPr>
        <w:spacing w:after="0" w:line="181" w:lineRule="exact"/>
        <w:rPr>
          <w:rFonts w:ascii="Arial" w:cs="Arial" w:eastAsia="Arial" w:hAnsi="Arial"/>
          <w:sz w:val="18"/>
          <w:szCs w:val="18"/>
          <w:color w:val="auto"/>
        </w:rPr>
      </w:pPr>
    </w:p>
    <w:p>
      <w:pPr>
        <w:jc w:val="both"/>
        <w:ind w:firstLine="885"/>
        <w:spacing w:after="0" w:line="284" w:lineRule="auto"/>
        <w:tabs>
          <w:tab w:leader="none" w:pos="1295" w:val="left"/>
        </w:tabs>
        <w:numPr>
          <w:ilvl w:val="2"/>
          <w:numId w:val="278"/>
        </w:numPr>
        <w:rPr>
          <w:rFonts w:ascii="Arial" w:cs="Arial" w:eastAsia="Arial" w:hAnsi="Arial"/>
          <w:sz w:val="16"/>
          <w:szCs w:val="16"/>
          <w:color w:val="auto"/>
        </w:rPr>
      </w:pPr>
      <w:r>
        <w:rPr>
          <w:rFonts w:ascii="Arial" w:cs="Arial" w:eastAsia="Arial" w:hAnsi="Arial"/>
          <w:sz w:val="16"/>
          <w:szCs w:val="16"/>
          <w:i w:val="1"/>
          <w:iCs w:val="1"/>
          <w:color w:val="auto"/>
        </w:rPr>
        <w:t>Market Stand-Off Agreement</w:t>
      </w:r>
      <w:r>
        <w:rPr>
          <w:rFonts w:ascii="Arial" w:cs="Arial" w:eastAsia="Arial" w:hAnsi="Arial"/>
          <w:sz w:val="16"/>
          <w:szCs w:val="16"/>
          <w:color w:val="auto"/>
        </w:rPr>
        <w:t>. Recipient hereby agrees, if so requested by the managing underwriters or the Company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initial public offering of the Company’s Common Stock, that, without the prior written consent of such managing underwriters, Recipient will not offer, sell, contract to sell, grant any option to purchase, make any short sale or otherwise dispose of, assign any legal or beneficial interest in or make a distribution of any capital stock of the Company held by or on behalf of Recipient or beneficially owned by Recipient in accordance with the rules and regulations of the Securities and Exchange Commission for a period of up to 180 days after the date of the final prospectus relating to the Company’s initial public offering (or such other period as may be reasonably requested by the underwriters to accommodate regulatory restrictions on</w:t>
      </w:r>
    </w:p>
    <w:p>
      <w:pPr>
        <w:spacing w:after="0" w:line="4" w:lineRule="exact"/>
        <w:rPr>
          <w:rFonts w:ascii="Arial" w:cs="Arial" w:eastAsia="Arial" w:hAnsi="Arial"/>
          <w:sz w:val="16"/>
          <w:szCs w:val="16"/>
          <w:color w:val="auto"/>
        </w:rPr>
      </w:pPr>
    </w:p>
    <w:p>
      <w:pPr>
        <w:jc w:val="both"/>
        <w:ind w:firstLine="4"/>
        <w:spacing w:after="0" w:line="255" w:lineRule="auto"/>
        <w:tabs>
          <w:tab w:leader="none" w:pos="22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publication or other distribution of research reports and (ii) analyst recommendations and opinions, including, but not limited to, the restrictions contained in Financial Industry Regulatory Authority (FINRA) Rule 2711(f)(4) or NYSE Rule 472(f)(4), or any successor provisions or amendments thereto).</w:t>
      </w:r>
    </w:p>
    <w:p>
      <w:pPr>
        <w:spacing w:after="0" w:line="190" w:lineRule="exact"/>
        <w:rPr>
          <w:rFonts w:ascii="Arial" w:cs="Arial" w:eastAsia="Arial" w:hAnsi="Arial"/>
          <w:sz w:val="18"/>
          <w:szCs w:val="18"/>
          <w:color w:val="auto"/>
        </w:rPr>
      </w:pPr>
    </w:p>
    <w:p>
      <w:pPr>
        <w:jc w:val="both"/>
        <w:ind w:firstLine="885"/>
        <w:spacing w:after="0" w:line="255" w:lineRule="auto"/>
        <w:tabs>
          <w:tab w:leader="none" w:pos="1325" w:val="left"/>
        </w:tabs>
        <w:numPr>
          <w:ilvl w:val="2"/>
          <w:numId w:val="279"/>
        </w:numPr>
        <w:rPr>
          <w:rFonts w:ascii="Arial" w:cs="Arial" w:eastAsia="Arial" w:hAnsi="Arial"/>
          <w:sz w:val="18"/>
          <w:szCs w:val="18"/>
          <w:color w:val="auto"/>
        </w:rPr>
      </w:pPr>
      <w:r>
        <w:rPr>
          <w:rFonts w:ascii="Arial" w:cs="Arial" w:eastAsia="Arial" w:hAnsi="Arial"/>
          <w:sz w:val="18"/>
          <w:szCs w:val="18"/>
          <w:i w:val="1"/>
          <w:iCs w:val="1"/>
          <w:color w:val="auto"/>
        </w:rPr>
        <w:t>Restrictions on Shares; Claw-Back Provisions</w:t>
      </w:r>
      <w:r>
        <w:rPr>
          <w:rFonts w:ascii="Arial" w:cs="Arial" w:eastAsia="Arial" w:hAnsi="Arial"/>
          <w:sz w:val="18"/>
          <w:szCs w:val="18"/>
          <w:color w:val="auto"/>
        </w:rPr>
        <w:t>. The Shares shall be subject to the provisions of Section 10(o) of the Plan as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were fully set forth herein. Recipient hereby agrees to execute such further instruments and to take such further action as the Company requests to carry out the purposes and intent of such section,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such section.</w:t>
      </w:r>
    </w:p>
    <w:p>
      <w:pPr>
        <w:spacing w:after="0" w:line="193" w:lineRule="exact"/>
        <w:rPr>
          <w:rFonts w:ascii="Arial" w:cs="Arial" w:eastAsia="Arial" w:hAnsi="Arial"/>
          <w:sz w:val="18"/>
          <w:szCs w:val="18"/>
          <w:color w:val="auto"/>
        </w:rPr>
      </w:pPr>
    </w:p>
    <w:p>
      <w:pPr>
        <w:jc w:val="both"/>
        <w:ind w:firstLine="444"/>
        <w:spacing w:after="0" w:line="287" w:lineRule="auto"/>
        <w:tabs>
          <w:tab w:leader="none" w:pos="756" w:val="left"/>
        </w:tabs>
        <w:numPr>
          <w:ilvl w:val="1"/>
          <w:numId w:val="279"/>
        </w:numPr>
        <w:rPr>
          <w:rFonts w:ascii="Arial" w:cs="Arial" w:eastAsia="Arial" w:hAnsi="Arial"/>
          <w:sz w:val="16"/>
          <w:szCs w:val="16"/>
          <w:color w:val="auto"/>
        </w:rPr>
      </w:pPr>
      <w:r>
        <w:rPr>
          <w:rFonts w:ascii="Arial" w:cs="Arial" w:eastAsia="Arial" w:hAnsi="Arial"/>
          <w:sz w:val="16"/>
          <w:szCs w:val="16"/>
          <w:b w:val="1"/>
          <w:bCs w:val="1"/>
          <w:i w:val="1"/>
          <w:iCs w:val="1"/>
          <w:color w:val="auto"/>
        </w:rPr>
        <w:t>Escrow</w:t>
      </w:r>
      <w:r>
        <w:rPr>
          <w:rFonts w:ascii="Arial" w:cs="Arial" w:eastAsia="Arial" w:hAnsi="Arial"/>
          <w:sz w:val="16"/>
          <w:szCs w:val="16"/>
          <w:color w:val="auto"/>
        </w:rPr>
        <w:t>. To insure the availability for delivery of the Unreleased Shares in the event of the application of the Forfeiture Restriction,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appoints the Secretary of the Company, or such other person designated by the Board from time to time as escrow agent, as its attorney-in-fact to sell, assign and transfer unto the Company, such Unreleased Shares, if any, forfeited pursuant to the Forfeiture Restriction, together with any Retained Distributions paid thereon pursuant to Section 1(c) and held by the Company, and shall deliver and deposit with the Secretary of the Company, or such other person designated by the Board from time to time, the share certificate(s) representing the Shares, together with the Stock Assignment. The Unreleased Shares and Stock Assignment (and any Retained Distributions) shall be held by the Secretary, or such other person designated by the Board from time to time, in escrow, until the Unreleased Shares are forfeited as provided in Section 2, until such Unreleased Shares are fully released from both the Forfeiture Restriction, or until such time as this Agreement no longer is in effect. Upon release of the Unreleased Shares from both the Forfeiture Restriction, the escrow agent shall as soon as reasonably practicable deliver to Recipient the certificate or certificates representing such Shares in the escrow agent’s possession belonging to Recipient, and the escrow agent shall be discharged of all further obligations hereunder. The Company, or its designee, shall not be liable for any act it may do or omit to do with respect to holding the Unreleased Shares (or any Retained Distributions) in escrow and while acting in good faith and in the exercise of its judgment.</w:t>
      </w:r>
    </w:p>
    <w:p>
      <w:pPr>
        <w:spacing w:after="0" w:line="168" w:lineRule="exact"/>
        <w:rPr>
          <w:rFonts w:ascii="Arial" w:cs="Arial" w:eastAsia="Arial" w:hAnsi="Arial"/>
          <w:sz w:val="16"/>
          <w:szCs w:val="16"/>
          <w:color w:val="auto"/>
        </w:rPr>
      </w:pPr>
    </w:p>
    <w:p>
      <w:pPr>
        <w:ind w:left="760" w:hanging="316"/>
        <w:spacing w:after="0"/>
        <w:tabs>
          <w:tab w:leader="none" w:pos="760" w:val="left"/>
        </w:tabs>
        <w:numPr>
          <w:ilvl w:val="1"/>
          <w:numId w:val="279"/>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3" w:right="439" w:bottom="1440" w:gutter="0" w:footer="0" w:header="0"/>
        </w:sectPr>
      </w:pPr>
    </w:p>
    <w:bookmarkStart w:id="436" w:name="page437"/>
    <w:bookmarkEnd w:id="436"/>
    <w:p>
      <w:pPr>
        <w:ind w:firstLine="885"/>
        <w:spacing w:after="0" w:line="308" w:lineRule="auto"/>
        <w:tabs>
          <w:tab w:leader="none" w:pos="1329" w:val="left"/>
        </w:tabs>
        <w:numPr>
          <w:ilvl w:val="0"/>
          <w:numId w:val="28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7"/>
          <w:szCs w:val="17"/>
          <w:color w:val="auto"/>
        </w:rPr>
        <w:t>. Recipient understands and agrees that the Company shall cause any certificates issued evidencing the Shares to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legends set forth below or legends substantially equivalent thereto, together with any other legends that may be required by Applicable Laws:</w:t>
      </w:r>
    </w:p>
    <w:p>
      <w:pPr>
        <w:spacing w:after="0" w:line="38"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1"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THE SHARES REPRESENTED BY THIS CERTIFICATE MAY BE SUBJECT TO FORFEITURE PURSUANT TO, AND MAY BE TRANSFERRED ONLY IN ACCORDANCE WITH, THE TERMS OF AN AGREEMENT BETWEEN THE COMPANY AND THE STOCKHOLDER, A COPY OF WHICH IS ON FILE WITH THE SECRETARY OF THE COMPANY. SUCH FORFEITURE AND/OR TRANSFER RESTRICTIONS ARE BINDING ON TRANSFEREES OF THESE SHARES.</w:t>
      </w:r>
    </w:p>
    <w:p>
      <w:pPr>
        <w:spacing w:after="0" w:line="187" w:lineRule="exact"/>
        <w:rPr>
          <w:sz w:val="20"/>
          <w:szCs w:val="20"/>
          <w:color w:val="auto"/>
        </w:rPr>
      </w:pPr>
    </w:p>
    <w:p>
      <w:pPr>
        <w:jc w:val="both"/>
        <w:ind w:firstLine="885"/>
        <w:spacing w:after="0" w:line="264" w:lineRule="auto"/>
        <w:tabs>
          <w:tab w:leader="none" w:pos="1352" w:val="left"/>
        </w:tabs>
        <w:numPr>
          <w:ilvl w:val="1"/>
          <w:numId w:val="281"/>
        </w:numPr>
        <w:rPr>
          <w:rFonts w:ascii="Arial" w:cs="Arial" w:eastAsia="Arial" w:hAnsi="Arial"/>
          <w:sz w:val="18"/>
          <w:szCs w:val="18"/>
          <w:color w:val="auto"/>
        </w:rPr>
      </w:pPr>
      <w:r>
        <w:rPr>
          <w:rFonts w:ascii="Arial" w:cs="Arial" w:eastAsia="Arial" w:hAnsi="Arial"/>
          <w:sz w:val="18"/>
          <w:szCs w:val="18"/>
          <w:i w:val="1"/>
          <w:iCs w:val="1"/>
          <w:color w:val="auto"/>
        </w:rPr>
        <w:t>Stop Transfer Orders</w:t>
      </w:r>
      <w:r>
        <w:rPr>
          <w:rFonts w:ascii="Arial" w:cs="Arial" w:eastAsia="Arial" w:hAnsi="Arial"/>
          <w:sz w:val="18"/>
          <w:szCs w:val="18"/>
          <w:color w:val="auto"/>
        </w:rPr>
        <w:t>. Recipient agrees that, in order to ensure compliance with the restrictions referred to in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jc w:val="both"/>
        <w:ind w:firstLine="885"/>
        <w:spacing w:after="0" w:line="259" w:lineRule="auto"/>
        <w:tabs>
          <w:tab w:leader="none" w:pos="1356" w:val="left"/>
        </w:tabs>
        <w:numPr>
          <w:ilvl w:val="1"/>
          <w:numId w:val="281"/>
        </w:numPr>
        <w:rPr>
          <w:rFonts w:ascii="Arial" w:cs="Arial" w:eastAsia="Arial" w:hAnsi="Arial"/>
          <w:sz w:val="18"/>
          <w:szCs w:val="18"/>
          <w:color w:val="auto"/>
        </w:rPr>
      </w:pPr>
      <w:r>
        <w:rPr>
          <w:rFonts w:ascii="Arial" w:cs="Arial" w:eastAsia="Arial" w:hAnsi="Arial"/>
          <w:sz w:val="18"/>
          <w:szCs w:val="18"/>
          <w:i w:val="1"/>
          <w:iCs w:val="1"/>
          <w:color w:val="auto"/>
        </w:rPr>
        <w:t>Impermissible Transfers Void</w:t>
      </w:r>
      <w:r>
        <w:rPr>
          <w:rFonts w:ascii="Arial" w:cs="Arial" w:eastAsia="Arial" w:hAnsi="Arial"/>
          <w:sz w:val="18"/>
          <w:szCs w:val="18"/>
          <w:color w:val="auto"/>
        </w:rPr>
        <w:t>. The Company shall not be required (i) to transfer on its books any Shares that have been sold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violation of any of the provisions of this Agreement or (ii) to treat as owner of such Shares or to accord the right to vote or pay dividends to any purchaser or other transferee to whom such Shares shall have been so transferred. Any transfer or attempted transfer of the Shares not in accordance with the terms of this Agreement shall be void.</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282"/>
        </w:numPr>
        <w:rPr>
          <w:rFonts w:ascii="Arial" w:cs="Arial" w:eastAsia="Arial" w:hAnsi="Arial"/>
          <w:sz w:val="18"/>
          <w:szCs w:val="18"/>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55" w:lineRule="auto"/>
        <w:tabs>
          <w:tab w:leader="none" w:pos="1342" w:val="left"/>
        </w:tabs>
        <w:numPr>
          <w:ilvl w:val="1"/>
          <w:numId w:val="282"/>
        </w:numPr>
        <w:rPr>
          <w:rFonts w:ascii="Arial" w:cs="Arial" w:eastAsia="Arial" w:hAnsi="Arial"/>
          <w:sz w:val="18"/>
          <w:szCs w:val="18"/>
          <w:color w:val="auto"/>
        </w:rPr>
      </w:pPr>
      <w:r>
        <w:rPr>
          <w:rFonts w:ascii="Arial" w:cs="Arial" w:eastAsia="Arial" w:hAnsi="Arial"/>
          <w:sz w:val="18"/>
          <w:szCs w:val="18"/>
          <w:i w:val="1"/>
          <w:iCs w:val="1"/>
          <w:color w:val="auto"/>
        </w:rPr>
        <w:t>Tax Consequences of Award</w:t>
      </w:r>
      <w:r>
        <w:rPr>
          <w:rFonts w:ascii="Arial" w:cs="Arial" w:eastAsia="Arial" w:hAnsi="Arial"/>
          <w:sz w:val="18"/>
          <w:szCs w:val="18"/>
          <w:color w:val="auto"/>
        </w:rPr>
        <w:t>. Recipient understands that Recipient may suffer adverse tax consequences as a result of Recipient’s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vesting in or disposition of the Shares. Recipient represents that Recipient has consulted with any tax consultants or personal advisors Recipient deems advisable in connection with the receipt of the Shares and that Recipient is not relying on the Company for any tax or other advice. Recipient is relying solely on such advisors and not on any statements or representations of the Company or any of its agents. Recipient understands that Recipient (and not the Company) shall be responsible for Recipient’s tax liability that may arise as a result of the transactions contemplated by this Agreement.</w:t>
      </w:r>
    </w:p>
    <w:p>
      <w:pPr>
        <w:spacing w:after="0" w:line="193" w:lineRule="exact"/>
        <w:rPr>
          <w:rFonts w:ascii="Arial" w:cs="Arial" w:eastAsia="Arial" w:hAnsi="Arial"/>
          <w:sz w:val="18"/>
          <w:szCs w:val="18"/>
          <w:color w:val="auto"/>
        </w:rPr>
      </w:pPr>
    </w:p>
    <w:p>
      <w:pPr>
        <w:jc w:val="both"/>
        <w:ind w:firstLine="885"/>
        <w:spacing w:after="0" w:line="264" w:lineRule="auto"/>
        <w:tabs>
          <w:tab w:leader="none" w:pos="1312" w:val="left"/>
        </w:tabs>
        <w:numPr>
          <w:ilvl w:val="1"/>
          <w:numId w:val="282"/>
        </w:numPr>
        <w:rPr>
          <w:rFonts w:ascii="Arial" w:cs="Arial" w:eastAsia="Arial" w:hAnsi="Arial"/>
          <w:sz w:val="18"/>
          <w:szCs w:val="18"/>
          <w:color w:val="auto"/>
        </w:rPr>
      </w:pPr>
      <w:r>
        <w:rPr>
          <w:rFonts w:ascii="Arial" w:cs="Arial" w:eastAsia="Arial" w:hAnsi="Arial"/>
          <w:sz w:val="18"/>
          <w:szCs w:val="18"/>
          <w:i w:val="1"/>
          <w:iCs w:val="1"/>
          <w:color w:val="auto"/>
        </w:rPr>
        <w:t>Section 83(b) Election for Unreleased Shares</w:t>
      </w:r>
      <w:r>
        <w:rPr>
          <w:rFonts w:ascii="Arial" w:cs="Arial" w:eastAsia="Arial" w:hAnsi="Arial"/>
          <w:sz w:val="18"/>
          <w:szCs w:val="18"/>
          <w:color w:val="auto"/>
        </w:rPr>
        <w:t>. Recipient acknowledges that, unless an election is filed by Recipient with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Service and, if necessary, the proper state taxing authorities, within thirty days of the Grant Date, electing pursuant to Section 83(b) of the Code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3" w:right="439" w:bottom="1440" w:gutter="0" w:footer="0" w:header="0"/>
        </w:sectPr>
      </w:pPr>
    </w:p>
    <w:bookmarkStart w:id="437" w:name="page438"/>
    <w:bookmarkEnd w:id="43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state tax provisions if applicable) to be taxed currently on their Fair Market Value on the date of issuance, there will be a recognition of taxable income to Recipient equal to the Fair Market Value of the Unreleased Shares at the time the restrictions thereon lapse. Recipient represents that Recipient has consulted any tax consultants or personal advisors Recipient deems advisable in connection with the filing of the election under Section 83(b) of the Code and similar tax provisions.</w:t>
      </w:r>
    </w:p>
    <w:p>
      <w:pPr>
        <w:spacing w:after="0" w:line="187"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RECIPIENT ACKNOWLEDGES THAT IT IS RECIPIENT’S SOLE RESPONSIBILITY AND NOT THE COMPANY’S TO TIMELY FILE THE ELECTION UNDER SECTION 83(B) OF THE CODE, AND THE COMPANY AND ITS REPRESENTATIVES SHALL HAVE NO OBLIGATION OR AUTHORITY TO MAKE THIS FILING ON RECIPIENT’S BEHALF.</w:t>
      </w:r>
    </w:p>
    <w:p>
      <w:pPr>
        <w:spacing w:after="0" w:line="181" w:lineRule="exact"/>
        <w:rPr>
          <w:sz w:val="20"/>
          <w:szCs w:val="20"/>
          <w:color w:val="auto"/>
        </w:rPr>
      </w:pPr>
    </w:p>
    <w:p>
      <w:pPr>
        <w:jc w:val="both"/>
        <w:ind w:firstLine="885"/>
        <w:spacing w:after="0" w:line="257" w:lineRule="auto"/>
        <w:tabs>
          <w:tab w:leader="none" w:pos="1366" w:val="left"/>
        </w:tabs>
        <w:numPr>
          <w:ilvl w:val="1"/>
          <w:numId w:val="283"/>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authority and the right to deduct or withhold, or require Recipient to remit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 amount sufficient to satisfy federal, state, local and foreign taxes (including Recipient’s employment tax obligation) required by Applicable Law to be withheld with respect to any taxable event concerning Recipient arising as a result of the grant or vesting of the Shares or otherwise under this Agreement, including, without limitation, the authority to deduct such amounts from other compensation payable to Recipient by the Company.</w:t>
      </w:r>
    </w:p>
    <w:p>
      <w:pPr>
        <w:spacing w:after="0" w:line="188" w:lineRule="exact"/>
        <w:rPr>
          <w:rFonts w:ascii="Arial" w:cs="Arial" w:eastAsia="Arial" w:hAnsi="Arial"/>
          <w:sz w:val="18"/>
          <w:szCs w:val="18"/>
          <w:color w:val="auto"/>
        </w:rPr>
      </w:pPr>
    </w:p>
    <w:p>
      <w:pPr>
        <w:ind w:left="760" w:hanging="316"/>
        <w:spacing w:after="0"/>
        <w:tabs>
          <w:tab w:leader="none" w:pos="760" w:val="left"/>
        </w:tabs>
        <w:numPr>
          <w:ilvl w:val="0"/>
          <w:numId w:val="284"/>
        </w:numPr>
        <w:rPr>
          <w:rFonts w:ascii="Arial" w:cs="Arial" w:eastAsia="Arial" w:hAnsi="Arial"/>
          <w:sz w:val="16"/>
          <w:szCs w:val="16"/>
          <w:color w:val="auto"/>
        </w:rPr>
      </w:pPr>
      <w:r>
        <w:rPr>
          <w:rFonts w:ascii="Arial" w:cs="Arial" w:eastAsia="Arial" w:hAnsi="Arial"/>
          <w:sz w:val="16"/>
          <w:szCs w:val="16"/>
          <w:b w:val="1"/>
          <w:bCs w:val="1"/>
          <w:i w:val="1"/>
          <w:iCs w:val="1"/>
          <w:color w:val="auto"/>
        </w:rPr>
        <w:t>Recipient Representations</w:t>
      </w:r>
      <w:r>
        <w:rPr>
          <w:rFonts w:ascii="Arial" w:cs="Arial" w:eastAsia="Arial" w:hAnsi="Arial"/>
          <w:sz w:val="16"/>
          <w:szCs w:val="16"/>
          <w:color w:val="auto"/>
        </w:rPr>
        <w:t>. Recipient hereby makes the following certifications and representations with respect to the Shares listed above:</w:t>
      </w:r>
    </w:p>
    <w:p>
      <w:pPr>
        <w:spacing w:after="0" w:line="248" w:lineRule="exact"/>
        <w:rPr>
          <w:rFonts w:ascii="Arial" w:cs="Arial" w:eastAsia="Arial" w:hAnsi="Arial"/>
          <w:sz w:val="16"/>
          <w:szCs w:val="16"/>
          <w:color w:val="auto"/>
        </w:rPr>
      </w:pPr>
    </w:p>
    <w:p>
      <w:pPr>
        <w:jc w:val="both"/>
        <w:ind w:firstLine="885"/>
        <w:spacing w:after="0" w:line="312" w:lineRule="auto"/>
        <w:tabs>
          <w:tab w:leader="none" w:pos="138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Recipient is aware of the Company’s business affairs and financial condition and has acquired sufficient information about the Company to reach an informed and knowledgeable decision to acquire the Shares. Recipient is acquiring these Shares for investment for Recipient’s own account only and not with a view to, or for resale in connection with, any “distribution” thereof within the meaning of the Securities Act.</w:t>
      </w:r>
    </w:p>
    <w:p>
      <w:pPr>
        <w:spacing w:after="0" w:line="146" w:lineRule="exact"/>
        <w:rPr>
          <w:rFonts w:ascii="Arial" w:cs="Arial" w:eastAsia="Arial" w:hAnsi="Arial"/>
          <w:sz w:val="16"/>
          <w:szCs w:val="16"/>
          <w:color w:val="auto"/>
        </w:rPr>
      </w:pPr>
    </w:p>
    <w:p>
      <w:pPr>
        <w:jc w:val="both"/>
        <w:ind w:firstLine="885"/>
        <w:spacing w:after="0" w:line="272" w:lineRule="auto"/>
        <w:tabs>
          <w:tab w:leader="none" w:pos="131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Recipient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Recipient’s investment intent as expressed herein. Recipient understands that the Shares must be held indefinitely unless they are subsequently registered under the Securities Act or an exemption from such registration is available. Recipient further acknowledges and understands that the Company is under no obligation to register the Shares. Recipient understands that the certificate evidencing the Shares will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77" w:lineRule="exact"/>
        <w:rPr>
          <w:rFonts w:ascii="Arial" w:cs="Arial" w:eastAsia="Arial" w:hAnsi="Arial"/>
          <w:sz w:val="17"/>
          <w:szCs w:val="17"/>
          <w:color w:val="auto"/>
        </w:rPr>
      </w:pPr>
    </w:p>
    <w:p>
      <w:pPr>
        <w:jc w:val="both"/>
        <w:ind w:firstLine="885"/>
        <w:spacing w:after="0" w:line="257" w:lineRule="auto"/>
        <w:tabs>
          <w:tab w:leader="none" w:pos="130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Recipient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In the event the Company becomes subject to the reporting requirements of Section 13 or 15(d) of the Exchange Act, ninety days thereafter (or such longer period as any market stand-off agreement may require) the securities exempt under Rule 701 may be resold, subject to the satisfaction of certain of the conditions specified by Rule 144.</w:t>
      </w:r>
    </w:p>
    <w:p>
      <w:pPr>
        <w:spacing w:after="0" w:line="188" w:lineRule="exact"/>
        <w:rPr>
          <w:rFonts w:ascii="Arial" w:cs="Arial" w:eastAsia="Arial" w:hAnsi="Arial"/>
          <w:sz w:val="18"/>
          <w:szCs w:val="18"/>
          <w:color w:val="auto"/>
        </w:rPr>
      </w:pPr>
    </w:p>
    <w:p>
      <w:pPr>
        <w:ind w:firstLine="885"/>
        <w:spacing w:after="0" w:line="277" w:lineRule="auto"/>
        <w:tabs>
          <w:tab w:leader="none" w:pos="128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In the event that the Company does not qualify under Rule 701 at the time of issuance of the Shares, then the securities may be resold in certain limited circumstances subject to the provisions of Rule 144.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4" w:right="439" w:bottom="1440" w:gutter="0" w:footer="0" w:header="0"/>
        </w:sectPr>
      </w:pPr>
    </w:p>
    <w:bookmarkStart w:id="438" w:name="page439"/>
    <w:bookmarkEnd w:id="438"/>
    <w:p>
      <w:pPr>
        <w:jc w:val="both"/>
        <w:ind w:firstLine="885"/>
        <w:spacing w:after="0" w:line="255" w:lineRule="auto"/>
        <w:tabs>
          <w:tab w:leader="none" w:pos="1263" w:val="left"/>
        </w:tabs>
        <w:numPr>
          <w:ilvl w:val="1"/>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Recipient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Recipient understands that no assurances can be given that any such other registration exemption will be available in such event.</w:t>
      </w:r>
    </w:p>
    <w:p>
      <w:pPr>
        <w:spacing w:after="0" w:line="189" w:lineRule="exact"/>
        <w:rPr>
          <w:rFonts w:ascii="Arial" w:cs="Arial" w:eastAsia="Arial" w:hAnsi="Arial"/>
          <w:sz w:val="18"/>
          <w:szCs w:val="18"/>
          <w:color w:val="auto"/>
        </w:rPr>
      </w:pPr>
    </w:p>
    <w:p>
      <w:pPr>
        <w:ind w:left="760" w:hanging="316"/>
        <w:spacing w:after="0"/>
        <w:tabs>
          <w:tab w:leader="none" w:pos="760" w:val="left"/>
        </w:tabs>
        <w:numPr>
          <w:ilvl w:val="0"/>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64" w:lineRule="auto"/>
        <w:tabs>
          <w:tab w:leader="none" w:pos="1288"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No Right To Employment or Other Status</w:t>
      </w:r>
      <w:r>
        <w:rPr>
          <w:rFonts w:ascii="Arial" w:cs="Arial" w:eastAsia="Arial" w:hAnsi="Arial"/>
          <w:sz w:val="18"/>
          <w:szCs w:val="18"/>
          <w:color w:val="auto"/>
        </w:rPr>
        <w:t>. The grant of this Award shall not be construed as giving a Recipient the right to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any other relationship with the Company. The Company expressly reserves the right at any time to dismiss or otherwise terminate its relationship with Recipient free from any liability or claim under this Agreement.</w:t>
      </w:r>
    </w:p>
    <w:p>
      <w:pPr>
        <w:spacing w:after="0" w:line="181" w:lineRule="exact"/>
        <w:rPr>
          <w:rFonts w:ascii="Arial" w:cs="Arial" w:eastAsia="Arial" w:hAnsi="Arial"/>
          <w:sz w:val="18"/>
          <w:szCs w:val="18"/>
          <w:color w:val="auto"/>
        </w:rPr>
      </w:pPr>
    </w:p>
    <w:p>
      <w:pPr>
        <w:jc w:val="both"/>
        <w:ind w:firstLine="885"/>
        <w:spacing w:after="0" w:line="255" w:lineRule="auto"/>
        <w:tabs>
          <w:tab w:leader="none" w:pos="1298"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to be given under the terms of this Agreement to the Company shall be addressed to the Company in care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the Company at the Company’s principal executive offices, and any notice to be given to Recipient shall be addressed to Recipient at the most-recent physical or email address for Recipient listed in the Company’s personnel records. By a notice given pursuant to this Section 7(b),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3" w:lineRule="exact"/>
        <w:rPr>
          <w:rFonts w:ascii="Arial" w:cs="Arial" w:eastAsia="Arial" w:hAnsi="Arial"/>
          <w:sz w:val="18"/>
          <w:szCs w:val="18"/>
          <w:color w:val="auto"/>
        </w:rPr>
      </w:pPr>
    </w:p>
    <w:p>
      <w:pPr>
        <w:jc w:val="both"/>
        <w:ind w:firstLine="885"/>
        <w:spacing w:after="0" w:line="286" w:lineRule="auto"/>
        <w:tabs>
          <w:tab w:leader="none" w:pos="1329" w:val="left"/>
        </w:tabs>
        <w:numPr>
          <w:ilvl w:val="1"/>
          <w:numId w:val="286"/>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The Company may assign any of its rights under this Agreement to single or multiple assignees, and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inure to the benefit of the successors and assigns of the Company. Subject to the restrictions on transfer herein set forth, this Agreement shall be binding upon Recipient and his or her heirs, executors, administrators, successors and assigns.</w:t>
      </w:r>
    </w:p>
    <w:p>
      <w:pPr>
        <w:spacing w:after="0" w:line="165" w:lineRule="exact"/>
        <w:rPr>
          <w:rFonts w:ascii="Arial" w:cs="Arial" w:eastAsia="Arial" w:hAnsi="Arial"/>
          <w:sz w:val="17"/>
          <w:szCs w:val="17"/>
          <w:color w:val="auto"/>
        </w:rPr>
      </w:pPr>
    </w:p>
    <w:p>
      <w:pPr>
        <w:jc w:val="both"/>
        <w:ind w:firstLine="885"/>
        <w:spacing w:after="0" w:line="264" w:lineRule="auto"/>
        <w:tabs>
          <w:tab w:leader="none" w:pos="1325"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portion of this Agreement or any action taken pursuant hereto shall be held illegal or invalid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the illegality or invalidity shall not affect the remaining parts of this Agreement, and this Agreement shall be construed and enforced as if the illegal or invalid provisions had not been included, and the illegal or invalid action shall be null and void.</w:t>
      </w:r>
    </w:p>
    <w:p>
      <w:pPr>
        <w:spacing w:after="0" w:line="181" w:lineRule="exact"/>
        <w:rPr>
          <w:rFonts w:ascii="Arial" w:cs="Arial" w:eastAsia="Arial" w:hAnsi="Arial"/>
          <w:sz w:val="18"/>
          <w:szCs w:val="18"/>
          <w:color w:val="auto"/>
        </w:rPr>
      </w:pPr>
    </w:p>
    <w:p>
      <w:pPr>
        <w:jc w:val="both"/>
        <w:ind w:firstLine="885"/>
        <w:spacing w:after="0" w:line="255" w:lineRule="auto"/>
        <w:tabs>
          <w:tab w:leader="none" w:pos="1356"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Entire Agreement; Governing Documents</w:t>
      </w:r>
      <w:r>
        <w:rPr>
          <w:rFonts w:ascii="Arial" w:cs="Arial" w:eastAsia="Arial" w:hAnsi="Arial"/>
          <w:sz w:val="18"/>
          <w:szCs w:val="18"/>
          <w:color w:val="auto"/>
        </w:rPr>
        <w:t>. The Grant Notice, the Offer Letter and this Agreement (including all Exhibits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the entire agreement of the parties and supersede in their entirety all prior undertakings and agreements of the Company and Recipient with respect to the subject matter hereof. Recipient hereby agrees to execute such further instruments and to take such further action as the Company requests to carry out the purposes and intent of this Agreement, including, without limitation, restrictions on the transferability of shares of Common Stock, the right of the Company to reacquire or repurchase shares of Common Stock, the right of the Company to require that shares of Common Stock be transferred in the event of certain transactions, tag-along rights, bring-along rights, redemption and co-sale rights and voting requirements in accordance with this Agreement.</w:t>
      </w:r>
    </w:p>
    <w:p>
      <w:pPr>
        <w:spacing w:after="0" w:line="189" w:lineRule="exact"/>
        <w:rPr>
          <w:rFonts w:ascii="Arial" w:cs="Arial" w:eastAsia="Arial" w:hAnsi="Arial"/>
          <w:sz w:val="18"/>
          <w:szCs w:val="18"/>
          <w:color w:val="auto"/>
        </w:rPr>
      </w:pPr>
    </w:p>
    <w:p>
      <w:pPr>
        <w:jc w:val="both"/>
        <w:ind w:firstLine="885"/>
        <w:spacing w:after="0" w:line="264" w:lineRule="auto"/>
        <w:tabs>
          <w:tab w:leader="none" w:pos="1268"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this Agreement, including the Shares, shall be governed by and interpreted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Delaware, disregarding choice-of-law principles of the law of any state that would require the application of the laws of a jurisdiction other than such state.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20"/>
          </w:cols>
          <w:pgMar w:left="440" w:top="274" w:right="439" w:bottom="1440" w:gutter="0" w:footer="0" w:header="0"/>
        </w:sectPr>
      </w:pPr>
    </w:p>
    <w:bookmarkStart w:id="439" w:name="page440"/>
    <w:bookmarkEnd w:id="439"/>
    <w:p>
      <w:pPr>
        <w:ind w:firstLine="885"/>
        <w:spacing w:after="0" w:line="277" w:lineRule="auto"/>
        <w:tabs>
          <w:tab w:leader="none" w:pos="1285"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Titles and Headings</w:t>
      </w:r>
      <w:r>
        <w:rPr>
          <w:rFonts w:ascii="Arial" w:cs="Arial" w:eastAsia="Arial" w:hAnsi="Arial"/>
          <w:sz w:val="18"/>
          <w:szCs w:val="18"/>
          <w:color w:val="auto"/>
        </w:rPr>
        <w:t>. The titles and headings of the Sections in this Agreement are for convenience of reference only and,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conflict, the text of this Agreement, rather than such titles or headings, shall control.</w:t>
      </w:r>
    </w:p>
    <w:p>
      <w:pPr>
        <w:spacing w:after="0" w:line="170" w:lineRule="exact"/>
        <w:rPr>
          <w:rFonts w:ascii="Arial" w:cs="Arial" w:eastAsia="Arial" w:hAnsi="Arial"/>
          <w:sz w:val="18"/>
          <w:szCs w:val="18"/>
          <w:color w:val="auto"/>
        </w:rPr>
      </w:pPr>
    </w:p>
    <w:p>
      <w:pPr>
        <w:jc w:val="both"/>
        <w:ind w:firstLine="885"/>
        <w:spacing w:after="0" w:line="273" w:lineRule="auto"/>
        <w:tabs>
          <w:tab w:leader="none" w:pos="1325" w:val="left"/>
        </w:tabs>
        <w:numPr>
          <w:ilvl w:val="0"/>
          <w:numId w:val="287"/>
        </w:numPr>
        <w:rPr>
          <w:rFonts w:ascii="Arial" w:cs="Arial" w:eastAsia="Arial" w:hAnsi="Arial"/>
          <w:sz w:val="17"/>
          <w:szCs w:val="17"/>
          <w:color w:val="auto"/>
        </w:rPr>
      </w:pPr>
      <w:r>
        <w:rPr>
          <w:rFonts w:ascii="Arial" w:cs="Arial" w:eastAsia="Arial" w:hAnsi="Arial"/>
          <w:sz w:val="17"/>
          <w:szCs w:val="17"/>
          <w:i w:val="1"/>
          <w:iCs w:val="1"/>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BEEN QUALIFIED WITH THE COMMISSIONER OF CORPORATIONS OF THE STATE OF CALIFORNIA AND THE ISSUANCE OF SUCH SECURITIES OR THE PAYMENT OR RECEIPT OF ANY PART OF THE CONSIDERATION THEREFORE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0"/>
          </w:cols>
          <w:pgMar w:left="440" w:top="274" w:right="43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6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rPr>
              <w:t>EXHIBIT B</w:t>
            </w:r>
          </w:p>
        </w:tc>
        <w:tc>
          <w:tcPr>
            <w:tcW w:w="370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rPr>
              <w:t>TO RESTRICTED STOCK GRANT NOTICE</w:t>
            </w:r>
          </w:p>
        </w:tc>
        <w:tc>
          <w:tcPr>
            <w:tcW w:w="37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9"/>
              </w:rPr>
              <w:t>STOCK ASSIGNMENT</w:t>
            </w:r>
          </w:p>
        </w:tc>
        <w:tc>
          <w:tcPr>
            <w:tcW w:w="37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gridSpan w:val="4"/>
          </w:tcPr>
          <w:p>
            <w:pPr>
              <w:jc w:val="center"/>
              <w:ind w:left="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See instructions below</w:t>
            </w:r>
            <w:r>
              <w:rPr>
                <w:rFonts w:ascii="Arial" w:cs="Arial" w:eastAsia="Arial" w:hAnsi="Arial"/>
                <w:sz w:val="18"/>
                <w:szCs w:val="18"/>
                <w:color w:val="auto"/>
                <w:w w:val="91"/>
              </w:rPr>
              <w:t>]</w:t>
            </w:r>
          </w:p>
        </w:tc>
        <w:tc>
          <w:tcPr>
            <w:tcW w:w="3700" w:type="dxa"/>
            <w:vAlign w:val="bottom"/>
          </w:tcPr>
          <w:p>
            <w:pPr>
              <w:spacing w:after="0"/>
              <w:rPr>
                <w:sz w:val="24"/>
                <w:szCs w:val="24"/>
                <w:color w:val="auto"/>
              </w:rPr>
            </w:pPr>
          </w:p>
        </w:tc>
      </w:tr>
      <w:tr>
        <w:trPr>
          <w:trHeight w:val="392"/>
        </w:trPr>
        <w:tc>
          <w:tcPr>
            <w:tcW w:w="2560" w:type="dxa"/>
            <w:vAlign w:val="bottom"/>
            <w:gridSpan w:val="2"/>
          </w:tcPr>
          <w:p>
            <w:pPr>
              <w:ind w:left="440"/>
              <w:spacing w:after="0"/>
              <w:rPr>
                <w:sz w:val="20"/>
                <w:szCs w:val="20"/>
                <w:color w:val="auto"/>
              </w:rPr>
            </w:pPr>
            <w:r>
              <w:rPr>
                <w:rFonts w:ascii="Arial" w:cs="Arial" w:eastAsia="Arial" w:hAnsi="Arial"/>
                <w:sz w:val="18"/>
                <w:szCs w:val="18"/>
                <w:color w:val="auto"/>
                <w:w w:val="98"/>
              </w:rPr>
              <w:t>FOR VALUE RECEIVED I,</w:t>
            </w:r>
          </w:p>
        </w:tc>
        <w:tc>
          <w:tcPr>
            <w:tcW w:w="1000" w:type="dxa"/>
            <w:vAlign w:val="bottom"/>
            <w:tcBorders>
              <w:bottom w:val="single" w:sz="8" w:color="auto"/>
            </w:tcBorders>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0"/>
              </w:rPr>
              <w:t>, hereby sell, assign and transfer unto</w:t>
            </w:r>
          </w:p>
        </w:tc>
        <w:tc>
          <w:tcPr>
            <w:tcW w:w="98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w w:val="90"/>
              </w:rPr>
              <w:t>the shares of the Common Stock of Gossamer Bio,</w:t>
            </w:r>
          </w:p>
        </w:tc>
      </w:tr>
      <w:tr>
        <w:trPr>
          <w:trHeight w:val="196"/>
        </w:trPr>
        <w:tc>
          <w:tcPr>
            <w:tcW w:w="6820" w:type="dxa"/>
            <w:vAlign w:val="bottom"/>
            <w:gridSpan w:val="5"/>
          </w:tcPr>
          <w:p>
            <w:pPr>
              <w:spacing w:after="0" w:line="196" w:lineRule="exact"/>
              <w:rPr>
                <w:sz w:val="20"/>
                <w:szCs w:val="20"/>
                <w:color w:val="auto"/>
              </w:rPr>
            </w:pPr>
            <w:r>
              <w:rPr>
                <w:rFonts w:ascii="Arial" w:cs="Arial" w:eastAsia="Arial" w:hAnsi="Arial"/>
                <w:sz w:val="18"/>
                <w:szCs w:val="18"/>
                <w:color w:val="auto"/>
                <w:w w:val="94"/>
              </w:rPr>
              <w:t>Inc. registered in my name on the books of said corporation represented by Certificate No.</w:t>
            </w:r>
          </w:p>
        </w:tc>
        <w:tc>
          <w:tcPr>
            <w:tcW w:w="500" w:type="dxa"/>
            <w:vAlign w:val="bottom"/>
            <w:tcBorders>
              <w:bottom w:val="single" w:sz="8" w:color="auto"/>
            </w:tcBorders>
            <w:gridSpan w:val="2"/>
          </w:tcPr>
          <w:p>
            <w:pPr>
              <w:spacing w:after="0"/>
              <w:rPr>
                <w:sz w:val="17"/>
                <w:szCs w:val="17"/>
                <w:color w:val="auto"/>
              </w:rPr>
            </w:pPr>
          </w:p>
        </w:tc>
        <w:tc>
          <w:tcPr>
            <w:tcW w:w="3700" w:type="dxa"/>
            <w:vAlign w:val="bottom"/>
          </w:tcPr>
          <w:p>
            <w:pPr>
              <w:jc w:val="right"/>
              <w:spacing w:after="0" w:line="196" w:lineRule="exact"/>
              <w:rPr>
                <w:sz w:val="20"/>
                <w:szCs w:val="20"/>
                <w:color w:val="auto"/>
              </w:rPr>
            </w:pPr>
            <w:r>
              <w:rPr>
                <w:rFonts w:ascii="Arial" w:cs="Arial" w:eastAsia="Arial" w:hAnsi="Arial"/>
                <w:sz w:val="18"/>
                <w:szCs w:val="18"/>
                <w:color w:val="auto"/>
                <w:w w:val="94"/>
              </w:rPr>
              <w:t>and do hereby irrevocably constitute and appoint</w:t>
            </w:r>
          </w:p>
        </w:tc>
      </w:tr>
      <w:tr>
        <w:trPr>
          <w:trHeight w:val="196"/>
        </w:trPr>
        <w:tc>
          <w:tcPr>
            <w:tcW w:w="940" w:type="dxa"/>
            <w:vAlign w:val="bottom"/>
            <w:tcBorders>
              <w:bottom w:val="single" w:sz="8" w:color="auto"/>
            </w:tcBorders>
          </w:tcPr>
          <w:p>
            <w:pPr>
              <w:spacing w:after="0"/>
              <w:rPr>
                <w:sz w:val="17"/>
                <w:szCs w:val="17"/>
                <w:color w:val="auto"/>
              </w:rPr>
            </w:pPr>
          </w:p>
        </w:tc>
        <w:tc>
          <w:tcPr>
            <w:tcW w:w="10080" w:type="dxa"/>
            <w:vAlign w:val="bottom"/>
            <w:gridSpan w:val="7"/>
          </w:tcPr>
          <w:p>
            <w:pPr>
              <w:jc w:val="right"/>
              <w:ind w:right="1470"/>
              <w:spacing w:after="0" w:line="196" w:lineRule="exact"/>
              <w:rPr>
                <w:sz w:val="20"/>
                <w:szCs w:val="20"/>
                <w:color w:val="auto"/>
              </w:rPr>
            </w:pPr>
            <w:r>
              <w:rPr>
                <w:rFonts w:ascii="Arial" w:cs="Arial" w:eastAsia="Arial" w:hAnsi="Arial"/>
                <w:sz w:val="18"/>
                <w:szCs w:val="18"/>
                <w:color w:val="auto"/>
                <w:w w:val="91"/>
              </w:rPr>
              <w:t>to transfer the said stock on the books of the within named corporation with full power of substitution in the premises.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This Assignment Separate from Certificate may be used only in accordance with the Restricted Stock Grant Notice and Restricted Stock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5"/>
          </w:tcPr>
          <w:p>
            <w:pPr>
              <w:spacing w:after="0"/>
              <w:rPr>
                <w:sz w:val="20"/>
                <w:szCs w:val="20"/>
                <w:color w:val="auto"/>
              </w:rPr>
            </w:pPr>
            <w:r>
              <w:rPr>
                <w:rFonts w:ascii="Arial" w:cs="Arial" w:eastAsia="Arial" w:hAnsi="Arial"/>
                <w:sz w:val="18"/>
                <w:szCs w:val="18"/>
                <w:color w:val="auto"/>
                <w:w w:val="89"/>
              </w:rPr>
              <w:t>Agreement between Gossamer Bio, Inc. and the undersigned dated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-1905</wp:posOffset>
            </wp:positionV>
            <wp:extent cx="21526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 xml:space="preserve">INSTRUCTIONS: </w:t>
      </w:r>
      <w:r>
        <w:rPr>
          <w:rFonts w:ascii="Arial" w:cs="Arial" w:eastAsia="Arial" w:hAnsi="Arial"/>
          <w:sz w:val="18"/>
          <w:szCs w:val="18"/>
          <w:u w:val="single" w:color="auto"/>
          <w:color w:val="auto"/>
        </w:rPr>
        <w:t>Please do not fill in any blanks other than the signature line. The purpose of this assignment is to enable the Company to enforce the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Forfeiture Restriction, as set forth in the Restricted Stock Grant Notice and Restricted Stock Agreement, without requiring additional signatures on the part of Recipient</w:t>
      </w:r>
      <w:r>
        <w:rPr>
          <w:rFonts w:ascii="Arial" w:cs="Arial" w:eastAsia="Arial" w:hAnsi="Arial"/>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69" w:right="4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GRANT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SPOUSE</w:t>
      </w:r>
    </w:p>
    <w:p>
      <w:pPr>
        <w:spacing w:after="0" w:line="121" w:lineRule="exact"/>
        <w:rPr>
          <w:sz w:val="20"/>
          <w:szCs w:val="20"/>
          <w:color w:val="auto"/>
        </w:rPr>
      </w:pPr>
    </w:p>
    <w:p>
      <w:pPr>
        <w:ind w:left="440"/>
        <w:spacing w:after="0"/>
        <w:tabs>
          <w:tab w:leader="none" w:pos="1480" w:val="left"/>
          <w:tab w:leader="none" w:pos="32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spouse of</w:t>
      </w:r>
      <w:r>
        <w:rPr>
          <w:sz w:val="20"/>
          <w:szCs w:val="20"/>
          <w:color w:val="auto"/>
        </w:rPr>
        <w:tab/>
      </w:r>
      <w:r>
        <w:rPr>
          <w:rFonts w:ascii="Arial" w:cs="Arial" w:eastAsia="Arial" w:hAnsi="Arial"/>
          <w:sz w:val="16"/>
          <w:szCs w:val="16"/>
          <w:color w:val="auto"/>
        </w:rPr>
        <w:t>, have read and approve the foregoing Restricted Stock Grant Notice and Restricted Stock Agreement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-10160</wp:posOffset>
            </wp:positionV>
            <wp:extent cx="5803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-10160</wp:posOffset>
            </wp:positionV>
            <wp:extent cx="58864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8645" cy="8890"/>
                    </a:xfrm>
                    <a:prstGeom prst="rect">
                      <a:avLst/>
                    </a:prstGeom>
                    <a:noFill/>
                  </pic:spPr>
                </pic:pic>
              </a:graphicData>
            </a:graphic>
          </wp:anchor>
        </w:drawing>
      </w:r>
    </w:p>
    <w:p>
      <w:pPr>
        <w:spacing w:after="0" w:line="3" w:lineRule="exact"/>
        <w:rPr>
          <w:sz w:val="20"/>
          <w:szCs w:val="20"/>
          <w:color w:val="auto"/>
        </w:rPr>
      </w:pPr>
    </w:p>
    <w:p>
      <w:pPr>
        <w:jc w:val="both"/>
        <w:ind w:firstLine="998"/>
        <w:spacing w:after="0" w:line="252" w:lineRule="auto"/>
        <w:tabs>
          <w:tab w:leader="none" w:pos="109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between my spouse and Gossamer Bio, Inc. In consideration of issuing to my spouse the shares of the Common Stock of Gossamer Bio, Inc. set forth in the Restricted Stock Grant Notice and Restricted Stock Agreement, I hereby appoint my spouse as my attorney-in-fact in respect to the exercise of any rights under the Restricted Stock Grant Notice and Restricted Stock Agreement and agree to be bound by the provisions of the Restricted Stock Grant Notice and Restricted Stock Agreement insofar as I may have any rights in said Agreement or any shares issued pursuant thereto under the community property laws or similar laws relating to marital property in effect in the state of our residence as of the date of the signing of the Restricted Stock Grant Notice and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-715645</wp:posOffset>
            </wp:positionV>
            <wp:extent cx="6318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318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480" w:val="left"/>
          <w:tab w:leader="none" w:pos="5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57785</wp:posOffset>
            </wp:positionV>
            <wp:extent cx="264985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-10160</wp:posOffset>
            </wp:positionV>
            <wp:extent cx="8858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69" w:right="4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83(B) ELECTION AND INSTRUCTIONS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These instructions are provided to assist you if you choose to make an election under Section 83(b) of the Internal Revenue Code, as amended, with respect to the shares of common stock of Gossamer Bio, Inc. transferred to you. </w:t>
      </w:r>
      <w:r>
        <w:rPr>
          <w:rFonts w:ascii="Arial" w:cs="Arial" w:eastAsia="Arial" w:hAnsi="Arial"/>
          <w:sz w:val="18"/>
          <w:szCs w:val="18"/>
          <w:b w:val="1"/>
          <w:bCs w:val="1"/>
          <w:color w:val="auto"/>
        </w:rPr>
        <w:t>Please consult with your personal tax advisor as to whether an</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 of this nature will be in your best interests in light of your personal tax situation.</w:t>
      </w:r>
    </w:p>
    <w:p>
      <w:pPr>
        <w:spacing w:after="0" w:line="18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The executed original of the Section 83(b) election must be filed with the Internal Revenue Service not later than 30 days after the date the shares were transferred to you. </w:t>
      </w:r>
      <w:r>
        <w:rPr>
          <w:rFonts w:ascii="Arial" w:cs="Arial" w:eastAsia="Arial" w:hAnsi="Arial"/>
          <w:sz w:val="17"/>
          <w:szCs w:val="17"/>
          <w:b w:val="1"/>
          <w:bCs w:val="1"/>
          <w:color w:val="auto"/>
        </w:rPr>
        <w:t>There is no remedy for failure to file on time.</w:t>
      </w:r>
      <w:r>
        <w:rPr>
          <w:rFonts w:ascii="Arial" w:cs="Arial" w:eastAsia="Arial" w:hAnsi="Arial"/>
          <w:sz w:val="17"/>
          <w:szCs w:val="17"/>
          <w:color w:val="auto"/>
        </w:rPr>
        <w:t xml:space="preserve"> The steps outlined below should be followed to ensure the election is mailed and filed correctly and in a timely manner. </w:t>
      </w:r>
      <w:r>
        <w:rPr>
          <w:rFonts w:ascii="Arial" w:cs="Arial" w:eastAsia="Arial" w:hAnsi="Arial"/>
          <w:sz w:val="17"/>
          <w:szCs w:val="17"/>
          <w:b w:val="1"/>
          <w:bCs w:val="1"/>
          <w:color w:val="auto"/>
        </w:rPr>
        <w:t>If you make the Section 83(b) election, the election is irrevocable.</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 and make four (4) copies of the signed election form. Your spouse, if any, should sign the Section 83(b) election form as well.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u w:val="single" w:color="auto"/>
          <w:color w:val="auto"/>
        </w:rPr>
        <w:t>Attachment 2</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(1) copy must be sent to Gossamer Bio, Inc. for its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consult your personal tax advisor for the address of the office of the Internal Revenue Service to which you should mail your election form.</w:t>
      </w:r>
    </w:p>
    <w:p>
      <w:pPr>
        <w:sectPr>
          <w:pgSz w:w="11900" w:h="16838" w:orient="portrait"/>
          <w:cols w:equalWidth="0" w:num="1">
            <w:col w:w="11020"/>
          </w:cols>
          <w:pgMar w:left="440" w:top="270" w:right="439" w:bottom="1440" w:gutter="0" w:footer="0" w:header="0"/>
        </w:sectPr>
      </w:pPr>
    </w:p>
    <w:bookmarkStart w:id="443" w:name="page444"/>
    <w:bookmarkEnd w:id="4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of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Taxpayer’s spouse are (complete if applicable):</w:t>
      </w:r>
    </w:p>
    <w:p>
      <w:pPr>
        <w:spacing w:after="0" w:line="225" w:lineRule="exact"/>
        <w:rPr>
          <w:sz w:val="20"/>
          <w:szCs w:val="20"/>
          <w:color w:val="auto"/>
        </w:rPr>
      </w:pPr>
    </w:p>
    <w:p>
      <w:pPr>
        <w:jc w:val="center"/>
        <w:ind w:right="5500"/>
        <w:spacing w:after="0"/>
        <w:rPr>
          <w:sz w:val="20"/>
          <w:szCs w:val="20"/>
          <w:color w:val="auto"/>
        </w:rPr>
      </w:pPr>
      <w:r>
        <w:rPr>
          <w:rFonts w:ascii="Arial" w:cs="Arial" w:eastAsia="Arial" w:hAnsi="Arial"/>
          <w:sz w:val="16"/>
          <w:szCs w:val="16"/>
          <w:color w:val="auto"/>
        </w:rPr>
        <w:t>Description of the property with respect to which the election is being made:</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-10160</wp:posOffset>
            </wp:positionV>
            <wp:extent cx="4572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The date on which the property was transferred was</w:t>
      </w:r>
      <w:r>
        <w:rPr>
          <w:sz w:val="20"/>
          <w:szCs w:val="20"/>
          <w:color w:val="auto"/>
        </w:rPr>
        <w:tab/>
      </w:r>
      <w:r>
        <w:rPr>
          <w:rFonts w:ascii="Arial" w:cs="Arial" w:eastAsia="Arial" w:hAnsi="Arial"/>
          <w:sz w:val="16"/>
          <w:szCs w:val="16"/>
          <w:color w:val="auto"/>
        </w:rPr>
        <w:t>. The taxable year to which this election relates is calendar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-10160</wp:posOffset>
            </wp:positionV>
            <wp:extent cx="571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Nature of restrictions to which the property is subject:</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Shares are subject to forfeiture upon the occurrence of certain events. This forfeiture restriction lapses based upon the continued performance of services by the taxpayer over time or upon performance conditions related to the issuer of the Shares.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market value at the time of transfer (determined without regard to any lapse restrictions, as defined in Treasury Regulation Section 1.83-3(i)) of the Shares was $___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paid by the taxpayer for the Shares was $0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statement has been furnished to the Company.</w:t>
      </w:r>
    </w:p>
    <w:p>
      <w:pPr>
        <w:spacing w:after="0" w:line="200" w:lineRule="exact"/>
        <w:rPr>
          <w:sz w:val="20"/>
          <w:szCs w:val="20"/>
          <w:color w:val="auto"/>
        </w:rPr>
      </w:pPr>
    </w:p>
    <w:p>
      <w:pPr>
        <w:spacing w:after="0" w:line="268"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57785</wp:posOffset>
            </wp:positionV>
            <wp:extent cx="66890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spouse of Taxpayer joins in this election. (Complete if applicable).</w:t>
      </w:r>
    </w:p>
    <w:p>
      <w:pPr>
        <w:spacing w:after="0" w:line="200" w:lineRule="exact"/>
        <w:rPr>
          <w:sz w:val="20"/>
          <w:szCs w:val="20"/>
          <w:color w:val="auto"/>
        </w:rPr>
      </w:pPr>
    </w:p>
    <w:p>
      <w:pPr>
        <w:spacing w:after="0" w:line="268"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Spouse’s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57785</wp:posOffset>
            </wp:positionV>
            <wp:extent cx="66890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002145" cy="4927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002145" cy="492760"/>
                    </a:xfrm>
                    <a:prstGeom prst="rect">
                      <a:avLst/>
                    </a:prstGeom>
                    <a:noFill/>
                  </pic:spPr>
                </pic:pic>
              </a:graphicData>
            </a:graphic>
          </wp:anchor>
        </w:drawing>
      </w:r>
    </w:p>
    <w:p>
      <w:pPr>
        <w:spacing w:after="0" w:line="28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INCENTIVE AWARD PLAN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8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Awards may be made under the Plan covering up to the Overall Share Limit. As of the Plan’s effective date under Section 10.3, the Company will cease granting awards under the Prior Plan; however, Prior Plan Awards will remain subject to the terms of the applicable Prior Plan. Shares issued under the Plan may consist of authorized but unissued Shares, Shares purchased on the open market or treasury Shares.</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w:t>
      </w:r>
    </w:p>
    <w:p>
      <w:pPr>
        <w:sectPr>
          <w:pgSz w:w="11900" w:h="16838" w:orient="portrait"/>
          <w:cols w:equalWidth="0" w:num="1">
            <w:col w:w="11020"/>
          </w:cols>
          <w:pgMar w:left="440" w:top="121" w:right="439" w:bottom="1440" w:gutter="0" w:footer="0" w:header="0"/>
        </w:sectPr>
      </w:pPr>
    </w:p>
    <w:bookmarkStart w:id="445" w:name="page446"/>
    <w:bookmarkEnd w:id="445"/>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ind w:left="440"/>
              <w:spacing w:after="0"/>
              <w:rPr>
                <w:sz w:val="20"/>
                <w:szCs w:val="20"/>
                <w:color w:val="auto"/>
              </w:rPr>
            </w:pPr>
            <w:r>
              <w:rPr>
                <w:rFonts w:ascii="Arial" w:cs="Arial" w:eastAsia="Arial" w:hAnsi="Arial"/>
                <w:sz w:val="18"/>
                <w:szCs w:val="18"/>
                <w:color w:val="auto"/>
                <w:w w:val="96"/>
              </w:rPr>
              <w:t>4.3  Incentive Stock Option Limitations. Notwithstanding anything to the contrary herein, no more than</w:t>
            </w:r>
          </w:p>
        </w:tc>
        <w:tc>
          <w:tcPr>
            <w:tcW w:w="2720" w:type="dxa"/>
            <w:vAlign w:val="bottom"/>
          </w:tcPr>
          <w:p>
            <w:pPr>
              <w:ind w:left="320"/>
              <w:spacing w:after="0"/>
              <w:rPr>
                <w:sz w:val="20"/>
                <w:szCs w:val="20"/>
                <w:color w:val="auto"/>
              </w:rPr>
            </w:pPr>
            <w:r>
              <w:rPr>
                <w:rFonts w:ascii="Arial" w:cs="Arial" w:eastAsia="Arial" w:hAnsi="Arial"/>
                <w:sz w:val="18"/>
                <w:szCs w:val="18"/>
                <w:color w:val="auto"/>
                <w:w w:val="87"/>
              </w:rPr>
              <w:t>Shares may be issued pursuant to</w:t>
            </w:r>
          </w:p>
        </w:tc>
      </w:tr>
      <w:tr>
        <w:trPr>
          <w:trHeight w:val="20"/>
        </w:trPr>
        <w:tc>
          <w:tcPr>
            <w:tcW w:w="8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7"/>
        </w:trPr>
        <w:tc>
          <w:tcPr>
            <w:tcW w:w="8300" w:type="dxa"/>
            <w:vAlign w:val="bottom"/>
            <w:gridSpan w:val="3"/>
          </w:tcPr>
          <w:p>
            <w:pPr>
              <w:spacing w:after="0"/>
              <w:rPr>
                <w:sz w:val="20"/>
                <w:szCs w:val="20"/>
                <w:color w:val="auto"/>
              </w:rPr>
            </w:pPr>
            <w:r>
              <w:rPr>
                <w:rFonts w:ascii="Arial" w:cs="Arial" w:eastAsia="Arial" w:hAnsi="Arial"/>
                <w:sz w:val="18"/>
                <w:szCs w:val="18"/>
                <w:color w:val="auto"/>
              </w:rPr>
              <w:t>the exercise of Incentive Stock Options.</w:t>
            </w:r>
          </w:p>
        </w:tc>
        <w:tc>
          <w:tcPr>
            <w:tcW w:w="2720" w:type="dxa"/>
            <w:vAlign w:val="bottom"/>
          </w:tcPr>
          <w:p>
            <w:pPr>
              <w:spacing w:after="0"/>
              <w:rPr>
                <w:sz w:val="20"/>
                <w:szCs w:val="20"/>
                <w:color w:val="auto"/>
              </w:rPr>
            </w:pPr>
          </w:p>
        </w:tc>
      </w:tr>
    </w:tbl>
    <w:p>
      <w:pPr>
        <w:spacing w:after="0" w:line="202"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72" w:lineRule="exact"/>
        <w:rPr>
          <w:sz w:val="20"/>
          <w:szCs w:val="20"/>
          <w:color w:val="auto"/>
        </w:rPr>
      </w:pPr>
    </w:p>
    <w:p>
      <w:pPr>
        <w:ind w:right="120" w:firstLine="441"/>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Non-Employee Director Compensation</w:t>
      </w:r>
      <w:r>
        <w:rPr>
          <w:rFonts w:ascii="Arial" w:cs="Arial" w:eastAsia="Arial" w:hAnsi="Arial"/>
          <w:sz w:val="17"/>
          <w:szCs w:val="17"/>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2"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8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Duration</w:t>
      </w:r>
      <w:r>
        <w:rPr>
          <w:rFonts w:ascii="Arial" w:cs="Arial" w:eastAsia="Arial" w:hAnsi="Arial"/>
          <w:sz w:val="17"/>
          <w:szCs w:val="17"/>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8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47" w:name="page448"/>
    <w:bookmarkEnd w:id="447"/>
    <w:p>
      <w:pPr>
        <w:ind w:righ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62" w:lineRule="exact"/>
        <w:rPr>
          <w:sz w:val="20"/>
          <w:szCs w:val="20"/>
          <w:color w:val="auto"/>
        </w:rPr>
      </w:pPr>
    </w:p>
    <w:p>
      <w:pPr>
        <w:ind w:right="160" w:firstLine="885"/>
        <w:spacing w:after="0" w:line="277" w:lineRule="auto"/>
        <w:tabs>
          <w:tab w:leader="none" w:pos="126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70" w:lineRule="exact"/>
        <w:rPr>
          <w:rFonts w:ascii="Arial" w:cs="Arial" w:eastAsia="Arial" w:hAnsi="Arial"/>
          <w:sz w:val="18"/>
          <w:szCs w:val="18"/>
          <w:color w:val="auto"/>
        </w:rPr>
      </w:pPr>
    </w:p>
    <w:p>
      <w:pPr>
        <w:ind w:right="140" w:firstLine="885"/>
        <w:spacing w:after="0" w:line="276" w:lineRule="auto"/>
        <w:tabs>
          <w:tab w:leader="none" w:pos="127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2" w:lineRule="exact"/>
        <w:rPr>
          <w:rFonts w:ascii="Arial" w:cs="Arial" w:eastAsia="Arial" w:hAnsi="Arial"/>
          <w:sz w:val="17"/>
          <w:szCs w:val="17"/>
          <w:color w:val="auto"/>
        </w:rPr>
      </w:pPr>
    </w:p>
    <w:p>
      <w:pPr>
        <w:ind w:right="440" w:firstLine="885"/>
        <w:spacing w:after="0" w:line="277" w:lineRule="auto"/>
        <w:tabs>
          <w:tab w:leader="none" w:pos="126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170" w:lineRule="exact"/>
        <w:rPr>
          <w:rFonts w:ascii="Arial" w:cs="Arial" w:eastAsia="Arial" w:hAnsi="Arial"/>
          <w:sz w:val="18"/>
          <w:szCs w:val="18"/>
          <w:color w:val="auto"/>
        </w:rPr>
      </w:pPr>
    </w:p>
    <w:p>
      <w:pPr>
        <w:ind w:right="120" w:firstLine="885"/>
        <w:spacing w:after="0" w:line="277" w:lineRule="auto"/>
        <w:tabs>
          <w:tab w:leader="none" w:pos="127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right="160" w:firstLine="885"/>
        <w:spacing w:after="0" w:line="277" w:lineRule="auto"/>
        <w:tabs>
          <w:tab w:leader="none" w:pos="126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25" w:lineRule="exact"/>
        <w:rPr>
          <w:sz w:val="20"/>
          <w:szCs w:val="20"/>
          <w:color w:val="auto"/>
        </w:rPr>
      </w:pPr>
    </w:p>
    <w:p>
      <w:pPr>
        <w:ind w:right="40" w:firstLine="885"/>
        <w:spacing w:after="0" w:line="264" w:lineRule="auto"/>
        <w:tabs>
          <w:tab w:leader="none" w:pos="1261"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8" w:name="page449"/>
    <w:bookmarkEnd w:id="448"/>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1" w:lineRule="exact"/>
        <w:rPr>
          <w:sz w:val="20"/>
          <w:szCs w:val="20"/>
          <w:color w:val="auto"/>
        </w:rPr>
      </w:pPr>
    </w:p>
    <w:p>
      <w:pPr>
        <w:ind w:right="380" w:firstLine="885"/>
        <w:spacing w:after="0" w:line="277" w:lineRule="auto"/>
        <w:tabs>
          <w:tab w:leader="none" w:pos="1271"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Restricted Stock Units.</w:t>
      </w:r>
    </w:p>
    <w:p>
      <w:pPr>
        <w:spacing w:after="0" w:line="225" w:lineRule="exact"/>
        <w:rPr>
          <w:sz w:val="20"/>
          <w:szCs w:val="20"/>
          <w:color w:val="auto"/>
        </w:rPr>
      </w:pPr>
    </w:p>
    <w:p>
      <w:pPr>
        <w:ind w:right="20" w:firstLine="885"/>
        <w:spacing w:after="0" w:line="264" w:lineRule="auto"/>
        <w:tabs>
          <w:tab w:leader="none" w:pos="1261"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81" w:lineRule="exact"/>
        <w:rPr>
          <w:rFonts w:ascii="Arial" w:cs="Arial" w:eastAsia="Arial" w:hAnsi="Arial"/>
          <w:sz w:val="18"/>
          <w:szCs w:val="18"/>
          <w:color w:val="auto"/>
        </w:rPr>
      </w:pPr>
    </w:p>
    <w:p>
      <w:pPr>
        <w:ind w:right="420" w:firstLine="885"/>
        <w:spacing w:after="0" w:line="277" w:lineRule="auto"/>
        <w:tabs>
          <w:tab w:leader="none" w:pos="1271"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70" w:lineRule="exact"/>
        <w:rPr>
          <w:rFonts w:ascii="Arial" w:cs="Arial" w:eastAsia="Arial" w:hAnsi="Arial"/>
          <w:sz w:val="18"/>
          <w:szCs w:val="18"/>
          <w:color w:val="auto"/>
        </w:rPr>
      </w:pPr>
    </w:p>
    <w:p>
      <w:pPr>
        <w:ind w:right="260" w:firstLine="885"/>
        <w:spacing w:after="0" w:line="259" w:lineRule="auto"/>
        <w:tabs>
          <w:tab w:leader="none" w:pos="1261"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STOCK OR CASH BASED AWARDS</w:t>
      </w:r>
    </w:p>
    <w:p>
      <w:pPr>
        <w:spacing w:after="0" w:line="21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Equity Restructuring</w:t>
      </w:r>
      <w:r>
        <w:rPr>
          <w:rFonts w:ascii="Arial" w:cs="Arial" w:eastAsia="Arial" w:hAnsi="Arial"/>
          <w:sz w:val="17"/>
          <w:szCs w:val="17"/>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49" w:name="page450"/>
    <w:bookmarkEnd w:id="449"/>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80" w:lineRule="exact"/>
        <w:rPr>
          <w:sz w:val="20"/>
          <w:szCs w:val="20"/>
          <w:color w:val="auto"/>
        </w:rPr>
      </w:pPr>
    </w:p>
    <w:p>
      <w:pPr>
        <w:ind w:right="60" w:firstLine="885"/>
        <w:spacing w:after="0" w:line="257" w:lineRule="auto"/>
        <w:tabs>
          <w:tab w:leader="none" w:pos="125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8" w:lineRule="exact"/>
        <w:rPr>
          <w:rFonts w:ascii="Arial" w:cs="Arial" w:eastAsia="Arial" w:hAnsi="Arial"/>
          <w:sz w:val="18"/>
          <w:szCs w:val="18"/>
          <w:color w:val="auto"/>
        </w:rPr>
      </w:pPr>
    </w:p>
    <w:p>
      <w:pPr>
        <w:ind w:right="320" w:firstLine="885"/>
        <w:spacing w:after="0" w:line="277" w:lineRule="auto"/>
        <w:tabs>
          <w:tab w:leader="none" w:pos="126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right="160" w:firstLine="885"/>
        <w:spacing w:after="0" w:line="286" w:lineRule="auto"/>
        <w:tabs>
          <w:tab w:leader="none" w:pos="125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5" w:lineRule="exact"/>
        <w:rPr>
          <w:rFonts w:ascii="Arial" w:cs="Arial" w:eastAsia="Arial" w:hAnsi="Arial"/>
          <w:sz w:val="17"/>
          <w:szCs w:val="17"/>
          <w:color w:val="auto"/>
        </w:rPr>
      </w:pPr>
    </w:p>
    <w:p>
      <w:pPr>
        <w:ind w:right="220" w:firstLine="885"/>
        <w:spacing w:after="0" w:line="259" w:lineRule="auto"/>
        <w:tabs>
          <w:tab w:leader="none" w:pos="126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1260" w:hanging="375"/>
        <w:spacing w:after="0"/>
        <w:tabs>
          <w:tab w:leader="none" w:pos="12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Awards are not continued, converted,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50" w:name="page451"/>
    <w:bookmarkEnd w:id="4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assumed, or replaced with a substantially similar award by (a) the Company, or (b) a successor entity or its parent or subsidiary (an “</w:t>
      </w:r>
      <w:r>
        <w:rPr>
          <w:rFonts w:ascii="Arial" w:cs="Arial" w:eastAsia="Arial" w:hAnsi="Arial"/>
          <w:sz w:val="16"/>
          <w:szCs w:val="16"/>
          <w:b w:val="1"/>
          <w:bCs w:val="1"/>
          <w:i w:val="1"/>
          <w:iCs w:val="1"/>
          <w:color w:val="auto"/>
        </w:rPr>
        <w:t>Assumption</w:t>
      </w:r>
      <w:r>
        <w:rPr>
          <w:rFonts w:ascii="Arial" w:cs="Arial" w:eastAsia="Arial" w:hAnsi="Arial"/>
          <w:sz w:val="16"/>
          <w:szCs w:val="16"/>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7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451" w:name="page452"/>
    <w:bookmarkEnd w:id="451"/>
    <w:p>
      <w:pPr>
        <w:ind w:right="8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which may be written or electronic, as the Administrator determines. Each Award may contain terms and conditions in addition to those set forth in the Plan.</w:t>
      </w:r>
    </w:p>
    <w:p>
      <w:pPr>
        <w:spacing w:after="0" w:line="170"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47"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2" w:lineRule="exact"/>
        <w:rPr>
          <w:sz w:val="20"/>
          <w:szCs w:val="20"/>
          <w:color w:val="auto"/>
        </w:rPr>
      </w:pPr>
    </w:p>
    <w:p>
      <w:pPr>
        <w:ind w:left="260" w:hanging="256"/>
        <w:spacing w:after="0"/>
        <w:tabs>
          <w:tab w:leader="none" w:pos="2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above by the Company’s retention of Shares from the Award creating the tax obligation and there is a public market for Shares at the time the tax</w:t>
      </w:r>
    </w:p>
    <w:p>
      <w:pPr>
        <w:spacing w:after="0" w:line="166"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452" w:name="page453"/>
    <w:bookmarkEnd w:id="45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7" w:lineRule="exact"/>
        <w:rPr>
          <w:sz w:val="20"/>
          <w:szCs w:val="20"/>
          <w:color w:val="auto"/>
        </w:rPr>
      </w:pPr>
    </w:p>
    <w:p>
      <w:pPr>
        <w:jc w:val="both"/>
        <w:ind w:right="200" w:firstLine="441"/>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Amendment of Award; Repricing</w:t>
      </w:r>
      <w:r>
        <w:rPr>
          <w:rFonts w:ascii="Arial" w:cs="Arial" w:eastAsia="Arial" w:hAnsi="Arial"/>
          <w:sz w:val="16"/>
          <w:szCs w:val="16"/>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9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70"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Additional Terms of Incentive Stock Options</w:t>
      </w:r>
      <w:r>
        <w:rPr>
          <w:rFonts w:ascii="Arial" w:cs="Arial" w:eastAsia="Arial" w:hAnsi="Arial"/>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453" w:name="page454"/>
    <w:bookmarkEnd w:id="4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Unless earlier terminated by the Board, the Plan will become effective on the day prior to the Public Trading Date and will remain in effect until the tenth anniversary of the earlier of (i) 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Prior Plan will continue in full force and effect in accordance with its terms. The Plan will be submitted for the approval of the Company’s stockholders within twelve (12) months after the date of the Board’s adoption of the Plan.</w:t>
      </w:r>
    </w:p>
    <w:p>
      <w:pPr>
        <w:spacing w:after="0" w:line="19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58"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25" w:lineRule="exact"/>
        <w:rPr>
          <w:sz w:val="20"/>
          <w:szCs w:val="20"/>
          <w:color w:val="auto"/>
        </w:rPr>
      </w:pPr>
    </w:p>
    <w:p>
      <w:pPr>
        <w:ind w:right="40" w:firstLine="885"/>
        <w:spacing w:after="0" w:line="273" w:lineRule="auto"/>
        <w:tabs>
          <w:tab w:leader="none" w:pos="1261"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454" w:name="page455"/>
    <w:bookmarkEnd w:id="454"/>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71" w:lineRule="exact"/>
        <w:rPr>
          <w:sz w:val="20"/>
          <w:szCs w:val="20"/>
          <w:color w:val="auto"/>
        </w:rPr>
      </w:pPr>
    </w:p>
    <w:p>
      <w:pPr>
        <w:ind w:right="120" w:firstLine="885"/>
        <w:spacing w:after="0" w:line="297" w:lineRule="auto"/>
        <w:tabs>
          <w:tab w:leader="none" w:pos="1271"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58" w:lineRule="exact"/>
        <w:rPr>
          <w:rFonts w:ascii="Arial" w:cs="Arial" w:eastAsia="Arial" w:hAnsi="Arial"/>
          <w:sz w:val="16"/>
          <w:szCs w:val="16"/>
          <w:color w:val="auto"/>
        </w:rPr>
      </w:pPr>
    </w:p>
    <w:p>
      <w:pPr>
        <w:ind w:firstLine="885"/>
        <w:spacing w:after="0" w:line="291" w:lineRule="auto"/>
        <w:tabs>
          <w:tab w:leader="none" w:pos="1261"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8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55" w:name="page456"/>
    <w:bookmarkEnd w:id="4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6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8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24"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Claw-back Provisions</w:t>
      </w:r>
      <w:r>
        <w:rPr>
          <w:rFonts w:ascii="Arial" w:cs="Arial" w:eastAsia="Arial" w:hAnsi="Arial"/>
          <w:sz w:val="17"/>
          <w:szCs w:val="17"/>
          <w:color w:val="auto"/>
        </w:rPr>
        <w:t>.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7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456" w:name="page457"/>
    <w:bookmarkEnd w:id="456"/>
    <w:p>
      <w:pPr>
        <w:jc w:val="both"/>
        <w:ind w:right="3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1"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8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6"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Other Stock or Cash Based Awards.</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with respect to a Participant, means “Cause” (or any term of similar effect) as defined in such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the Participant’s unauthorized use or disclosure of confidential information or trade secrets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57" w:name="page458"/>
    <w:bookmarkEnd w:id="45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or any material breach of a written agreement between the Participant and the Company, including without limitation a material breach of any employment, confidentiality, non-compete, non-solicit or similar agreement; (ii) the Participant’s commission of, indictment for or the entry of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 willful misconduct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reasonably determines to be materially detrimental or damaging to the reputation, operations, prospects or business relations of the Company.</w:t>
      </w:r>
    </w:p>
    <w:p>
      <w:pPr>
        <w:spacing w:after="0" w:line="16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and includes each of the following:</w:t>
      </w:r>
    </w:p>
    <w:p>
      <w:pPr>
        <w:spacing w:after="0" w:line="117" w:lineRule="exact"/>
        <w:rPr>
          <w:sz w:val="20"/>
          <w:szCs w:val="20"/>
          <w:color w:val="auto"/>
        </w:rPr>
      </w:pPr>
    </w:p>
    <w:p>
      <w:pPr>
        <w:ind w:firstLine="885"/>
        <w:spacing w:after="0" w:line="272" w:lineRule="auto"/>
        <w:tabs>
          <w:tab w:leader="none" w:pos="125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7" w:lineRule="exact"/>
        <w:rPr>
          <w:rFonts w:ascii="Arial" w:cs="Arial" w:eastAsia="Arial" w:hAnsi="Arial"/>
          <w:sz w:val="17"/>
          <w:szCs w:val="17"/>
          <w:color w:val="auto"/>
        </w:rPr>
      </w:pPr>
    </w:p>
    <w:p>
      <w:pPr>
        <w:ind w:firstLine="885"/>
        <w:spacing w:after="0" w:line="276" w:lineRule="auto"/>
        <w:tabs>
          <w:tab w:leader="none" w:pos="127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72" w:lineRule="exact"/>
        <w:rPr>
          <w:rFonts w:ascii="Arial" w:cs="Arial" w:eastAsia="Arial" w:hAnsi="Arial"/>
          <w:sz w:val="17"/>
          <w:szCs w:val="17"/>
          <w:color w:val="auto"/>
        </w:rPr>
      </w:pPr>
    </w:p>
    <w:p>
      <w:pPr>
        <w:ind w:right="40" w:firstLine="885"/>
        <w:spacing w:after="0" w:line="259" w:lineRule="auto"/>
        <w:tabs>
          <w:tab w:leader="none" w:pos="125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right="80" w:firstLine="1436"/>
        <w:spacing w:after="0" w:line="276" w:lineRule="auto"/>
        <w:tabs>
          <w:tab w:leader="none" w:pos="1783" w:val="left"/>
        </w:tabs>
        <w:numPr>
          <w:ilvl w:val="1"/>
          <w:numId w:val="297"/>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172" w:lineRule="exact"/>
        <w:rPr>
          <w:rFonts w:ascii="Arial" w:cs="Arial" w:eastAsia="Arial" w:hAnsi="Arial"/>
          <w:sz w:val="17"/>
          <w:szCs w:val="17"/>
          <w:color w:val="auto"/>
        </w:rPr>
      </w:pPr>
    </w:p>
    <w:p>
      <w:pPr>
        <w:ind w:right="80" w:firstLine="1436"/>
        <w:spacing w:after="0" w:line="259" w:lineRule="auto"/>
        <w:tabs>
          <w:tab w:leader="none" w:pos="183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458" w:name="page459"/>
    <w:bookmarkEnd w:id="458"/>
    <w:p>
      <w:pPr>
        <w:ind w:right="36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and the regulations issued thereunder.</w:t>
      </w:r>
    </w:p>
    <w:p>
      <w:pPr>
        <w:spacing w:after="0" w:line="22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3"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Gossamer Bio, Inc., a Delaware corporation, or any successor.</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any adviser, engaged by the Company or its parent or Subsidiary to render services to such entity if the consultant or adviser: (a) renders bona fide services to the Company; (b) renders services not in connection with the offer or sale of securities in a capital-raising transaction and does not directly or indirectly promote or maintain a market for the Company’s securities; and (c) is a natural person.</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7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40" w:top="274" w:right="559" w:bottom="1440" w:gutter="0" w:footer="0" w:header="0"/>
        </w:sectPr>
      </w:pPr>
    </w:p>
    <w:bookmarkStart w:id="459" w:name="page460"/>
    <w:bookmarkEnd w:id="459"/>
    <w:p>
      <w:pPr>
        <w:ind w:right="4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11.18 “</w:t>
      </w:r>
      <w:r>
        <w:rPr>
          <w:rFonts w:ascii="Arial" w:cs="Arial" w:eastAsia="Arial" w:hAnsi="Arial"/>
          <w:sz w:val="17"/>
          <w:szCs w:val="17"/>
          <w:b w:val="1"/>
          <w:bCs w:val="1"/>
          <w:i w:val="1"/>
          <w:iCs w:val="1"/>
          <w:color w:val="auto"/>
        </w:rPr>
        <w:t>Equity Restructuring</w:t>
      </w:r>
      <w:r>
        <w:rPr>
          <w:rFonts w:ascii="Arial" w:cs="Arial" w:eastAsia="Arial" w:hAnsi="Arial"/>
          <w:sz w:val="17"/>
          <w:szCs w:val="17"/>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7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11.20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or (c)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67"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(a) if a Participant is a party to a written employment or consulting agreement with the Company or any of its Subsidiaries or an Award Agreement in which the term “good reason” is defined, “Good Reason” as defined in such agreement, and (b) if no such agreement exists, (i) a change in the Participant’s position with the Company (or its Subsidiary employing the Participant) that materially reduces the Participant’s authority, duties or responsibilities or the level of management to which he or she reports, (ii) a material diminution in the Participant’s level of compensation (including base salary, fringe benefits and target bonuses under any corporate performance-based incentive programs) or (iii) a relocation of the Participant’s place of employment by more than 50 miles, provided that such change, reduction or relocation is effected by the Company (or its Subsidiary employing the Participant) without the Participant’s consent.</w:t>
      </w:r>
    </w:p>
    <w:p>
      <w:pPr>
        <w:spacing w:after="0" w:line="17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8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 Option intended to qualify as an “incentive stock option” as defined in Section 422 of the Code.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Non-Qualified Stock Option</w:t>
      </w:r>
      <w:r>
        <w:rPr>
          <w:rFonts w:ascii="Arial" w:cs="Arial" w:eastAsia="Arial" w:hAnsi="Arial"/>
          <w:sz w:val="16"/>
          <w:szCs w:val="16"/>
          <w:color w:val="auto"/>
        </w:rPr>
        <w:t>” means an Option not intended or not qualifying as an Incentive Stock Option.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 which will either be an Incentive Stock option or a Non-Qualified Stock Option.</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60" w:name="page461"/>
    <w:bookmarkEnd w:id="460"/>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11.27 “</w:t>
      </w:r>
      <w:r>
        <w:rPr>
          <w:rFonts w:ascii="Arial" w:cs="Arial" w:eastAsia="Arial" w:hAnsi="Arial"/>
          <w:sz w:val="17"/>
          <w:szCs w:val="17"/>
          <w:b w:val="1"/>
          <w:bCs w:val="1"/>
          <w:i w:val="1"/>
          <w:iCs w:val="1"/>
          <w:color w:val="auto"/>
        </w:rPr>
        <w:t>Overall Share Limit</w:t>
      </w:r>
      <w:r>
        <w:rPr>
          <w:rFonts w:ascii="Arial" w:cs="Arial" w:eastAsia="Arial" w:hAnsi="Arial"/>
          <w:sz w:val="17"/>
          <w:szCs w:val="17"/>
          <w:color w:val="auto"/>
        </w:rPr>
        <w:t>” means the sum of (a) Shares; (b) the number of shares of Common Stock that remain available for issuance under the Prior Plan as of the Effective Date; (c) any shares of Common Stock which are subject to Prior Plan Awards which become available for issuance under the Plan pursuant to Article IV (which number added to the Overall Share Limit pursuant to clauses (b) and (c) shall not exceed</w:t>
      </w:r>
    </w:p>
    <w:p>
      <w:pPr>
        <w:jc w:val="both"/>
        <w:ind w:right="400"/>
        <w:spacing w:after="0" w:line="255" w:lineRule="auto"/>
        <w:rPr>
          <w:sz w:val="20"/>
          <w:szCs w:val="20"/>
          <w:color w:val="auto"/>
        </w:rPr>
      </w:pPr>
      <w:r>
        <w:rPr>
          <w:rFonts w:ascii="Arial" w:cs="Arial" w:eastAsia="Arial" w:hAnsi="Arial"/>
          <w:sz w:val="18"/>
          <w:szCs w:val="18"/>
          <w:color w:val="auto"/>
        </w:rPr>
        <w:t>shares of Common Stock); and (d) an annual increase on the first day of each calendar year beginning January 1, 2020 and ending on and including January 1, 2029, equal to the lesser of (i) 5% of the aggregate number of shares of Common Stock outstanding on the final day of the immediately preceding calendar year and (ii) such smaller number of Shares as is determined by the Board.</w:t>
      </w:r>
    </w:p>
    <w:p>
      <w:pPr>
        <w:spacing w:after="0" w:line="19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225" w:lineRule="exact"/>
        <w:rPr>
          <w:sz w:val="20"/>
          <w:szCs w:val="20"/>
          <w:color w:val="auto"/>
        </w:rPr>
      </w:pPr>
    </w:p>
    <w:p>
      <w:pPr>
        <w:ind w:right="60" w:firstLine="441"/>
        <w:spacing w:after="0" w:line="267" w:lineRule="auto"/>
        <w:rPr>
          <w:sz w:val="20"/>
          <w:szCs w:val="20"/>
          <w:color w:val="auto"/>
        </w:rPr>
      </w:pPr>
      <w:r>
        <w:rPr>
          <w:rFonts w:ascii="Arial" w:cs="Arial" w:eastAsia="Arial" w:hAnsi="Arial"/>
          <w:sz w:val="17"/>
          <w:szCs w:val="17"/>
          <w:color w:val="auto"/>
        </w:rPr>
        <w:t>11.29 “</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9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2019 Incentive Award Plan.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Gossamer Bio, Inc. 2017 Stock Incentive Plan, as amended.</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 Award</w:t>
      </w:r>
      <w:r>
        <w:rPr>
          <w:rFonts w:ascii="Arial" w:cs="Arial" w:eastAsia="Arial" w:hAnsi="Arial"/>
          <w:sz w:val="16"/>
          <w:szCs w:val="16"/>
          <w:color w:val="auto"/>
        </w:rPr>
        <w:t>” means an award outstanding under the Prior Plan as of the Plan’s effective date under Section 10.3.</w:t>
      </w:r>
    </w:p>
    <w:p>
      <w:pPr>
        <w:spacing w:after="0" w:line="22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11.33 “</w:t>
      </w:r>
      <w:r>
        <w:rPr>
          <w:rFonts w:ascii="Arial" w:cs="Arial" w:eastAsia="Arial" w:hAnsi="Arial"/>
          <w:sz w:val="16"/>
          <w:szCs w:val="16"/>
          <w:b w:val="1"/>
          <w:bCs w:val="1"/>
          <w:i w:val="1"/>
          <w:iCs w:val="1"/>
          <w:color w:val="auto"/>
        </w:rPr>
        <w:t>Public Trading Date</w:t>
      </w:r>
      <w:r>
        <w:rPr>
          <w:rFonts w:ascii="Arial" w:cs="Arial" w:eastAsia="Arial" w:hAnsi="Arial"/>
          <w:sz w:val="16"/>
          <w:szCs w:val="16"/>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61" w:name="page462"/>
    <w:bookmarkEnd w:id="461"/>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awarded to a Participant under Article VI subject to certain vesting conditions and other restrictions.</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11.42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11.43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8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62" w:name="page463"/>
    <w:bookmarkEnd w:id="46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4927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002145" cy="492760"/>
                    </a:xfrm>
                    <a:prstGeom prst="rect">
                      <a:avLst/>
                    </a:prstGeom>
                    <a:noFill/>
                  </pic:spPr>
                </pic:pic>
              </a:graphicData>
            </a:graphic>
          </wp:anchor>
        </w:drawing>
        <w:t>GOSSAMER BIO,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INCENTIVE AWARD PLAN</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Capitalized terms not specifically defined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2019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Gossamer 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Company hereby grants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stock option described in this Grant Notice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xml:space="preserve">”), subject to the terms and conditions of the Plan and the Stock Option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Grant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Exercise Price per Share: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Shares Subject to the Option: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Final Expiration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Vesting Commencement Date:</w:t>
      </w:r>
    </w:p>
    <w:p>
      <w:pPr>
        <w:sectPr>
          <w:pgSz w:w="11900" w:h="16838" w:orient="portrait"/>
          <w:cols w:equalWidth="0" w:num="1">
            <w:col w:w="11040"/>
          </w:cols>
          <w:pgMar w:left="440" w:top="323" w:right="419" w:bottom="1440" w:gutter="0" w:footer="0" w:header="0"/>
        </w:sectPr>
      </w:pPr>
    </w:p>
    <w:p>
      <w:pPr>
        <w:spacing w:after="0" w:line="9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[To be specified in individual award agreements]</w:t>
      </w:r>
    </w:p>
    <w:p>
      <w:pPr>
        <w:spacing w:after="0" w:line="80" w:lineRule="exact"/>
        <w:rPr>
          <w:sz w:val="20"/>
          <w:szCs w:val="20"/>
          <w:color w:val="auto"/>
        </w:rPr>
      </w:pPr>
    </w:p>
    <w:p>
      <w:pPr>
        <w:sectPr>
          <w:pgSz w:w="11900" w:h="16838" w:orient="portrait"/>
          <w:cols w:equalWidth="0" w:num="2">
            <w:col w:w="2980" w:space="720"/>
            <w:col w:w="7340"/>
          </w:cols>
          <w:pgMar w:left="440" w:top="323" w:right="419" w:bottom="144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200" w:lineRule="exact"/>
        <w:rPr>
          <w:sz w:val="20"/>
          <w:szCs w:val="20"/>
          <w:color w:val="auto"/>
        </w:rPr>
      </w:pPr>
    </w:p>
    <w:p>
      <w:pPr>
        <w:sectPr>
          <w:pgSz w:w="11900" w:h="16838" w:orient="portrait"/>
          <w:cols w:equalWidth="0" w:num="5">
            <w:col w:w="2980" w:space="720"/>
            <w:col w:w="160" w:space="40"/>
            <w:col w:w="1660" w:space="180"/>
            <w:col w:w="160" w:space="60"/>
            <w:col w:w="5080"/>
          </w:cols>
          <w:pgMar w:left="440" w:top="323" w:right="419" w:bottom="1440" w:gutter="0" w:footer="0" w:header="0"/>
          <w:type w:val="continuous"/>
        </w:sectPr>
      </w:pPr>
    </w:p>
    <w:p>
      <w:pPr>
        <w:spacing w:after="0" w:line="129"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GOSSAMER BIO, INC.</w:t>
            </w:r>
          </w:p>
        </w:tc>
        <w:tc>
          <w:tcPr>
            <w:tcW w:w="5680" w:type="dxa"/>
            <w:vAlign w:val="bottom"/>
            <w:gridSpan w:val="2"/>
          </w:tcPr>
          <w:p>
            <w:pPr>
              <w:ind w:left="30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300"/>
              <w:spacing w:after="0"/>
              <w:rPr>
                <w:sz w:val="20"/>
                <w:szCs w:val="20"/>
                <w:color w:val="auto"/>
              </w:rPr>
            </w:pPr>
            <w:r>
              <w:rPr>
                <w:rFonts w:ascii="Arial" w:cs="Arial" w:eastAsia="Arial" w:hAnsi="Arial"/>
                <w:sz w:val="18"/>
                <w:szCs w:val="18"/>
                <w:color w:val="auto"/>
              </w:rPr>
              <w:t>By:</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4260" w:type="dxa"/>
            <w:vAlign w:val="bottom"/>
            <w:tcBorders>
              <w:top w:val="single" w:sz="8" w:color="auto"/>
              <w:bottom w:val="single" w:sz="8" w:color="auto"/>
            </w:tcBorders>
          </w:tcPr>
          <w:p>
            <w:pPr>
              <w:spacing w:after="0"/>
              <w:rPr>
                <w:sz w:val="19"/>
                <w:szCs w:val="19"/>
                <w:color w:val="auto"/>
              </w:rPr>
            </w:pPr>
          </w:p>
        </w:tc>
        <w:tc>
          <w:tcPr>
            <w:tcW w:w="1400" w:type="dxa"/>
            <w:vAlign w:val="bottom"/>
          </w:tcPr>
          <w:p>
            <w:pPr>
              <w:ind w:left="300"/>
              <w:spacing w:after="0"/>
              <w:rPr>
                <w:sz w:val="20"/>
                <w:szCs w:val="20"/>
                <w:color w:val="auto"/>
              </w:rPr>
            </w:pPr>
            <w:r>
              <w:rPr>
                <w:rFonts w:ascii="Arial" w:cs="Arial" w:eastAsia="Arial" w:hAnsi="Arial"/>
                <w:sz w:val="18"/>
                <w:szCs w:val="18"/>
                <w:color w:val="auto"/>
              </w:rPr>
              <w:t>Print Name:</w:t>
            </w:r>
          </w:p>
        </w:tc>
        <w:tc>
          <w:tcPr>
            <w:tcW w:w="4280" w:type="dxa"/>
            <w:vAlign w:val="bottom"/>
            <w:tcBorders>
              <w:top w:val="single" w:sz="8" w:color="auto"/>
              <w:bottom w:val="single" w:sz="8" w:color="auto"/>
            </w:tcBorders>
          </w:tcPr>
          <w:p>
            <w:pPr>
              <w:spacing w:after="0"/>
              <w:rPr>
                <w:sz w:val="19"/>
                <w:szCs w:val="19"/>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280" w:type="dxa"/>
            <w:vAlign w:val="bottom"/>
          </w:tcPr>
          <w:p>
            <w:pPr>
              <w:spacing w:after="0"/>
              <w:rPr>
                <w:sz w:val="19"/>
                <w:szCs w:val="19"/>
                <w:color w:val="auto"/>
              </w:rPr>
            </w:pPr>
          </w:p>
        </w:tc>
      </w:tr>
    </w:tbl>
    <w:p>
      <w:pPr>
        <w:sectPr>
          <w:pgSz w:w="11900" w:h="16838" w:orient="portrait"/>
          <w:cols w:equalWidth="0" w:num="1">
            <w:col w:w="11040"/>
          </w:cols>
          <w:pgMar w:left="440" w:top="323" w:right="419" w:bottom="1440" w:gutter="0" w:footer="0" w:header="0"/>
          <w:type w:val="continuous"/>
        </w:sectPr>
      </w:pPr>
    </w:p>
    <w:bookmarkStart w:id="463" w:name="page464"/>
    <w:bookmarkEnd w:id="46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Capitalized terms not specifically defined in this Agreement have the meanings specified in the Grant Notice or, if not defined in the Grant Notice, in the Plan.</w:t>
      </w:r>
    </w:p>
    <w:p>
      <w:pPr>
        <w:spacing w:after="0" w:line="3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has granted to Participant the Option effective as of the grant date set forth in the Grant Notice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70" w:lineRule="exact"/>
        <w:rPr>
          <w:sz w:val="20"/>
          <w:szCs w:val="20"/>
          <w:color w:val="auto"/>
        </w:rPr>
      </w:pPr>
    </w:p>
    <w:p>
      <w:pPr>
        <w:ind w:right="720" w:firstLine="441"/>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jc w:val="both"/>
        <w:ind w:right="200" w:firstLine="441"/>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Commencement of Exercisability</w:t>
      </w:r>
      <w:r>
        <w:rPr>
          <w:rFonts w:ascii="Arial" w:cs="Arial" w:eastAsia="Arial" w:hAnsi="Arial"/>
          <w:sz w:val="16"/>
          <w:szCs w:val="16"/>
          <w:color w:val="auto"/>
        </w:rPr>
        <w:t>. The Option will vest and become exercisable according to the vesting schedule in the 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except that any fraction of a Share as to which the Option would be vested or exercisable will be accumulated and will vest and become exercisable only when a whole Share has accumulated. The Option shall not be exercisable with respect to fractional Shares.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5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Subject to Section 5.3 of the Plan, the Option may not be exercised to any extent by anyone after, and will expire on, the first of the following to occur:</w:t>
      </w:r>
    </w:p>
    <w:p>
      <w:pPr>
        <w:spacing w:after="0" w:line="62" w:lineRule="exact"/>
        <w:rPr>
          <w:sz w:val="20"/>
          <w:szCs w:val="20"/>
          <w:color w:val="auto"/>
        </w:rPr>
      </w:pPr>
    </w:p>
    <w:p>
      <w:pPr>
        <w:ind w:left="1260" w:hanging="375"/>
        <w:spacing w:after="0"/>
        <w:tabs>
          <w:tab w:leader="none" w:pos="1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final expiration date in the Grant Notice; which shall in no event be more than ten (10) years from the Grant Date;</w:t>
      </w:r>
    </w:p>
    <w:p>
      <w:pPr>
        <w:spacing w:after="0" w:line="225" w:lineRule="exact"/>
        <w:rPr>
          <w:rFonts w:ascii="Arial" w:cs="Arial" w:eastAsia="Arial" w:hAnsi="Arial"/>
          <w:sz w:val="18"/>
          <w:szCs w:val="18"/>
          <w:color w:val="auto"/>
        </w:rPr>
      </w:pPr>
    </w:p>
    <w:p>
      <w:pPr>
        <w:ind w:right="220" w:firstLine="885"/>
        <w:spacing w:after="0" w:line="277" w:lineRule="auto"/>
        <w:tabs>
          <w:tab w:leader="none" w:pos="127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170" w:lineRule="exact"/>
        <w:rPr>
          <w:rFonts w:ascii="Arial" w:cs="Arial" w:eastAsia="Arial" w:hAnsi="Arial"/>
          <w:sz w:val="18"/>
          <w:szCs w:val="18"/>
          <w:color w:val="auto"/>
        </w:rPr>
      </w:pPr>
    </w:p>
    <w:p>
      <w:pPr>
        <w:ind w:right="240" w:firstLine="885"/>
        <w:spacing w:after="0" w:line="277" w:lineRule="auto"/>
        <w:tabs>
          <w:tab w:leader="none" w:pos="126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70" w:lineRule="exact"/>
        <w:rPr>
          <w:rFonts w:ascii="Arial" w:cs="Arial" w:eastAsia="Arial" w:hAnsi="Arial"/>
          <w:sz w:val="18"/>
          <w:szCs w:val="18"/>
          <w:color w:val="auto"/>
        </w:rPr>
      </w:pPr>
    </w:p>
    <w:p>
      <w:pPr>
        <w:ind w:right="560" w:firstLine="885"/>
        <w:spacing w:after="0" w:line="277" w:lineRule="auto"/>
        <w:tabs>
          <w:tab w:leader="none" w:pos="127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one (1) year from the date of Participant’s Termination of Service by reason of Participant’s death or Disability; and</w:t>
      </w:r>
    </w:p>
    <w:p>
      <w:pPr>
        <w:spacing w:after="0" w:line="170" w:lineRule="exact"/>
        <w:rPr>
          <w:rFonts w:ascii="Arial" w:cs="Arial" w:eastAsia="Arial" w:hAnsi="Arial"/>
          <w:sz w:val="18"/>
          <w:szCs w:val="18"/>
          <w:color w:val="auto"/>
        </w:rPr>
      </w:pPr>
    </w:p>
    <w:p>
      <w:pPr>
        <w:ind w:left="1260" w:hanging="375"/>
        <w:spacing w:after="0"/>
        <w:tabs>
          <w:tab w:leader="none" w:pos="1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date of Participant’s Termination of Service for Cause.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69" w:right="439" w:bottom="1440" w:gutter="0" w:footer="0" w:header="0"/>
        </w:sectPr>
      </w:pPr>
    </w:p>
    <w:bookmarkStart w:id="464" w:name="page465"/>
    <w:bookmarkEnd w:id="4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Person Eligible to Exercise</w:t>
      </w:r>
      <w:r>
        <w:rPr>
          <w:rFonts w:ascii="Arial" w:cs="Arial" w:eastAsia="Arial" w:hAnsi="Arial"/>
          <w:sz w:val="17"/>
          <w:szCs w:val="17"/>
          <w:color w:val="auto"/>
        </w:rPr>
        <w:t>.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the Participant’s Designated Beneficiary or by any person empowered to do so under the deceased Participant’s will or under the then applicable laws of descent and distribution.</w:t>
      </w:r>
    </w:p>
    <w:p>
      <w:pPr>
        <w:spacing w:after="0" w:line="17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225" w:lineRule="exact"/>
        <w:rPr>
          <w:sz w:val="20"/>
          <w:szCs w:val="20"/>
          <w:color w:val="auto"/>
        </w:rPr>
      </w:pPr>
    </w:p>
    <w:p>
      <w:pPr>
        <w:ind w:right="20" w:firstLine="885"/>
        <w:spacing w:after="0" w:line="264" w:lineRule="auto"/>
        <w:tabs>
          <w:tab w:leader="none" w:pos="12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1" w:lineRule="exact"/>
        <w:rPr>
          <w:rFonts w:ascii="Arial" w:cs="Arial" w:eastAsia="Arial" w:hAnsi="Arial"/>
          <w:sz w:val="18"/>
          <w:szCs w:val="18"/>
          <w:color w:val="auto"/>
        </w:rPr>
      </w:pPr>
    </w:p>
    <w:p>
      <w:pPr>
        <w:ind w:right="20" w:firstLine="885"/>
        <w:spacing w:after="0" w:line="257" w:lineRule="auto"/>
        <w:tabs>
          <w:tab w:leader="none" w:pos="127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Adjustments</w:t>
      </w:r>
      <w:r>
        <w:rPr>
          <w:rFonts w:ascii="Arial" w:cs="Arial" w:eastAsia="Arial" w:hAnsi="Arial"/>
          <w:sz w:val="18"/>
          <w:szCs w:val="18"/>
          <w:color w:val="auto"/>
        </w:rPr>
        <w:t>. Participant acknowledges that the Option is subject to adjustment, modification and termination in certain events as provided in this Agreement and the Plan.</w:t>
      </w:r>
    </w:p>
    <w:p>
      <w:pPr>
        <w:spacing w:after="0" w:line="17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9" w:lineRule="exact"/>
        <w:rPr>
          <w:sz w:val="20"/>
          <w:szCs w:val="20"/>
          <w:color w:val="auto"/>
        </w:rPr>
      </w:pPr>
    </w:p>
    <w:p>
      <w:pPr>
        <w:jc w:val="center"/>
        <w:ind w:left="600" w:right="280"/>
        <w:spacing w:after="0" w:line="44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 A-2</w:t>
      </w:r>
    </w:p>
    <w:p>
      <w:pPr>
        <w:sectPr>
          <w:pgSz w:w="11900" w:h="16838" w:orient="portrait"/>
          <w:cols w:equalWidth="0" w:num="1">
            <w:col w:w="11000"/>
          </w:cols>
          <w:pgMar w:left="440" w:top="270" w:right="459" w:bottom="1440" w:gutter="0" w:footer="0" w:header="0"/>
        </w:sectPr>
      </w:pPr>
    </w:p>
    <w:bookmarkStart w:id="465" w:name="page466"/>
    <w:bookmarkEnd w:id="465"/>
    <w:p>
      <w:pPr>
        <w:jc w:val="both"/>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Plan, the Grant Notice and this Agreement are intended to conform to the extent necessary with all Applicable Laws and, to the extent Applicable Laws permit, will be deemed amended to the extent necessary to conform to such Applicable Laws.</w:t>
      </w:r>
    </w:p>
    <w:p>
      <w:pPr>
        <w:spacing w:after="0" w:line="18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herein set forth in the Plan, this Agreement shall be binding upon and inure to the benefit of the heirs, legatees, legal representatives, successors and assigns of the parties hereto.</w:t>
      </w:r>
    </w:p>
    <w:p>
      <w:pPr>
        <w:spacing w:after="0" w:line="14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8"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73" w:lineRule="exact"/>
        <w:rPr>
          <w:sz w:val="20"/>
          <w:szCs w:val="20"/>
          <w:color w:val="auto"/>
        </w:rPr>
      </w:pPr>
    </w:p>
    <w:p>
      <w:pPr>
        <w:jc w:val="both"/>
        <w:ind w:right="120" w:firstLine="441"/>
        <w:spacing w:after="0" w:line="30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4" w:lineRule="exact"/>
        <w:rPr>
          <w:sz w:val="20"/>
          <w:szCs w:val="20"/>
          <w:color w:val="auto"/>
        </w:rPr>
      </w:pPr>
    </w:p>
    <w:p>
      <w:pPr>
        <w:ind w:right="440" w:firstLine="441"/>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Counterparts</w:t>
      </w:r>
      <w:r>
        <w:rPr>
          <w:rFonts w:ascii="Arial" w:cs="Arial" w:eastAsia="Arial" w:hAnsi="Arial"/>
          <w:sz w:val="17"/>
          <w:szCs w:val="17"/>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Option is designated as an Incentive Stock Option:</w:t>
      </w:r>
    </w:p>
    <w:p>
      <w:pPr>
        <w:spacing w:after="0" w:line="117" w:lineRule="exact"/>
        <w:rPr>
          <w:sz w:val="20"/>
          <w:szCs w:val="20"/>
          <w:color w:val="auto"/>
        </w:rPr>
      </w:pPr>
    </w:p>
    <w:p>
      <w:pPr>
        <w:ind w:right="60" w:firstLine="885"/>
        <w:spacing w:after="0" w:line="264" w:lineRule="auto"/>
        <w:tabs>
          <w:tab w:leader="none" w:pos="12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466" w:name="page467"/>
    <w:bookmarkEnd w:id="46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166" w:lineRule="exact"/>
        <w:rPr>
          <w:sz w:val="20"/>
          <w:szCs w:val="20"/>
          <w:color w:val="auto"/>
        </w:rPr>
      </w:pPr>
    </w:p>
    <w:p>
      <w:pPr>
        <w:ind w:right="40" w:firstLine="885"/>
        <w:spacing w:after="0" w:line="259" w:lineRule="auto"/>
        <w:tabs>
          <w:tab w:leader="none" w:pos="127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0"/>
          </w:cols>
          <w:pgMar w:left="440" w:top="274" w:right="49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6997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6997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purposes of this Gossamer Bio, Inc. 2019 Employee Stock Purchase Plan (as it may be amended or restated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to assist Eligible Employees of Gossamer 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81"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47"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4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and include each of the following:</w:t>
      </w:r>
    </w:p>
    <w:p>
      <w:pPr>
        <w:spacing w:after="0" w:line="117" w:lineRule="exact"/>
        <w:rPr>
          <w:sz w:val="20"/>
          <w:szCs w:val="20"/>
          <w:color w:val="auto"/>
        </w:rPr>
      </w:pPr>
    </w:p>
    <w:p>
      <w:pPr>
        <w:ind w:firstLine="885"/>
        <w:spacing w:after="0" w:line="272" w:lineRule="auto"/>
        <w:tabs>
          <w:tab w:leader="none" w:pos="1251"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7" w:lineRule="exact"/>
        <w:rPr>
          <w:rFonts w:ascii="Arial" w:cs="Arial" w:eastAsia="Arial" w:hAnsi="Arial"/>
          <w:sz w:val="17"/>
          <w:szCs w:val="17"/>
          <w:color w:val="auto"/>
        </w:rPr>
      </w:pPr>
    </w:p>
    <w:p>
      <w:pPr>
        <w:ind w:right="180" w:firstLine="885"/>
        <w:spacing w:after="0" w:line="277" w:lineRule="auto"/>
        <w:tabs>
          <w:tab w:leader="none" w:pos="127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w:t>
      </w:r>
    </w:p>
    <w:p>
      <w:pPr>
        <w:sectPr>
          <w:pgSz w:w="11900" w:h="16838" w:orient="portrait"/>
          <w:cols w:equalWidth="0" w:num="1">
            <w:col w:w="11020"/>
          </w:cols>
          <w:pgMar w:left="440" w:top="121" w:right="439" w:bottom="1440" w:gutter="0" w:footer="0" w:header="0"/>
        </w:sectPr>
      </w:pPr>
    </w:p>
    <w:bookmarkStart w:id="468" w:name="page469"/>
    <w:bookmarkEnd w:id="46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7" w:lineRule="exact"/>
        <w:rPr>
          <w:sz w:val="20"/>
          <w:szCs w:val="20"/>
          <w:color w:val="auto"/>
        </w:rPr>
      </w:pPr>
    </w:p>
    <w:p>
      <w:pPr>
        <w:ind w:firstLine="885"/>
        <w:spacing w:after="0" w:line="259" w:lineRule="auto"/>
        <w:tabs>
          <w:tab w:leader="none" w:pos="125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right="40" w:firstLine="1436"/>
        <w:spacing w:after="0" w:line="276" w:lineRule="auto"/>
        <w:tabs>
          <w:tab w:leader="none" w:pos="1783" w:val="left"/>
        </w:tabs>
        <w:numPr>
          <w:ilvl w:val="1"/>
          <w:numId w:val="303"/>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172" w:lineRule="exact"/>
        <w:rPr>
          <w:rFonts w:ascii="Arial" w:cs="Arial" w:eastAsia="Arial" w:hAnsi="Arial"/>
          <w:sz w:val="17"/>
          <w:szCs w:val="17"/>
          <w:color w:val="auto"/>
        </w:rPr>
      </w:pPr>
    </w:p>
    <w:p>
      <w:pPr>
        <w:ind w:right="40" w:firstLine="1436"/>
        <w:spacing w:after="0" w:line="259" w:lineRule="auto"/>
        <w:tabs>
          <w:tab w:leader="none" w:pos="183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7"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w:t>
      </w:r>
    </w:p>
    <w:p>
      <w:pPr>
        <w:spacing w:after="0" w:line="14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such other securities of the Company that may be substituted therefor pursuant to Article VIII.</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Gossamer Bio, Inc., a Delaware corporation.</w:t>
      </w:r>
    </w:p>
    <w:p>
      <w:pPr>
        <w:spacing w:after="0" w:line="225"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Eligible Employee means the gross base compensation received by such Eligible Employee as compensation for services to the Company or any Designated Subsidiary, including prior week adjustment and overtime payments but excluding vacation pay, holiday pay, jury duty pay, funeral leave pay, military leave pay, commissions, incentive compensation,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8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Subsidiary</w:t>
      </w:r>
      <w:r>
        <w:rPr>
          <w:rFonts w:ascii="Arial" w:cs="Arial" w:eastAsia="Arial" w:hAnsi="Arial"/>
          <w:sz w:val="16"/>
          <w:szCs w:val="16"/>
          <w:color w:val="auto"/>
        </w:rPr>
        <w:t>” means any Subsidiary designated by the Administrator in accordance with Section 11.3(b).</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469" w:name="page470"/>
    <w:bookmarkEnd w:id="469"/>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w:t>
      </w: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means the day prior to the Public Trading Date, provided that the Board has adopted the Plan prior to or on such date.</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xml:space="preserve">” means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twenty hours or less per week, (d) such Employee’s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exclusion in clauses (a), (b), (c), (d) or (e) shall be applied in an identical manner under each Offering Period to all Employees, in accordance with Treasury Regulation Section 1.423-2(e).</w:t>
      </w:r>
    </w:p>
    <w:p>
      <w:pPr>
        <w:spacing w:after="0" w:line="17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8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day of each Offering Period (or, with respect to the Initial Offering Period, such date set forth in the Offering Document approved by the Administrator with respect to the Initial Offering Period).</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from time to time.</w:t>
      </w:r>
    </w:p>
    <w:p>
      <w:pPr>
        <w:spacing w:after="0" w:line="225"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70" w:name="page471"/>
    <w:bookmarkEnd w:id="470"/>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or (c) without an established market for the Common Stock, the Administrator will determine the Fair Market Value in its discretion; or (d) with respect to the Initial Offering Period, the Fair Market Value as specified in the Offering Document approved by the Administrator with respect to the Initial Offering Period.</w:t>
      </w:r>
    </w:p>
    <w:p>
      <w:pPr>
        <w:spacing w:after="0" w:line="14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first Trading Day of an Offering Period (or, with respect to the Initial Offering Period, such date set forth in the Offering Document approved by the Administrator with respect to the Initial Offering Period).</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Initial Offering Period</w:t>
      </w:r>
      <w:r>
        <w:rPr>
          <w:rFonts w:ascii="Arial" w:cs="Arial" w:eastAsia="Arial" w:hAnsi="Arial"/>
          <w:sz w:val="18"/>
          <w:szCs w:val="18"/>
          <w:color w:val="auto"/>
        </w:rPr>
        <w:t>” shall mean the period commencing on the Effective Date and ending the date set forth in the Offering Document approved by the Administrator with respect to the Initial Offering Period.</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shall have the meaning given to such term in Section 4.1.</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shall have the meaning given to such term in Section 4.1.</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8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has executed a subscription agreement and been granted rights to purchase Common Stock pursuant to the Plan.</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Gossamer Bio, Inc. 2019 Employee Stock Purchase Plan, as it may be amended from time to time.</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b w:val="1"/>
          <w:bCs w:val="1"/>
          <w:i w:val="1"/>
          <w:iCs w:val="1"/>
          <w:color w:val="auto"/>
        </w:rPr>
        <w:t>Public Trading Date</w:t>
      </w:r>
      <w:r>
        <w:rPr>
          <w:rFonts w:ascii="Arial" w:cs="Arial" w:eastAsia="Arial" w:hAnsi="Arial"/>
          <w:sz w:val="16"/>
          <w:szCs w:val="16"/>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4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means the last Trading Day of each Purchase Period.</w:t>
      </w:r>
    </w:p>
    <w:p>
      <w:pPr>
        <w:spacing w:after="0" w:line="225"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xml:space="preserve">” shall refer to one or more periods within an Offering Period, as designated in the applicable Offering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66"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shall not be less than 85% of the Fair Market Value of a Share on the Grant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Grant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71" w:name="page472"/>
    <w:bookmarkEnd w:id="471"/>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 share of Common Stock.</w:t>
      </w:r>
    </w:p>
    <w:p>
      <w:pPr>
        <w:spacing w:after="0" w:line="225"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3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national stock exchanges in the United States are open for trading.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20" w:type="dxa"/>
            <w:vAlign w:val="bottom"/>
          </w:tcPr>
          <w:p>
            <w:pPr>
              <w:jc w:val="center"/>
              <w:ind w:right="2010"/>
              <w:spacing w:after="0"/>
              <w:rPr>
                <w:sz w:val="20"/>
                <w:szCs w:val="20"/>
                <w:color w:val="auto"/>
              </w:rPr>
            </w:pPr>
            <w:r>
              <w:rPr>
                <w:rFonts w:ascii="Arial" w:cs="Arial" w:eastAsia="Arial" w:hAnsi="Arial"/>
                <w:sz w:val="18"/>
                <w:szCs w:val="18"/>
                <w:b w:val="1"/>
                <w:bCs w:val="1"/>
                <w:color w:val="auto"/>
              </w:rPr>
              <w:t>ARTICLE III.</w:t>
            </w:r>
          </w:p>
        </w:tc>
      </w:tr>
      <w:tr>
        <w:trPr>
          <w:trHeight w:val="234"/>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20" w:type="dxa"/>
            <w:vAlign w:val="bottom"/>
          </w:tcPr>
          <w:p>
            <w:pPr>
              <w:jc w:val="center"/>
              <w:ind w:right="2010"/>
              <w:spacing w:after="0"/>
              <w:rPr>
                <w:sz w:val="20"/>
                <w:szCs w:val="20"/>
                <w:color w:val="auto"/>
              </w:rPr>
            </w:pPr>
            <w:r>
              <w:rPr>
                <w:rFonts w:ascii="Arial" w:cs="Arial" w:eastAsia="Arial" w:hAnsi="Arial"/>
                <w:sz w:val="18"/>
                <w:szCs w:val="18"/>
                <w:b w:val="1"/>
                <w:bCs w:val="1"/>
                <w:color w:val="auto"/>
                <w:w w:val="98"/>
              </w:rPr>
              <w:t>SHARES SUBJECT TO THE PLAN</w:t>
            </w:r>
          </w:p>
        </w:tc>
      </w:tr>
      <w:tr>
        <w:trPr>
          <w:trHeight w:val="392"/>
        </w:trPr>
        <w:tc>
          <w:tcPr>
            <w:tcW w:w="300" w:type="dxa"/>
            <w:vAlign w:val="bottom"/>
          </w:tcPr>
          <w:p>
            <w:pPr>
              <w:spacing w:after="0"/>
              <w:rPr>
                <w:sz w:val="24"/>
                <w:szCs w:val="24"/>
                <w:color w:val="auto"/>
              </w:rPr>
            </w:pPr>
          </w:p>
        </w:tc>
        <w:tc>
          <w:tcPr>
            <w:tcW w:w="10680" w:type="dxa"/>
            <w:vAlign w:val="bottom"/>
            <w:gridSpan w:val="3"/>
          </w:tcPr>
          <w:p>
            <w:pPr>
              <w:ind w:left="140"/>
              <w:spacing w:after="0"/>
              <w:rPr>
                <w:sz w:val="20"/>
                <w:szCs w:val="20"/>
                <w:color w:val="auto"/>
              </w:rPr>
            </w:pPr>
            <w:r>
              <w:rPr>
                <w:rFonts w:ascii="Arial" w:cs="Arial" w:eastAsia="Arial" w:hAnsi="Arial"/>
                <w:sz w:val="18"/>
                <w:szCs w:val="18"/>
                <w:color w:val="auto"/>
                <w:w w:val="90"/>
              </w:rPr>
              <w:t>3.1  Number of Shares. Subject to Article VIII, the aggregate number of Shares that may be issued pursuant to rights granted under the Plan shall</w:t>
            </w: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r>
              <w:rPr>
                <w:rFonts w:ascii="Arial" w:cs="Arial" w:eastAsia="Arial" w:hAnsi="Arial"/>
                <w:sz w:val="18"/>
                <w:szCs w:val="18"/>
                <w:color w:val="auto"/>
              </w:rPr>
              <w:t>be</w:t>
            </w:r>
          </w:p>
        </w:tc>
        <w:tc>
          <w:tcPr>
            <w:tcW w:w="10680" w:type="dxa"/>
            <w:vAlign w:val="bottom"/>
            <w:gridSpan w:val="3"/>
          </w:tcPr>
          <w:p>
            <w:pPr>
              <w:ind w:left="500"/>
              <w:spacing w:after="0"/>
              <w:rPr>
                <w:sz w:val="20"/>
                <w:szCs w:val="20"/>
                <w:color w:val="auto"/>
              </w:rPr>
            </w:pPr>
            <w:r>
              <w:rPr>
                <w:rFonts w:ascii="Arial" w:cs="Arial" w:eastAsia="Arial" w:hAnsi="Arial"/>
                <w:sz w:val="18"/>
                <w:szCs w:val="18"/>
                <w:color w:val="auto"/>
                <w:w w:val="92"/>
              </w:rPr>
              <w:t>Shares. In addition to the foregoing, subject to Article VIII, on the first day of each calendar year beginning on January 1, 2019 and ending</w:t>
            </w:r>
          </w:p>
        </w:tc>
      </w:tr>
    </w:tbl>
    <w:p>
      <w:pPr>
        <w:ind w:right="200"/>
        <w:spacing w:after="0"/>
        <w:rPr>
          <w:sz w:val="20"/>
          <w:szCs w:val="20"/>
          <w:color w:val="auto"/>
        </w:rPr>
      </w:pPr>
      <w:r>
        <w:rPr>
          <w:rFonts w:ascii="Arial" w:cs="Arial" w:eastAsia="Arial" w:hAnsi="Arial"/>
          <w:sz w:val="12"/>
          <w:szCs w:val="12"/>
          <w:color w:val="auto"/>
        </w:rPr>
        <w:t>on and including January 1, 2029, the number of Shares available for issuance under the Plan shall be increased by that number of Shares equal to the lesser of (a) 1% of the Shares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number of Shares that may be issued or transferred pursuant to the rights granted under the Plan shall not exceed an aggregate of Shares, subject to Article 8.</w:t>
      </w:r>
    </w:p>
    <w:p>
      <w:pPr>
        <w:spacing w:after="0" w:line="170"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Common Stock distributed pursuant to the Plan may consist, in whole or in part, of authorized and unissued Common Stock, treasury stock or Common Stock purchased on the open market.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1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Common Stock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72" w:name="page473"/>
    <w:bookmarkEnd w:id="472"/>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Offering Documents</w:t>
      </w:r>
      <w:r>
        <w:rPr>
          <w:rFonts w:ascii="Arial" w:cs="Arial" w:eastAsia="Arial" w:hAnsi="Arial"/>
          <w:sz w:val="18"/>
          <w:szCs w:val="18"/>
          <w:color w:val="auto"/>
        </w:rPr>
        <w:t>. Each Offering Document with respect to an Offering Period shall specify (through incorporation of the provisions of this Plan by reference or otherwise):</w:t>
      </w:r>
    </w:p>
    <w:p>
      <w:pPr>
        <w:spacing w:after="0" w:line="62" w:lineRule="exact"/>
        <w:rPr>
          <w:sz w:val="20"/>
          <w:szCs w:val="20"/>
          <w:color w:val="auto"/>
        </w:rPr>
      </w:pPr>
    </w:p>
    <w:p>
      <w:pPr>
        <w:ind w:left="820" w:hanging="376"/>
        <w:spacing w:after="0"/>
        <w:tabs>
          <w:tab w:leader="none" w:pos="8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months;</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maximum number of Shares that may be purchased by any Eligible Employee during such Offering Period, which, in the absence of a</w:t>
      </w:r>
    </w:p>
    <w:p>
      <w:pPr>
        <w:spacing w:after="0" w:line="46"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contrary designation by the Administrator, shall be</w:t>
      </w:r>
      <w:r>
        <w:rPr>
          <w:sz w:val="20"/>
          <w:szCs w:val="20"/>
          <w:color w:val="auto"/>
        </w:rPr>
        <w:tab/>
      </w:r>
      <w:r>
        <w:rPr>
          <w:rFonts w:ascii="Arial" w:cs="Arial" w:eastAsia="Arial" w:hAnsi="Arial"/>
          <w:sz w:val="15"/>
          <w:szCs w:val="15"/>
          <w:color w:val="auto"/>
        </w:rPr>
        <w:t>Shares;</w:t>
      </w:r>
    </w:p>
    <w:p>
      <w:pPr>
        <w:spacing w:after="0" w:line="211" w:lineRule="exact"/>
        <w:rPr>
          <w:sz w:val="20"/>
          <w:szCs w:val="20"/>
          <w:color w:val="auto"/>
        </w:rPr>
      </w:pPr>
    </w:p>
    <w:p>
      <w:pPr>
        <w:ind w:right="20" w:firstLine="444"/>
        <w:spacing w:after="0" w:line="291" w:lineRule="auto"/>
        <w:tabs>
          <w:tab w:leader="none" w:pos="83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 connection with each Offering Period that contains more than one Purchase Period, the maximum aggregate number of shares which may be purchased by any Eligible Employee during each Purchaser Period, which, in the absence of a contrary designation by the Administrator, shall</w:t>
      </w:r>
    </w:p>
    <w:p>
      <w:pPr>
        <w:spacing w:after="0"/>
        <w:tabs>
          <w:tab w:leader="none" w:pos="74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Shares; and</w:t>
      </w:r>
    </w:p>
    <w:p>
      <w:pPr>
        <w:spacing w:after="0" w:line="211"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8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Enrollment in Plan</w:t>
      </w:r>
      <w:r>
        <w:rPr>
          <w:rFonts w:ascii="Arial" w:cs="Arial" w:eastAsia="Arial" w:hAnsi="Arial"/>
          <w:sz w:val="16"/>
          <w:szCs w:val="16"/>
          <w:color w:val="auto"/>
        </w:rPr>
        <w:t>.</w:t>
      </w:r>
    </w:p>
    <w:p>
      <w:pPr>
        <w:spacing w:after="0" w:line="225" w:lineRule="exact"/>
        <w:rPr>
          <w:sz w:val="20"/>
          <w:szCs w:val="20"/>
          <w:color w:val="auto"/>
        </w:rPr>
      </w:pPr>
    </w:p>
    <w:p>
      <w:pPr>
        <w:ind w:right="40" w:firstLine="444"/>
        <w:spacing w:after="0" w:line="312" w:lineRule="auto"/>
        <w:tabs>
          <w:tab w:leader="none" w:pos="8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46" w:lineRule="exact"/>
        <w:rPr>
          <w:rFonts w:ascii="Arial" w:cs="Arial" w:eastAsia="Arial" w:hAnsi="Arial"/>
          <w:sz w:val="16"/>
          <w:szCs w:val="16"/>
          <w:color w:val="auto"/>
        </w:rPr>
      </w:pPr>
    </w:p>
    <w:p>
      <w:pPr>
        <w:ind w:firstLine="444"/>
        <w:spacing w:after="0" w:line="293" w:lineRule="auto"/>
        <w:tabs>
          <w:tab w:leader="none" w:pos="83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or, if permitted by the Administrator, contributions to be made by such Eligible Employee. The designated percentage may not be less than 1% and may not be more than the maximum percentage specified by the Administrator in the applicable Offering Document (which percentage shall be 20% in the absence of any such designation). The payroll deductions or, if permitted by the Administrator, contributions made for each Participant shall be credited to an account for such Participant under the Plan and shall be deposited with the general funds of the Company.</w:t>
      </w:r>
    </w:p>
    <w:p>
      <w:pPr>
        <w:spacing w:after="0" w:line="164" w:lineRule="exact"/>
        <w:rPr>
          <w:rFonts w:ascii="Arial" w:cs="Arial" w:eastAsia="Arial" w:hAnsi="Arial"/>
          <w:sz w:val="16"/>
          <w:szCs w:val="16"/>
          <w:color w:val="auto"/>
        </w:rPr>
      </w:pPr>
    </w:p>
    <w:p>
      <w:pPr>
        <w:ind w:firstLine="444"/>
        <w:spacing w:after="0" w:line="297" w:lineRule="auto"/>
        <w:tabs>
          <w:tab w:leader="none" w:pos="81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A Participant may increase or decrease the percentage of Compensation designated in his or her subscription agreement, subject to the limits of this Section 5.2, or may suspend his or her payroll deductions, or, if permitted by the Administrator, contributions, at any time during an Offering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 may limit the number of changes a Participant may make to his or her payroll deduction elections or, if permitted by the Administrator, contributions, during each Offering Period in the applicable Offering Document (and in the absence of any specific designation by the Administrator, a Participant shall be allowed one change to his or her payroll deduction elections or, if</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3" w:right="519" w:bottom="1440" w:gutter="0" w:footer="0" w:header="0"/>
        </w:sectPr>
      </w:pPr>
    </w:p>
    <w:bookmarkStart w:id="473" w:name="page474"/>
    <w:bookmarkEnd w:id="47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by the Administrator, contributions, during each Offering Period). Any such change or suspension of payroll deductions, or, if permitted by the Administrator, contributions, shall be effective with the first full payroll period that is at least five business days after the Company’s receipt of the new subscription agreement (or such shorter or longer period as may be specified by the Administrator in the applicable Offering Document). In the event a Participant suspends his or her payroll deductions or contributions, such Participant’s cumulative payroll deductions or contributions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78" w:lineRule="exact"/>
        <w:rPr>
          <w:sz w:val="20"/>
          <w:szCs w:val="20"/>
          <w:color w:val="auto"/>
        </w:rPr>
      </w:pPr>
    </w:p>
    <w:p>
      <w:pPr>
        <w:ind w:right="400" w:firstLine="444"/>
        <w:spacing w:after="0" w:line="342" w:lineRule="auto"/>
        <w:tabs>
          <w:tab w:leader="none" w:pos="83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Except as set forth in Section 5.8, as otherwise set forth in an Offering Document or determined by the Administrator, a Participant may participate in the Plan only by means of payroll deduction and may not make contributions by lump sum payment for any Offering Period.</w:t>
      </w:r>
    </w:p>
    <w:p>
      <w:pPr>
        <w:spacing w:after="0" w:line="12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8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Limitation on Purchase of Common Stock</w:t>
      </w:r>
      <w:r>
        <w:rPr>
          <w:rFonts w:ascii="Arial" w:cs="Arial" w:eastAsia="Arial" w:hAnsi="Arial"/>
          <w:sz w:val="17"/>
          <w:szCs w:val="17"/>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time which such rights are granted) for each calendar year in which such rights are outstanding at any time. This limitation shall be applied in accordance with Section 423(b)(8) of the Code.</w:t>
      </w:r>
    </w:p>
    <w:p>
      <w:pPr>
        <w:spacing w:after="0" w:line="173"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Decrease or Suspension of Payroll Deductionsor Contributions</w:t>
      </w:r>
      <w:r>
        <w:rPr>
          <w:rFonts w:ascii="Arial" w:cs="Arial" w:eastAsia="Arial" w:hAnsi="Arial"/>
          <w:sz w:val="16"/>
          <w:szCs w:val="16"/>
          <w:color w:val="auto"/>
        </w:rPr>
        <w:t>. Notwithstanding the foregoing, to the extent necessary to comply with Section 423(b)(8) of the Code and Section 5.5 or the other limitations set forth in this Plan, a Participant’s payroll deductions or contributions may be suspended or discontinued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58"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Foreign Employees</w:t>
      </w:r>
      <w:r>
        <w:rPr>
          <w:rFonts w:ascii="Arial" w:cs="Arial" w:eastAsia="Arial" w:hAnsi="Arial"/>
          <w:sz w:val="17"/>
          <w:szCs w:val="17"/>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474" w:name="page475"/>
    <w:bookmarkEnd w:id="474"/>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w:t>
      </w:r>
      <w:r>
        <w:rPr>
          <w:sz w:val="20"/>
          <w:szCs w:val="20"/>
          <w:color w:val="auto"/>
        </w:rPr>
        <w:tab/>
      </w:r>
      <w:r>
        <w:rPr>
          <w:rFonts w:ascii="Arial" w:cs="Arial" w:eastAsia="Arial" w:hAnsi="Arial"/>
          <w:sz w:val="16"/>
          <w:szCs w:val="16"/>
          <w:u w:val="single" w:color="auto"/>
          <w:color w:val="auto"/>
        </w:rPr>
        <w:t>Leave of Absence</w:t>
      </w:r>
      <w:r>
        <w:rPr>
          <w:rFonts w:ascii="Arial" w:cs="Arial" w:eastAsia="Arial" w:hAnsi="Arial"/>
          <w:sz w:val="16"/>
          <w:szCs w:val="16"/>
          <w:color w:val="auto"/>
        </w:rPr>
        <w:t>. During leaves of absence approved by the Company meeting the requirements of Treasury Regulation</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his or her authorized payroll deduction.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AND EXERCISE OF RIGHTS</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Rights</w:t>
      </w:r>
      <w:r>
        <w:rPr>
          <w:rFonts w:ascii="Arial" w:cs="Arial" w:eastAsia="Arial" w:hAnsi="Arial"/>
          <w:sz w:val="18"/>
          <w:szCs w:val="18"/>
          <w:color w:val="auto"/>
        </w:rPr>
        <w:t>. On the Grant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or permitted contributions accumulated prior to such Purchase Date and retained in the Participant’s account as of the Purchase Date, by (b) the applicable Purchase Price (rounded down to the nearest Share). The right shall expire on the earlier of: (x) the last Purchase Date of the Offering Period, (y) last day of the Offering Period and (z) the date on which the Participant withdraws in accordance with Section 7.1 or Section 7.3.</w:t>
      </w:r>
    </w:p>
    <w:p>
      <w:pPr>
        <w:spacing w:after="0" w:line="18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or permitted contributions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returned to the Participant in one lump sum payment in a subsequent payroll check as soon as practicable after the Exercise Date, unless the Administrator provides that such amounts should be rolled over to the next occurring Offering Period in the applicable Offering Document. Shares issued pursuant to the Plan may be evidenced in such manner as the Administrator may determine and may be issued in certificated form or issued pursuant to book-entry procedures.</w:t>
      </w:r>
    </w:p>
    <w:p>
      <w:pPr>
        <w:spacing w:after="0" w:line="166"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Pro Rata Allocation of Shares</w:t>
      </w:r>
      <w:r>
        <w:rPr>
          <w:rFonts w:ascii="Arial" w:cs="Arial" w:eastAsia="Arial" w:hAnsi="Arial"/>
          <w:sz w:val="17"/>
          <w:szCs w:val="17"/>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Common Stock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Withholding</w:t>
      </w:r>
      <w:r>
        <w:rPr>
          <w:rFonts w:ascii="Arial" w:cs="Arial" w:eastAsia="Arial" w:hAnsi="Arial"/>
          <w:sz w:val="16"/>
          <w:szCs w:val="16"/>
          <w:color w:val="auto"/>
        </w:rPr>
        <w:t>. At the time a Participant’s rights under the Plan are exercised, in whole or in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75" w:name="page476"/>
    <w:bookmarkEnd w:id="475"/>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or at the time some or all of the Common Stock issued under the Plan is disposed of, the Participant must make adequate provision for the Company’s federal, state, or other tax withholding obligations, if any, that arise upon the exercise of the right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173"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Conditions to Issuance of Common Stock</w:t>
      </w:r>
      <w:r>
        <w:rPr>
          <w:rFonts w:ascii="Arial" w:cs="Arial" w:eastAsia="Arial" w:hAnsi="Arial"/>
          <w:sz w:val="16"/>
          <w:szCs w:val="16"/>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6" w:lineRule="exact"/>
        <w:rPr>
          <w:sz w:val="20"/>
          <w:szCs w:val="20"/>
          <w:color w:val="auto"/>
        </w:rPr>
      </w:pPr>
    </w:p>
    <w:p>
      <w:pPr>
        <w:ind w:left="820" w:hanging="376"/>
        <w:spacing w:after="0"/>
        <w:tabs>
          <w:tab w:leader="none" w:pos="8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Common Stock is then listed;</w:t>
      </w:r>
    </w:p>
    <w:p>
      <w:pPr>
        <w:spacing w:after="0" w:line="225" w:lineRule="exact"/>
        <w:rPr>
          <w:rFonts w:ascii="Arial" w:cs="Arial" w:eastAsia="Arial" w:hAnsi="Arial"/>
          <w:sz w:val="18"/>
          <w:szCs w:val="18"/>
          <w:color w:val="auto"/>
        </w:rPr>
      </w:pPr>
    </w:p>
    <w:p>
      <w:pPr>
        <w:ind w:right="140" w:firstLine="444"/>
        <w:spacing w:after="0" w:line="264" w:lineRule="auto"/>
        <w:tabs>
          <w:tab w:leader="none" w:pos="8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81" w:lineRule="exact"/>
        <w:rPr>
          <w:rFonts w:ascii="Arial" w:cs="Arial" w:eastAsia="Arial" w:hAnsi="Arial"/>
          <w:sz w:val="18"/>
          <w:szCs w:val="18"/>
          <w:color w:val="auto"/>
        </w:rPr>
      </w:pPr>
    </w:p>
    <w:p>
      <w:pPr>
        <w:ind w:right="160" w:firstLine="444"/>
        <w:spacing w:after="0" w:line="277" w:lineRule="auto"/>
        <w:tabs>
          <w:tab w:leader="none" w:pos="81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payment to the Company of all amounts that it is required to withhold under federal, state or local law upon exercise of the rights, if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360" w:firstLine="444"/>
        <w:spacing w:after="0" w:line="277" w:lineRule="auto"/>
        <w:tabs>
          <w:tab w:leader="none" w:pos="81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rights as the Administrator may from time to time establish for reasons of administrative convenience.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WITHDRAWAL; CESSATION OF ELIGIBILITY</w:t>
      </w:r>
    </w:p>
    <w:p>
      <w:pPr>
        <w:spacing w:after="0" w:line="21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all but not less than all of the payroll deductions or contributions credited to his or her account and not yet used to exercise his or her rights under the Plan at any time by giving written notice to the Company in a form acceptable to the Company no later than one week prior to the end of the Offering Period (or such shorter or longer period specified by the Administrator in the Offering Document). All of the Participant’s payroll deductions credited to his or her account or contributions made by the Participant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or contributions accepted for such Offering Period. If a Participant withdraws from an Offering Period, payroll deductions shall not resume at the beginning of the next Offering Period unless the Participant timely delivers to the Company a new subscription agreement.</w:t>
      </w:r>
    </w:p>
    <w:p>
      <w:pPr>
        <w:spacing w:after="0" w:line="17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Cessation of Eligibility</w:t>
      </w:r>
      <w:r>
        <w:rPr>
          <w:rFonts w:ascii="Arial" w:cs="Arial" w:eastAsia="Arial" w:hAnsi="Arial"/>
          <w:sz w:val="18"/>
          <w:szCs w:val="18"/>
          <w:color w:val="auto"/>
        </w:rPr>
        <w:t>. Upon a Participant’s ceasing to be an Eligible Employee for any reason, he or she shall be deemed to have elected to withdraw from the Plan pursuant to this Article VII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76" w:name="page477"/>
    <w:bookmarkEnd w:id="476"/>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payroll deductions credited to such Participant’s account or contributions made by such Participant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ADJUSTMENTS UPON CHANGES IN STOCK</w:t>
      </w:r>
    </w:p>
    <w:p>
      <w:pPr>
        <w:spacing w:after="0" w:line="21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73"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81" w:lineRule="exact"/>
        <w:rPr>
          <w:sz w:val="20"/>
          <w:szCs w:val="20"/>
          <w:color w:val="auto"/>
        </w:rPr>
      </w:pPr>
    </w:p>
    <w:p>
      <w:pPr>
        <w:ind w:firstLine="444"/>
        <w:spacing w:after="0" w:line="264" w:lineRule="auto"/>
        <w:tabs>
          <w:tab w:leader="none" w:pos="81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81" w:lineRule="exact"/>
        <w:rPr>
          <w:rFonts w:ascii="Arial" w:cs="Arial" w:eastAsia="Arial" w:hAnsi="Arial"/>
          <w:sz w:val="18"/>
          <w:szCs w:val="18"/>
          <w:color w:val="auto"/>
        </w:rPr>
      </w:pPr>
    </w:p>
    <w:p>
      <w:pPr>
        <w:ind w:right="260" w:firstLine="444"/>
        <w:spacing w:after="0" w:line="264" w:lineRule="auto"/>
        <w:tabs>
          <w:tab w:leader="none" w:pos="82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81" w:lineRule="exact"/>
        <w:rPr>
          <w:rFonts w:ascii="Arial" w:cs="Arial" w:eastAsia="Arial" w:hAnsi="Arial"/>
          <w:sz w:val="18"/>
          <w:szCs w:val="18"/>
          <w:color w:val="auto"/>
        </w:rPr>
      </w:pPr>
    </w:p>
    <w:p>
      <w:pPr>
        <w:ind w:right="60" w:firstLine="444"/>
        <w:spacing w:after="0" w:line="277" w:lineRule="auto"/>
        <w:tabs>
          <w:tab w:leader="none" w:pos="81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70" w:lineRule="exact"/>
        <w:rPr>
          <w:rFonts w:ascii="Arial" w:cs="Arial" w:eastAsia="Arial" w:hAnsi="Arial"/>
          <w:sz w:val="18"/>
          <w:szCs w:val="18"/>
          <w:color w:val="auto"/>
        </w:rPr>
      </w:pPr>
    </w:p>
    <w:p>
      <w:pPr>
        <w:jc w:val="both"/>
        <w:ind w:right="400" w:firstLine="444"/>
        <w:spacing w:after="0" w:line="264" w:lineRule="auto"/>
        <w:tabs>
          <w:tab w:leader="none" w:pos="82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or contributions may be used to purchase Common Stock prior to the next occurring Purchase Date on such date as the Administrator determines in its sole discretion and the Participants’ rights under the ongoing Offering Period(s) shall be terminated;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77" w:name="page478"/>
    <w:bookmarkEnd w:id="477"/>
    <w:p>
      <w:pPr>
        <w:ind w:left="440"/>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sz w:val="20"/>
          <w:szCs w:val="20"/>
          <w:color w:val="auto"/>
        </w:rPr>
        <w:tab/>
      </w:r>
      <w:r>
        <w:rPr>
          <w:rFonts w:ascii="Arial" w:cs="Arial" w:eastAsia="Arial" w:hAnsi="Arial"/>
          <w:sz w:val="16"/>
          <w:szCs w:val="16"/>
          <w:color w:val="auto"/>
        </w:rPr>
        <w:t>To provide that all outstanding rights shall terminate without being exercised.</w:t>
      </w:r>
    </w:p>
    <w:p>
      <w:pPr>
        <w:spacing w:after="0" w:line="225"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 Adjustment Under Certain Circumstances</w:t>
      </w:r>
      <w:r>
        <w:rPr>
          <w:rFonts w:ascii="Arial" w:cs="Arial" w:eastAsia="Arial" w:hAnsi="Arial"/>
          <w:sz w:val="16"/>
          <w:szCs w:val="16"/>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220" w:firstLine="441"/>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xml:space="preserve">. The Administrator may amend, suspend or terminate the Plan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w:t>
      </w:r>
    </w:p>
    <w:p>
      <w:pPr>
        <w:ind w:right="60" w:firstLine="4"/>
        <w:spacing w:after="0" w:line="290" w:lineRule="auto"/>
        <w:tabs>
          <w:tab w:leader="none" w:pos="25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change the corporations or classes of corporations whose employees may be granted rights under the Plan; or (c) change the Plan in any manner that would cause the Plan to no longer be an “employee stock purchase plan” within the meaning of Section 423(b) of the Code.</w:t>
      </w:r>
    </w:p>
    <w:p>
      <w:pPr>
        <w:spacing w:after="0" w:line="162"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Changes to Plan</w:t>
      </w:r>
      <w:r>
        <w:rPr>
          <w:rFonts w:ascii="Arial" w:cs="Arial" w:eastAsia="Arial" w:hAnsi="Arial"/>
          <w:sz w:val="17"/>
          <w:szCs w:val="17"/>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7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57" w:lineRule="exact"/>
        <w:rPr>
          <w:sz w:val="20"/>
          <w:szCs w:val="20"/>
          <w:color w:val="auto"/>
        </w:rPr>
      </w:pPr>
    </w:p>
    <w:p>
      <w:pPr>
        <w:jc w:val="center"/>
        <w:ind w:left="5420" w:right="480" w:hanging="4976"/>
        <w:spacing w:after="0" w:line="449" w:lineRule="auto"/>
        <w:tabs>
          <w:tab w:leader="none" w:pos="81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 11</w:t>
      </w:r>
    </w:p>
    <w:p>
      <w:pPr>
        <w:sectPr>
          <w:pgSz w:w="11900" w:h="16838" w:orient="portrait"/>
          <w:cols w:equalWidth="0" w:num="1">
            <w:col w:w="11000"/>
          </w:cols>
          <w:pgMar w:left="440" w:top="273" w:right="459" w:bottom="1440" w:gutter="0" w:footer="0" w:header="0"/>
        </w:sectPr>
      </w:pPr>
    </w:p>
    <w:bookmarkStart w:id="478" w:name="page479"/>
    <w:bookmarkEnd w:id="478"/>
    <w:p>
      <w:pPr>
        <w:ind w:right="120" w:firstLine="444"/>
        <w:spacing w:after="0" w:line="277" w:lineRule="auto"/>
        <w:tabs>
          <w:tab w:leader="none" w:pos="831"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shortening any Offering Period so that the Offering Period ends on a new Purchase Date, including an Offering Period underway at the time of the Administrator action; and</w:t>
      </w:r>
    </w:p>
    <w:p>
      <w:pPr>
        <w:spacing w:after="0" w:line="170" w:lineRule="exact"/>
        <w:rPr>
          <w:rFonts w:ascii="Arial" w:cs="Arial" w:eastAsia="Arial" w:hAnsi="Arial"/>
          <w:sz w:val="18"/>
          <w:szCs w:val="18"/>
          <w:color w:val="auto"/>
        </w:rPr>
      </w:pPr>
    </w:p>
    <w:p>
      <w:pPr>
        <w:ind w:left="820" w:hanging="376"/>
        <w:spacing w:after="0"/>
        <w:tabs>
          <w:tab w:leader="none" w:pos="8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Plan shall be effective on the Effective Date. The effectiveness of the Plan shall be subject to approval of the Plan by the stockholders of the Company within twelve months following the date the Plan is first approved by the Board. No right may be granted under the Plan prior to such stockholder approval. The Plan shall be in effect until terminated under Section 9.1 hereof. No rights may be granted under the Plan during any period of suspension of the Plan or after termination of the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right="480" w:firstLine="441"/>
        <w:spacing w:after="0" w:line="28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Administrator</w:t>
      </w:r>
      <w:r>
        <w:rPr>
          <w:rFonts w:ascii="Arial" w:cs="Arial" w:eastAsia="Arial" w:hAnsi="Arial"/>
          <w:sz w:val="17"/>
          <w:szCs w:val="17"/>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The Board may at any time vest in the Board any authority or duties for administration of the Plan.</w:t>
      </w:r>
    </w:p>
    <w:p>
      <w:pPr>
        <w:spacing w:after="0" w:line="166"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Action by the Administrator</w:t>
      </w:r>
      <w:r>
        <w:rPr>
          <w:rFonts w:ascii="Arial" w:cs="Arial" w:eastAsia="Arial" w:hAnsi="Arial"/>
          <w:sz w:val="16"/>
          <w:szCs w:val="16"/>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16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 xml:space="preserve">Authority of Administrator. The Administrator shall have the power, subject to, </w:t>
      </w:r>
      <w:r>
        <w:rPr>
          <w:rFonts w:ascii="Arial" w:cs="Arial" w:eastAsia="Arial" w:hAnsi="Arial"/>
          <w:sz w:val="16"/>
          <w:szCs w:val="16"/>
          <w:color w:val="auto"/>
        </w:rPr>
        <w:t>and within the limitations of, the express provisions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right="340" w:firstLine="444"/>
        <w:spacing w:after="0" w:line="277" w:lineRule="auto"/>
        <w:tabs>
          <w:tab w:leader="none" w:pos="81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determine when and how rights to purchase Common Stock shall be granted and the provisions of each offering of such rights (which need not be identical).</w:t>
      </w:r>
    </w:p>
    <w:p>
      <w:pPr>
        <w:spacing w:after="0" w:line="170" w:lineRule="exact"/>
        <w:rPr>
          <w:rFonts w:ascii="Arial" w:cs="Arial" w:eastAsia="Arial" w:hAnsi="Arial"/>
          <w:sz w:val="18"/>
          <w:szCs w:val="18"/>
          <w:color w:val="auto"/>
        </w:rPr>
      </w:pPr>
    </w:p>
    <w:p>
      <w:pPr>
        <w:ind w:right="560" w:firstLine="444"/>
        <w:spacing w:after="0" w:line="277" w:lineRule="auto"/>
        <w:tabs>
          <w:tab w:leader="none" w:pos="8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170" w:lineRule="exact"/>
        <w:rPr>
          <w:rFonts w:ascii="Arial" w:cs="Arial" w:eastAsia="Arial" w:hAnsi="Arial"/>
          <w:sz w:val="18"/>
          <w:szCs w:val="18"/>
          <w:color w:val="auto"/>
        </w:rPr>
      </w:pPr>
    </w:p>
    <w:p>
      <w:pPr>
        <w:ind w:right="60" w:firstLine="444"/>
        <w:spacing w:after="0" w:line="264" w:lineRule="auto"/>
        <w:tabs>
          <w:tab w:leader="none" w:pos="81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3" w:right="439" w:bottom="1440" w:gutter="0" w:footer="0" w:header="0"/>
        </w:sectPr>
      </w:pPr>
    </w:p>
    <w:bookmarkStart w:id="479" w:name="page480"/>
    <w:bookmarkEnd w:id="479"/>
    <w:p>
      <w:pPr>
        <w:ind w:left="840" w:hanging="396"/>
        <w:spacing w:after="0"/>
        <w:tabs>
          <w:tab w:leader="none" w:pos="8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amend, suspend or terminate the Plan as provided in Article IX.</w:t>
      </w:r>
    </w:p>
    <w:p>
      <w:pPr>
        <w:spacing w:after="0" w:line="225" w:lineRule="exact"/>
        <w:rPr>
          <w:rFonts w:ascii="Arial" w:cs="Arial" w:eastAsia="Arial" w:hAnsi="Arial"/>
          <w:sz w:val="18"/>
          <w:szCs w:val="18"/>
          <w:color w:val="auto"/>
        </w:rPr>
      </w:pPr>
    </w:p>
    <w:p>
      <w:pPr>
        <w:ind w:right="40" w:firstLine="444"/>
        <w:spacing w:after="0" w:line="264" w:lineRule="auto"/>
        <w:tabs>
          <w:tab w:leader="none" w:pos="8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81"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Stockholder</w:t>
      </w:r>
      <w:r>
        <w:rPr>
          <w:rFonts w:ascii="Arial" w:cs="Arial" w:eastAsia="Arial" w:hAnsi="Arial"/>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7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payroll deductions or contributions of a Participant under the Plan.</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w:t>
      </w:r>
    </w:p>
    <w:p>
      <w:pPr>
        <w:spacing w:after="0" w:line="225" w:lineRule="exact"/>
        <w:rPr>
          <w:sz w:val="20"/>
          <w:szCs w:val="20"/>
          <w:color w:val="auto"/>
        </w:rPr>
      </w:pPr>
    </w:p>
    <w:p>
      <w:pPr>
        <w:ind w:firstLine="444"/>
        <w:spacing w:after="0" w:line="293" w:lineRule="auto"/>
        <w:tabs>
          <w:tab w:leader="none" w:pos="811"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64" w:lineRule="exact"/>
        <w:rPr>
          <w:rFonts w:ascii="Arial" w:cs="Arial" w:eastAsia="Arial" w:hAnsi="Arial"/>
          <w:sz w:val="16"/>
          <w:szCs w:val="16"/>
          <w:color w:val="auto"/>
        </w:rPr>
      </w:pPr>
    </w:p>
    <w:p>
      <w:pPr>
        <w:ind w:firstLine="444"/>
        <w:spacing w:after="0" w:line="286" w:lineRule="auto"/>
        <w:tabs>
          <w:tab w:leader="none" w:pos="83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480" w:name="page481"/>
    <w:bookmarkEnd w:id="480"/>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8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or contributions received or held by the Company under the Plan may be used by the Company for any corporate purpose, and the Company shall not be obligated to segregate such payroll deductions or contributions.</w:t>
      </w:r>
    </w:p>
    <w:p>
      <w:pPr>
        <w:spacing w:after="0" w:line="170"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Reports</w:t>
      </w:r>
      <w:r>
        <w:rPr>
          <w:rFonts w:ascii="Arial" w:cs="Arial" w:eastAsia="Arial" w:hAnsi="Arial"/>
          <w:sz w:val="17"/>
          <w:szCs w:val="17"/>
          <w:color w:val="auto"/>
        </w:rPr>
        <w:t>. Statements of account shall be given to Participants at least annually, which statements shall set forth the amounts of payroll deductions or contributions, the Purchase Price, the number of Shares purchased and the remaining cash balance, if any.</w:t>
      </w:r>
    </w:p>
    <w:p>
      <w:pPr>
        <w:spacing w:after="0" w:line="14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No Employment Rights</w:t>
      </w:r>
      <w:r>
        <w:rPr>
          <w:rFonts w:ascii="Arial" w:cs="Arial" w:eastAsia="Arial" w:hAnsi="Arial"/>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166"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Plan if such disposition or transfer is made: (a) within two years from the Grant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Non-employee members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Gossamer 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receive cash and equity compensation as set forth in this Non-Employee Director Compensation Program (this “</w:t>
      </w:r>
      <w:r>
        <w:rPr>
          <w:rFonts w:ascii="Arial" w:cs="Arial" w:eastAsia="Arial" w:hAnsi="Arial"/>
          <w:sz w:val="17"/>
          <w:szCs w:val="17"/>
          <w:b w:val="1"/>
          <w:bCs w:val="1"/>
          <w:i w:val="1"/>
          <w:iCs w:val="1"/>
          <w:color w:val="auto"/>
        </w:rPr>
        <w:t>Program</w:t>
      </w:r>
      <w:r>
        <w:rPr>
          <w:rFonts w:ascii="Arial" w:cs="Arial" w:eastAsia="Arial" w:hAnsi="Arial"/>
          <w:sz w:val="17"/>
          <w:szCs w:val="17"/>
          <w:color w:val="auto"/>
        </w:rPr>
        <w:t>”). This Program has been adopted under the Company’s 2019 Incentive Award Plan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and shall be effective on the Effective Date.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Capitalized terms not otherwise defined herein shall have the meanings ascribed in the Equity Plan.</w:t>
      </w:r>
    </w:p>
    <w:p>
      <w:pPr>
        <w:spacing w:after="0" w:line="183" w:lineRule="exact"/>
        <w:rPr>
          <w:sz w:val="20"/>
          <w:szCs w:val="20"/>
          <w:color w:val="auto"/>
        </w:rPr>
      </w:pPr>
    </w:p>
    <w:p>
      <w:pPr>
        <w:ind w:left="760" w:hanging="316"/>
        <w:spacing w:after="0"/>
        <w:tabs>
          <w:tab w:leader="none" w:pos="7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$40,000 for service on the Board.</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Additional Annual Retainers</w:t>
      </w:r>
      <w:r>
        <w:rPr>
          <w:rFonts w:ascii="Arial" w:cs="Arial" w:eastAsia="Arial" w:hAnsi="Arial"/>
          <w:sz w:val="17"/>
          <w:szCs w:val="17"/>
          <w:color w:val="auto"/>
        </w:rPr>
        <w:t>. In addition, each Non-Employee Director shall receive the following additional annual retainers,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w:t>
      </w:r>
    </w:p>
    <w:p>
      <w:pPr>
        <w:spacing w:after="0" w:line="102" w:lineRule="exact"/>
        <w:rPr>
          <w:rFonts w:ascii="Arial" w:cs="Arial" w:eastAsia="Arial" w:hAnsi="Arial"/>
          <w:sz w:val="17"/>
          <w:szCs w:val="17"/>
          <w:color w:val="auto"/>
        </w:rPr>
      </w:pPr>
    </w:p>
    <w:p>
      <w:pPr>
        <w:ind w:right="300" w:firstLine="1436"/>
        <w:spacing w:after="0" w:line="277" w:lineRule="auto"/>
        <w:tabs>
          <w:tab w:leader="none" w:pos="1783" w:val="left"/>
        </w:tabs>
        <w:numPr>
          <w:ilvl w:val="2"/>
          <w:numId w:val="316"/>
        </w:numPr>
        <w:rPr>
          <w:rFonts w:ascii="Arial" w:cs="Arial" w:eastAsia="Arial" w:hAnsi="Arial"/>
          <w:sz w:val="18"/>
          <w:szCs w:val="18"/>
          <w:color w:val="auto"/>
        </w:rPr>
      </w:pP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A Non-Employee Director serving as Chairperson of the Board shall receive an additional annual retainer of $30,000 for such service.</w:t>
      </w:r>
    </w:p>
    <w:p>
      <w:pPr>
        <w:spacing w:after="0" w:line="170" w:lineRule="exact"/>
        <w:rPr>
          <w:rFonts w:ascii="Arial" w:cs="Arial" w:eastAsia="Arial" w:hAnsi="Arial"/>
          <w:sz w:val="18"/>
          <w:szCs w:val="18"/>
          <w:color w:val="auto"/>
        </w:rPr>
      </w:pPr>
    </w:p>
    <w:p>
      <w:pPr>
        <w:ind w:right="20" w:firstLine="1436"/>
        <w:spacing w:after="0" w:line="264" w:lineRule="auto"/>
        <w:tabs>
          <w:tab w:leader="none" w:pos="1833" w:val="left"/>
        </w:tabs>
        <w:numPr>
          <w:ilvl w:val="2"/>
          <w:numId w:val="316"/>
        </w:numPr>
        <w:rPr>
          <w:rFonts w:ascii="Arial" w:cs="Arial" w:eastAsia="Arial" w:hAnsi="Arial"/>
          <w:sz w:val="18"/>
          <w:szCs w:val="18"/>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A Non-Employee Director serving as Chairperson of the Audit Committee shall receive an additional annual retainer of $15,000 for such service. A Non-Employee Director serving as a member of the Audit Committee (other than the Chairperson) shall receive an additional annual retainer of $7,500 for such service.</w:t>
      </w:r>
    </w:p>
    <w:p>
      <w:pPr>
        <w:spacing w:after="0" w:line="181" w:lineRule="exact"/>
        <w:rPr>
          <w:rFonts w:ascii="Arial" w:cs="Arial" w:eastAsia="Arial" w:hAnsi="Arial"/>
          <w:sz w:val="18"/>
          <w:szCs w:val="18"/>
          <w:color w:val="auto"/>
        </w:rPr>
      </w:pPr>
    </w:p>
    <w:p>
      <w:pPr>
        <w:jc w:val="both"/>
        <w:ind w:right="200" w:firstLine="1436"/>
        <w:spacing w:after="0" w:line="264" w:lineRule="auto"/>
        <w:tabs>
          <w:tab w:leader="none" w:pos="1883" w:val="left"/>
        </w:tabs>
        <w:numPr>
          <w:ilvl w:val="2"/>
          <w:numId w:val="316"/>
        </w:numPr>
        <w:rPr>
          <w:rFonts w:ascii="Arial" w:cs="Arial" w:eastAsia="Arial" w:hAnsi="Arial"/>
          <w:sz w:val="18"/>
          <w:szCs w:val="18"/>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A Non-Employee Director serving as Chairperson of the Compensation Committee shall receive an additional annual retainer of $10,000 for such service. A Non-Employee Director serving as a member of the Compensation Committee (other than the Chairperson) shall receive an additional annual retainer of $5,000 for such service.</w:t>
      </w:r>
    </w:p>
    <w:p>
      <w:pPr>
        <w:spacing w:after="0" w:line="181" w:lineRule="exact"/>
        <w:rPr>
          <w:rFonts w:ascii="Arial" w:cs="Arial" w:eastAsia="Arial" w:hAnsi="Arial"/>
          <w:sz w:val="18"/>
          <w:szCs w:val="18"/>
          <w:color w:val="auto"/>
        </w:rPr>
      </w:pPr>
    </w:p>
    <w:p>
      <w:pPr>
        <w:jc w:val="both"/>
        <w:ind w:right="40" w:firstLine="1436"/>
        <w:spacing w:after="0" w:line="259" w:lineRule="auto"/>
        <w:tabs>
          <w:tab w:leader="none" w:pos="1872" w:val="left"/>
        </w:tabs>
        <w:numPr>
          <w:ilvl w:val="2"/>
          <w:numId w:val="316"/>
        </w:numPr>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A Non-Employee Director serving as Chairperson of the Nominating and Corporate Governance Committee shall receive an additional annual retainer of $8,000 for such service. A Non-Employee Director serving as a member of the Nominating and Corporate Governance Committee (other than the Chairperson) shall receive an additional annual retainer of $4,000 for such service.</w:t>
      </w:r>
    </w:p>
    <w:p>
      <w:pPr>
        <w:spacing w:after="0" w:line="186" w:lineRule="exact"/>
        <w:rPr>
          <w:rFonts w:ascii="Arial" w:cs="Arial" w:eastAsia="Arial" w:hAnsi="Arial"/>
          <w:sz w:val="18"/>
          <w:szCs w:val="18"/>
          <w:color w:val="auto"/>
        </w:rPr>
      </w:pPr>
    </w:p>
    <w:p>
      <w:pPr>
        <w:ind w:right="60" w:firstLine="885"/>
        <w:spacing w:after="0" w:line="286" w:lineRule="auto"/>
        <w:tabs>
          <w:tab w:leader="none" w:pos="1261"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Payment of Retainers</w:t>
      </w:r>
      <w:r>
        <w:rPr>
          <w:rFonts w:ascii="Arial" w:cs="Arial" w:eastAsia="Arial" w:hAnsi="Arial"/>
          <w:sz w:val="17"/>
          <w:szCs w:val="17"/>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w:t>
      </w:r>
    </w:p>
    <w:p>
      <w:pPr>
        <w:sectPr>
          <w:pgSz w:w="11900" w:h="16838" w:orient="portrait"/>
          <w:cols w:equalWidth="0" w:num="1">
            <w:col w:w="11020"/>
          </w:cols>
          <w:pgMar w:left="440" w:top="121" w:right="439" w:bottom="1440" w:gutter="0" w:footer="0" w:header="0"/>
        </w:sectPr>
      </w:pPr>
    </w:p>
    <w:bookmarkStart w:id="482" w:name="page483"/>
    <w:bookmarkEnd w:id="48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1(b), for an entire calendar quarter, the retainer paid to such Non-Employee Director shall be prorated for the portion of such calendar quarter actually served as a Non-Employee Director, or in such position, as applicable.</w:t>
      </w:r>
    </w:p>
    <w:p>
      <w:pPr>
        <w:spacing w:after="0" w:line="170" w:lineRule="exact"/>
        <w:rPr>
          <w:sz w:val="20"/>
          <w:szCs w:val="20"/>
          <w:color w:val="auto"/>
        </w:rPr>
      </w:pPr>
    </w:p>
    <w:p>
      <w:pPr>
        <w:ind w:firstLine="444"/>
        <w:spacing w:after="0" w:line="272" w:lineRule="auto"/>
        <w:tabs>
          <w:tab w:leader="none" w:pos="756"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this Section 2 shall be subject to adjustment as provided in the Equity Plan, including with respect to any reverse stock split of the Company’s common stock effected on or prior to the Effective Date.</w:t>
      </w:r>
    </w:p>
    <w:p>
      <w:pPr>
        <w:spacing w:after="0" w:line="178"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Initial Awards</w:t>
      </w:r>
      <w:r>
        <w:rPr>
          <w:rFonts w:ascii="Arial" w:cs="Arial" w:eastAsia="Arial" w:hAnsi="Arial"/>
          <w:sz w:val="16"/>
          <w:szCs w:val="16"/>
          <w:color w:val="auto"/>
        </w:rPr>
        <w:t>. Each Non-Employee Director who is initially elected or appointed to the Board after the Effective Date shall receive an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option under the Equity Plan, or any other applicable Company equity incentive plan then-maintained by the Company, to purchase shares of the Company’s common stock on the date of such initial election or appointment. The awards described in this Section 2(a) shall be referred to as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 No Non-Employee Director shall be granted more than one Initial Award.</w:t>
      </w:r>
    </w:p>
    <w:p>
      <w:pPr>
        <w:spacing w:after="0" w:line="190" w:lineRule="exact"/>
        <w:rPr>
          <w:sz w:val="20"/>
          <w:szCs w:val="20"/>
          <w:color w:val="auto"/>
        </w:rPr>
      </w:pPr>
    </w:p>
    <w:p>
      <w:pPr>
        <w:ind w:right="40" w:firstLine="885"/>
        <w:spacing w:after="0" w:line="291" w:lineRule="auto"/>
        <w:tabs>
          <w:tab w:leader="none" w:pos="1271"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Subsequent Awards</w:t>
      </w:r>
      <w:r>
        <w:rPr>
          <w:rFonts w:ascii="Arial" w:cs="Arial" w:eastAsia="Arial" w:hAnsi="Arial"/>
          <w:sz w:val="16"/>
          <w:szCs w:val="16"/>
          <w:color w:val="auto"/>
        </w:rPr>
        <w:t>. A Non-Employee Director who (i) is serving on the Board as of the date of any annual meeting of the Company’s stockholders after the Effective Date and has been serving as a Non-Employee Director for at least six months as of the date of such meeting, and</w:t>
      </w:r>
    </w:p>
    <w:p>
      <w:pPr>
        <w:ind w:left="260" w:hanging="256"/>
        <w:spacing w:after="0"/>
        <w:tabs>
          <w:tab w:leader="none" w:pos="26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will continue to serve as a Non-Employee Director immediately following such meeting, shall be automatically granted an option under the Equity</w:t>
      </w:r>
    </w:p>
    <w:p>
      <w:pPr>
        <w:spacing w:after="0" w:line="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Plan, or any other applicable Company equity incentive plan then-maintained by the Company, to purchase of the Company’s common stock on the date of such annual meeting. The awards described in this Section 2(b) shall be referred to as “</w:t>
      </w:r>
      <w:r>
        <w:rPr>
          <w:rFonts w:ascii="Arial" w:cs="Arial" w:eastAsia="Arial" w:hAnsi="Arial"/>
          <w:sz w:val="17"/>
          <w:szCs w:val="17"/>
          <w:b w:val="1"/>
          <w:bCs w:val="1"/>
          <w:i w:val="1"/>
          <w:iCs w:val="1"/>
          <w:color w:val="auto"/>
        </w:rPr>
        <w:t>Subsequent Awards</w:t>
      </w:r>
      <w:r>
        <w:rPr>
          <w:rFonts w:ascii="Arial" w:cs="Arial" w:eastAsia="Arial" w:hAnsi="Arial"/>
          <w:sz w:val="17"/>
          <w:szCs w:val="17"/>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77" w:lineRule="exact"/>
        <w:rPr>
          <w:sz w:val="20"/>
          <w:szCs w:val="20"/>
          <w:color w:val="auto"/>
        </w:rPr>
      </w:pPr>
    </w:p>
    <w:p>
      <w:pPr>
        <w:ind w:right="100" w:firstLine="885"/>
        <w:spacing w:after="0" w:line="302" w:lineRule="auto"/>
        <w:tabs>
          <w:tab w:leader="none" w:pos="1261"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of Employee Directors</w:t>
      </w:r>
      <w:r>
        <w:rPr>
          <w:rFonts w:ascii="Arial" w:cs="Arial" w:eastAsia="Arial" w:hAnsi="Arial"/>
          <w:sz w:val="16"/>
          <w:szCs w:val="16"/>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spacing w:after="0" w:line="154" w:lineRule="exact"/>
        <w:rPr>
          <w:rFonts w:ascii="Arial" w:cs="Arial" w:eastAsia="Arial" w:hAnsi="Arial"/>
          <w:sz w:val="16"/>
          <w:szCs w:val="16"/>
          <w:color w:val="auto"/>
        </w:rPr>
      </w:pPr>
    </w:p>
    <w:p>
      <w:pPr>
        <w:ind w:left="1280" w:hanging="395"/>
        <w:spacing w:after="0"/>
        <w:tabs>
          <w:tab w:leader="none" w:pos="12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Terms of Awards Granted to Non-Employee Directors</w:t>
      </w:r>
    </w:p>
    <w:p>
      <w:pPr>
        <w:spacing w:after="0" w:line="225" w:lineRule="exact"/>
        <w:rPr>
          <w:rFonts w:ascii="Arial" w:cs="Arial" w:eastAsia="Arial" w:hAnsi="Arial"/>
          <w:sz w:val="18"/>
          <w:szCs w:val="18"/>
          <w:color w:val="auto"/>
        </w:rPr>
      </w:pPr>
    </w:p>
    <w:p>
      <w:pPr>
        <w:ind w:right="300" w:firstLine="1436"/>
        <w:spacing w:after="0" w:line="277" w:lineRule="auto"/>
        <w:tabs>
          <w:tab w:leader="none" w:pos="1783"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per share exercise price of each option granted to a Non-Employee Director shall equal the Fair Market Value of a share of common stock on the date the option is granted.</w:t>
      </w:r>
    </w:p>
    <w:p>
      <w:pPr>
        <w:spacing w:after="0" w:line="170" w:lineRule="exact"/>
        <w:rPr>
          <w:rFonts w:ascii="Arial" w:cs="Arial" w:eastAsia="Arial" w:hAnsi="Arial"/>
          <w:sz w:val="18"/>
          <w:szCs w:val="18"/>
          <w:color w:val="auto"/>
        </w:rPr>
      </w:pPr>
    </w:p>
    <w:p>
      <w:pPr>
        <w:ind w:right="40" w:firstLine="1436"/>
        <w:spacing w:after="0" w:line="259" w:lineRule="auto"/>
        <w:tabs>
          <w:tab w:leader="none" w:pos="1833"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Initial Award shall vest and become exercisable in thirty-six (36) substantially equal monthly installments over the three (3) years following the date of grant, subject to the Non-Employee Director continuing in service on the Board through each such vesting date. Each Subsequent Award shall vest and/or become exercisable on the first to occur of (A) the first anniversary of the date of grant or (B) the next occurring annual meeting of the Company’s stockholders, subject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483" w:name="page484"/>
    <w:bookmarkEnd w:id="483"/>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Non-Employee Director continuing in service on the Board through such vesting date. Unless the Board otherwise determines, no portion of an Initial Award or Subsequent Award which is unvested and/or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spacing w:after="0" w:line="173" w:lineRule="exact"/>
        <w:rPr>
          <w:sz w:val="20"/>
          <w:szCs w:val="20"/>
          <w:color w:val="auto"/>
        </w:rPr>
      </w:pPr>
    </w:p>
    <w:p>
      <w:pPr>
        <w:ind w:left="1440"/>
        <w:spacing w:after="0"/>
        <w:tabs>
          <w:tab w:leader="none" w:pos="18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The term of each stock option granted to a Non-Employee Director shall be ten (10) years from the date the option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11" w:lineRule="exact"/>
        <w:rPr>
          <w:sz w:val="20"/>
          <w:szCs w:val="20"/>
          <w:color w:val="auto"/>
        </w:rPr>
      </w:pPr>
    </w:p>
    <w:p>
      <w:pPr>
        <w:ind w:firstLine="444"/>
        <w:spacing w:after="0" w:line="308" w:lineRule="auto"/>
        <w:tabs>
          <w:tab w:leader="none" w:pos="75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Compensation Limits</w:t>
      </w:r>
      <w:r>
        <w:rPr>
          <w:rFonts w:ascii="Arial" w:cs="Arial" w:eastAsia="Arial" w:hAnsi="Arial"/>
          <w:sz w:val="17"/>
          <w:szCs w:val="17"/>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46" w:lineRule="exact"/>
        <w:rPr>
          <w:rFonts w:ascii="Arial" w:cs="Arial" w:eastAsia="Arial" w:hAnsi="Arial"/>
          <w:sz w:val="17"/>
          <w:szCs w:val="17"/>
          <w:color w:val="auto"/>
        </w:rPr>
      </w:pPr>
    </w:p>
    <w:p>
      <w:pPr>
        <w:jc w:val="both"/>
        <w:ind w:right="60" w:firstLine="444"/>
        <w:spacing w:after="0" w:line="264" w:lineRule="auto"/>
        <w:tabs>
          <w:tab w:leader="none" w:pos="75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Reimbursements</w:t>
      </w:r>
      <w:r>
        <w:rPr>
          <w:rFonts w:ascii="Arial" w:cs="Arial" w:eastAsia="Arial" w:hAnsi="Arial"/>
          <w:sz w:val="18"/>
          <w:szCs w:val="18"/>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3" w:right="49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t>Exhibit 10.8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Services, Inc.</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January 4,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Dr. Sheila Gujrathi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1395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Santa Fe, CA 92067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Gujrathi:</w:t>
      </w:r>
    </w:p>
    <w:p>
      <w:pPr>
        <w:spacing w:after="0" w:line="117"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I am pleased to offer you a position with Gossamer Bio Services, Inc. (“</w:t>
      </w:r>
      <w:r>
        <w:rPr>
          <w:rFonts w:ascii="Arial" w:cs="Arial" w:eastAsia="Arial" w:hAnsi="Arial"/>
          <w:sz w:val="17"/>
          <w:szCs w:val="17"/>
          <w:u w:val="single" w:color="auto"/>
          <w:color w:val="auto"/>
        </w:rPr>
        <w:t>Gossamer Services</w:t>
      </w:r>
      <w:r>
        <w:rPr>
          <w:rFonts w:ascii="Arial" w:cs="Arial" w:eastAsia="Arial" w:hAnsi="Arial"/>
          <w:sz w:val="17"/>
          <w:szCs w:val="17"/>
          <w:color w:val="auto"/>
        </w:rPr>
        <w:t>”), a wholly-owned subsidiary of Gossamer Bio, Inc. (“</w:t>
      </w:r>
      <w:r>
        <w:rPr>
          <w:rFonts w:ascii="Arial" w:cs="Arial" w:eastAsia="Arial" w:hAnsi="Arial"/>
          <w:sz w:val="17"/>
          <w:szCs w:val="17"/>
          <w:u w:val="single" w:color="auto"/>
          <w:color w:val="auto"/>
        </w:rPr>
        <w:t>Parent</w:t>
      </w:r>
      <w:r>
        <w:rPr>
          <w:rFonts w:ascii="Arial" w:cs="Arial" w:eastAsia="Arial" w:hAnsi="Arial"/>
          <w:sz w:val="17"/>
          <w:szCs w:val="17"/>
          <w:color w:val="auto"/>
        </w:rPr>
        <w:t>” and together with Gossamer Services,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working out of the Company’s headquarters located in San Diego, California, effective as of the Effective Date. Outlined below are the terms of this offer letter (“</w:t>
      </w:r>
      <w:r>
        <w:rPr>
          <w:rFonts w:ascii="Arial" w:cs="Arial" w:eastAsia="Arial" w:hAnsi="Arial"/>
          <w:sz w:val="17"/>
          <w:szCs w:val="17"/>
          <w:u w:val="single" w:color="auto"/>
          <w:color w:val="auto"/>
        </w:rPr>
        <w:t>Offer Letter</w:t>
      </w:r>
      <w:r>
        <w:rPr>
          <w:rFonts w:ascii="Arial" w:cs="Arial" w:eastAsia="Arial" w:hAnsi="Arial"/>
          <w:sz w:val="17"/>
          <w:szCs w:val="17"/>
          <w:color w:val="auto"/>
        </w:rPr>
        <w:t>”) for your review.</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as of January 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you will be employed by Gossamer Services, on a full-time basis, as its President and Chief Operating Officer and to serve as an officer with those same positions of Parent. You shall have all the duties, responsibilities and authority commensurate with these positions, subject to the supervision of, and reporting directly to, the Chief Executive Officer of the Company. For the avoidance of doubt, all references in this Offer Letter to your “employment with the Company”, shall include your employment with the Company and any of its affiliates and subsidiaries, as applicable.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the Effective Date, you shall continue to serve as member of the Board (subject to formal Board approval), to hold such position for so long as you serve as Chief Operating Officer or Chief Executive Officer of the Company, or until your earlier resignation or removal. It is the Board’s expectation that you will become the Company’s Chief Executive Officer upon the earlier of (i) 90 days after the initial closing (the “</w:t>
      </w:r>
      <w:r>
        <w:rPr>
          <w:rFonts w:ascii="Arial" w:cs="Arial" w:eastAsia="Arial" w:hAnsi="Arial"/>
          <w:sz w:val="17"/>
          <w:szCs w:val="17"/>
          <w:u w:val="single" w:color="auto"/>
          <w:color w:val="auto"/>
        </w:rPr>
        <w:t>Next Financing Closing</w:t>
      </w:r>
      <w:r>
        <w:rPr>
          <w:rFonts w:ascii="Arial" w:cs="Arial" w:eastAsia="Arial" w:hAnsi="Arial"/>
          <w:sz w:val="17"/>
          <w:szCs w:val="17"/>
          <w:color w:val="auto"/>
        </w:rPr>
        <w:t>”) of the sale of shares of preferred stock (other than Series A Preferred Stock (as defined in that certain Series A Convertible Preferred Stock Purchase Agreement, dated on or about the date hereof (the “</w:t>
      </w:r>
      <w:r>
        <w:rPr>
          <w:rFonts w:ascii="Arial" w:cs="Arial" w:eastAsia="Arial" w:hAnsi="Arial"/>
          <w:sz w:val="17"/>
          <w:szCs w:val="17"/>
          <w:u w:val="single" w:color="auto"/>
          <w:color w:val="auto"/>
        </w:rPr>
        <w:t>SPA</w:t>
      </w:r>
      <w:r>
        <w:rPr>
          <w:rFonts w:ascii="Arial" w:cs="Arial" w:eastAsia="Arial" w:hAnsi="Arial"/>
          <w:sz w:val="17"/>
          <w:szCs w:val="17"/>
          <w:color w:val="auto"/>
        </w:rPr>
        <w:t>”)) or similar investment security by the Company following the Closing (as defined in the SPA) (such sale of shares, the “</w:t>
      </w:r>
      <w:r>
        <w:rPr>
          <w:rFonts w:ascii="Arial" w:cs="Arial" w:eastAsia="Arial" w:hAnsi="Arial"/>
          <w:sz w:val="17"/>
          <w:szCs w:val="17"/>
          <w:u w:val="single" w:color="auto"/>
          <w:color w:val="auto"/>
        </w:rPr>
        <w:t>Next Financing</w:t>
      </w:r>
      <w:r>
        <w:rPr>
          <w:rFonts w:ascii="Arial" w:cs="Arial" w:eastAsia="Arial" w:hAnsi="Arial"/>
          <w:sz w:val="17"/>
          <w:szCs w:val="17"/>
          <w:color w:val="auto"/>
        </w:rPr>
        <w:t>”) and (ii) the Company or any of its affiliates or subsidiaries filing a Registration Statement on Form S-1 with the Securities Exchange Commission under the Securities Act of 1933, as amended, for a firm commitment underwriting of the Common Shares of the Company (the “</w:t>
      </w:r>
      <w:r>
        <w:rPr>
          <w:rFonts w:ascii="Arial" w:cs="Arial" w:eastAsia="Arial" w:hAnsi="Arial"/>
          <w:sz w:val="17"/>
          <w:szCs w:val="17"/>
          <w:u w:val="single" w:color="auto"/>
          <w:color w:val="auto"/>
        </w:rPr>
        <w:t>IPO</w:t>
      </w:r>
      <w:r>
        <w:rPr>
          <w:rFonts w:ascii="Arial" w:cs="Arial" w:eastAsia="Arial" w:hAnsi="Arial"/>
          <w:sz w:val="17"/>
          <w:szCs w:val="17"/>
          <w:color w:val="auto"/>
        </w:rPr>
        <w:t xml:space="preserve">”). Upon your cessation of service in an executive role with the Company you shall be deemed to have voluntarily resigned from the Board, effective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nothing contained herein shall adversely affect your rights under, or your ability to be elected to the Board pursuant to, any voting agreement of Parent to which you are a party, or by vote of any Common Shares that you may own directly or indirectly, and if at the time of cessation of your service in an executive role you are serving on the Board pursuant to an election under the provisions of such voting agreement, you will not be deemed to have voluntarily resigned from the Board.</w:t>
      </w:r>
    </w:p>
    <w:p>
      <w:pPr>
        <w:spacing w:after="0" w:line="18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You agree to perform the duties and responsibilities of your positions, and such other duties and responsibilities as shall from time to time be mutually agreed upon between you and the Board. You agree that, while employed by the Company, you will devote substantially all of your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85" w:name="page486"/>
    <w:bookmarkEnd w:id="48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it is agreed that you may (i) serve on outside boards on which you serve as of the Effective Date and which are listed on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as otherwise approved by the Board following the Effective Date, (ii) serve on the boards of directors of non-profit organizations; (iii) participate in charitable, civic, educational, professional, community or industry affairs, and (iv) manage your personal investments to the extent such activities do not individually or in the aggregate interfere with your duties and responsibilities to the Company or create an actual or potential conflict of interest with the Company’s business. You agree to abide by the rules, regulations, instructions, personnel practices and policies of the Company, as adopted and amended from time to time by the Company.</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will receive an annual base salary of $475,000, less applicable tax and other withholdings and deductions, payable in accordance with the normal payroll practices of the Company in effect from time to time.</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Your performance will be reviewed by the Compensation Committee of the Board on an annual basis in conjunction with an annual salary review. Commencing with calendar year 2018, you will be eligible to receive an annual cash incentive bonus with a target amount equal to 50% of your then-current annual base salary. Your bonus in respect of 2018, and any future bonuses, will be subject to the terms of the applicable bonus plan developed and approved by the Board or the Compensation Committee of the Board in consultation with you. Any bonus awarded will be paid, subject to required withholdings and deductions, on or before March 15 of the calendar year immediately following the year for which the bonus was awarded, subject to your employment at the end of the calendar year for which the bonus is due, except as otherwise expressly provided for herein.</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the Closing, you or your affiliate(s) (including, without limitation, trusts for the benefit of you or your family members) hold, in the aggregate, 20,612,000 shares (the “</w:t>
      </w:r>
      <w:r>
        <w:rPr>
          <w:rFonts w:ascii="Arial" w:cs="Arial" w:eastAsia="Arial" w:hAnsi="Arial"/>
          <w:sz w:val="17"/>
          <w:szCs w:val="17"/>
          <w:u w:val="single" w:color="auto"/>
          <w:color w:val="auto"/>
        </w:rPr>
        <w:t>Founder’s Equity</w:t>
      </w:r>
      <w:r>
        <w:rPr>
          <w:rFonts w:ascii="Arial" w:cs="Arial" w:eastAsia="Arial" w:hAnsi="Arial"/>
          <w:sz w:val="17"/>
          <w:szCs w:val="17"/>
          <w:color w:val="auto"/>
        </w:rPr>
        <w:t>”) of the Company’s Common Stock, $0.0001 par value per share (“</w:t>
      </w:r>
      <w:r>
        <w:rPr>
          <w:rFonts w:ascii="Arial" w:cs="Arial" w:eastAsia="Arial" w:hAnsi="Arial"/>
          <w:sz w:val="17"/>
          <w:szCs w:val="17"/>
          <w:u w:val="single" w:color="auto"/>
          <w:color w:val="auto"/>
        </w:rPr>
        <w:t>Common Shares</w:t>
      </w:r>
      <w:r>
        <w:rPr>
          <w:rFonts w:ascii="Arial" w:cs="Arial" w:eastAsia="Arial" w:hAnsi="Arial"/>
          <w:sz w:val="17"/>
          <w:szCs w:val="17"/>
          <w:color w:val="auto"/>
        </w:rPr>
        <w:t>”), representing seventeen and one-half percent (17.5%) of the Company’s fully diluted capitalization. You hereby agree and acknowledge that notwithstanding (i) any agreements between yourself and any third party relating to the Founder’s Equity which were in effect prior to the date of the Closing, and (ii) any documents governing the terms and conditions of the Founder’s Equity which were in effect prior to the date of the Closing (collectively, the “</w:t>
      </w:r>
      <w:r>
        <w:rPr>
          <w:rFonts w:ascii="Arial" w:cs="Arial" w:eastAsia="Arial" w:hAnsi="Arial"/>
          <w:sz w:val="17"/>
          <w:szCs w:val="17"/>
          <w:u w:val="single" w:color="auto"/>
          <w:color w:val="auto"/>
        </w:rPr>
        <w:t>Prior Agreements</w:t>
      </w:r>
      <w:r>
        <w:rPr>
          <w:rFonts w:ascii="Arial" w:cs="Arial" w:eastAsia="Arial" w:hAnsi="Arial"/>
          <w:sz w:val="17"/>
          <w:szCs w:val="17"/>
          <w:color w:val="auto"/>
        </w:rPr>
        <w:t>”), effective as of the Closing, fifty percent (50%) of the Founder’s Equity held by you shall be subject to vesting (the “</w:t>
      </w:r>
      <w:r>
        <w:rPr>
          <w:rFonts w:ascii="Arial" w:cs="Arial" w:eastAsia="Arial" w:hAnsi="Arial"/>
          <w:sz w:val="17"/>
          <w:szCs w:val="17"/>
          <w:u w:val="single" w:color="auto"/>
          <w:color w:val="auto"/>
        </w:rPr>
        <w:t>Restricted Shares</w:t>
      </w:r>
      <w:r>
        <w:rPr>
          <w:rFonts w:ascii="Arial" w:cs="Arial" w:eastAsia="Arial" w:hAnsi="Arial"/>
          <w:sz w:val="17"/>
          <w:szCs w:val="17"/>
          <w:color w:val="auto"/>
        </w:rPr>
        <w:t>”) on the following terms: twenty percent (20%) of the Restricted Shares will vest on the first anniversary of the date of the Closing and the remainder of the Restricted Shares will vest in forty-eight (48) substantially equal monthly installments thereafter, subject to your continued provision of services to the Company as a full-time employee on each applicable date, except as otherwise provided for herein.</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Within thirty (30) days following the date of the Closing, the Company will grant you (at no additional cost) 1,131,962 restricted Common Shares (or at your option, an alternative equity grant structure that complies with or is exempt from Internal Revenue Code Section 409A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mutually agreed to by you and the Company) (the “</w:t>
      </w:r>
      <w:r>
        <w:rPr>
          <w:rFonts w:ascii="Arial" w:cs="Arial" w:eastAsia="Arial" w:hAnsi="Arial"/>
          <w:sz w:val="18"/>
          <w:szCs w:val="18"/>
          <w:u w:val="single" w:color="auto"/>
          <w:color w:val="auto"/>
        </w:rPr>
        <w:t>Anti-Dilution Shares</w:t>
      </w:r>
      <w:r>
        <w:rPr>
          <w:rFonts w:ascii="Arial" w:cs="Arial" w:eastAsia="Arial" w:hAnsi="Arial"/>
          <w:sz w:val="18"/>
          <w:szCs w:val="18"/>
          <w:color w:val="auto"/>
        </w:rPr>
        <w:t>”), which represents the amount of additional shares necessary so that the total number of Common Shares held by you and your affiliate(s) (including Founder’s Equity, both vested and unvested) and any Common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86" w:name="page487"/>
    <w:bookmarkEnd w:id="486"/>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under or subject to any other Company equity award held by you, plus the Anti-Dilution Shares, would represent fifteen percent (15%) of the Company’s fully diluted capitalization assuming a further equity financing by the Company following the Closing raising gross proceeds of</w:t>
      </w:r>
    </w:p>
    <w:p>
      <w:pPr>
        <w:spacing w:after="0" w:line="283" w:lineRule="auto"/>
        <w:rPr>
          <w:sz w:val="20"/>
          <w:szCs w:val="20"/>
          <w:color w:val="auto"/>
        </w:rPr>
      </w:pPr>
      <w:r>
        <w:rPr>
          <w:rFonts w:ascii="Arial" w:cs="Arial" w:eastAsia="Arial" w:hAnsi="Arial"/>
          <w:sz w:val="16"/>
          <w:szCs w:val="16"/>
          <w:color w:val="auto"/>
        </w:rPr>
        <w:t xml:space="preserve">$100 million on a $500 million pre-money valuation and an increase in the number of shares reserved for issuance under the Company’s equity incentive plans to five percent (5%) of the fully diluted capitalization as of the Anti-Dilution Termination Date (which 5% shall include all shares previously issued under any of the Company’s equity incentive plans and all shares available for issuance thereunder). The Anti-Dilution Shares will be adjusted in the future, if necessary, at no additional cost, in an amount up (either in restricted Common Shares, or at your option, an alternative equity grant structure that complies with or is exempt from Code Section 409A mutually agreed to by you and the Company) or down, to account for the actual issuance of equity by the Company in the Next Financing such that the total ownership position by you and your affiliate(s) (including Founder’s Equity, both vested and unvested, and any Common Shares issued under or subject to any other Company equity award issued to you) on the Anti-Dilution Termination Date (as defined below) is fifteen percent (15%) of the Company’s fully diluted capitalization based on the actual capitalization of the Company on the Anti-Dilution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the fully diluted capitalization of the Company on the Anti-Dilution Termination Date, (x) any increase in the number of Common Shares reserved for issuance and/or issued under any of the Company’s equity incentive plans following the Closing in excess of five percent (5%) of the fully diluted capitalization of the Company on the Anti-Dilution Termination Date and (y) any shares issued in connection with any acquisitions, licenses, strategic partnerships, collaborations or other corporate transactions shall be disregarded, and </w:t>
      </w:r>
      <w:r>
        <w:rPr>
          <w:rFonts w:ascii="Arial" w:cs="Arial" w:eastAsia="Arial" w:hAnsi="Arial"/>
          <w:sz w:val="16"/>
          <w:szCs w:val="16"/>
          <w:i w:val="1"/>
          <w:iCs w:val="1"/>
          <w:color w:val="auto"/>
        </w:rPr>
        <w:t>provided further</w:t>
      </w:r>
      <w:r>
        <w:rPr>
          <w:rFonts w:ascii="Arial" w:cs="Arial" w:eastAsia="Arial" w:hAnsi="Arial"/>
          <w:sz w:val="16"/>
          <w:szCs w:val="16"/>
          <w:color w:val="auto"/>
        </w:rPr>
        <w:t>, if you or your affiliate(s) sell, transfer or otherwise dispose of any such equity in the Company prior to the Anti-Dilution Termination Date, the fifteen percent (15%) capitalization referred to in this paragraph shall be calculated as if such sale, transfer or other disposition had not occurred. The Anti-Dilution Shares shall be subject to vesting, and shall vest on the same schedule as the Founders Equity, assuming the date of the issuance of any Anti-Dilution Shares is considered the Closing for purposes of determining the portion of the Anti-Dilution Shares vested upon issuance and schedule for the vesting of the remaining Anti-Dilution Shares. For example, an issuance of Anti-Dilution Shares on the 30th day following the Closing would be fifty percent (50%) vested on issuance, and the remaining fifty percent (50%) would vest twenty percent (20%) (i.e., ten percent (10%) of all Anti-Dilution Shares) on the first anniversary of the Closing and the balance would vest in forty-eight (48) substantially equal monthly installments thereafter, subject to your continued provision of services to the Company as a full-time employee on each applicable date, except as otherwise provided herein. Notwithstanding anything herein to the contrary and for the avoidance of doubt, you hereby agree that your right to the Anti-Dilution Shares shall be non-transferrable other than by will or the laws of descent and distribution. As used herein, the “</w:t>
      </w:r>
      <w:r>
        <w:rPr>
          <w:rFonts w:ascii="Arial" w:cs="Arial" w:eastAsia="Arial" w:hAnsi="Arial"/>
          <w:sz w:val="16"/>
          <w:szCs w:val="16"/>
          <w:u w:val="single" w:color="auto"/>
          <w:color w:val="auto"/>
        </w:rPr>
        <w:t>Anti-Dilution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shall be the earliest to occur of the following: (i) the Company raising $300 million in equity capital (including, for the avoidance of doubt, all amounts raised under the SPA and $20 million in respect of the capital raised in AA BioPharma), (ii) the date immediately prior to the pricing of the IPO, (iii) a termination of your full-time employment with the Company for any reason, (iv) the date on which you cease to own any equity in the Company (other than the Anti-Dilution Shares), or (v) consummation of a Change in Control. Any Anti-Dilution Shares held by you that are in excess of the number of Common Shares necessary to retain your fifteen percent (15%) ownership as of the Anti-Dilution Termination Date (including, for the avoidance of doubt, Founder’s Equity, both vested and unvested, and any Common Shares issued under or subject to any other Company equity award issued to you) as provided in this paragraph shall be forfeited by you to the Company for no consideration as of such Anti-Dilution Termination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87" w:name="page488"/>
    <w:bookmarkEnd w:id="48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above, in the event that during the time period between the Closing and the date immediately prior to the pricing of the IPO the aggregate number of shares of capital stock of the Company then outstanding (on a fully-diluted basis) has increased by less than seventeen and one half percent (17.5%) (the “</w:t>
      </w:r>
      <w:r>
        <w:rPr>
          <w:rFonts w:ascii="Arial" w:cs="Arial" w:eastAsia="Arial" w:hAnsi="Arial"/>
          <w:sz w:val="16"/>
          <w:szCs w:val="16"/>
          <w:u w:val="single" w:color="auto"/>
          <w:color w:val="auto"/>
        </w:rPr>
        <w:t>Capitalization Target</w:t>
      </w:r>
      <w:r>
        <w:rPr>
          <w:rFonts w:ascii="Arial" w:cs="Arial" w:eastAsia="Arial" w:hAnsi="Arial"/>
          <w:sz w:val="16"/>
          <w:szCs w:val="16"/>
          <w:color w:val="auto"/>
        </w:rPr>
        <w:t>”) from the number of shares of capital stock of the Company outstanding (on a fully-diluted basis) as of immediately following the Closing (excluding the issuance of (i) any Anti-Dilution Shares, (ii) any Common Shares issued as compensation to members of the Board or the Scientific Advisory Board of the Company and (iii) any shares issued in connection with any acquisitions, licenses, strategic partnerships, collaborations or other corporate transactions), or if, notwithstanding the failure to meet the Capitalization Target, the Board determines in its sole discretion that the terms and amount of any equity financings following the Closing are extremely favorable to the Company, then the Company shall make a one-time grant of restricted Common Shares or at your option, an alternative equity grant structure that complies with or is exempt from Code Section 409A mutually agreed to by you and the Company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at no additional cost equal to one percent (1%) of fully-diluted capitalization of the Company immediately prior to the grant of such Additional Shares, which shares will vest in forty-eight (48) substantially equal monthly installments commencing one (1) month after the date of grant.</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Notwithstanding anything to the contrary, the Common Shares subject to any grant of Anti-Dilution Shares and Additional Shares, if any, will be issued to you solely in consideration for your past and future services to the Company and its subsidiaries and affiliates. You acknowledge and agree that you may file an election to recognize tax liability (including the filing of an election under Section 83(b) of the Internal Revenue Code (an “</w:t>
      </w:r>
      <w:r>
        <w:rPr>
          <w:rFonts w:ascii="Arial" w:cs="Arial" w:eastAsia="Arial" w:hAnsi="Arial"/>
          <w:sz w:val="16"/>
          <w:szCs w:val="16"/>
          <w:u w:val="single" w:color="auto"/>
          <w:color w:val="auto"/>
        </w:rPr>
        <w:t>83(b) Election</w:t>
      </w:r>
      <w:r>
        <w:rPr>
          <w:rFonts w:ascii="Arial" w:cs="Arial" w:eastAsia="Arial" w:hAnsi="Arial"/>
          <w:sz w:val="16"/>
          <w:szCs w:val="16"/>
          <w:color w:val="auto"/>
        </w:rPr>
        <w:t>”)) within thirty (30) days following the date of any such grant if applicable. Subject to you timely filing an 83(b) Election with the Internal Revenue Service, promptly following delivery of a copy of such 83(b) Election to the Company, you and the Company will enter into a non-recourse promissory note and security agreement with respect to the Anti-Dilution Shares (in the forms agreed to by you and the Company), pursuant to which the Company will lend you an amount necessary for you to pay all applicable income and employment taxes on the fair market value of the property with respect to which you filed such Section 83(b) Election, up to a maximum loan amount of $1,000,000, and the amount of such taxes (whether greater or less than $1,000,000) will be withheld by the Company to satisfy the income and employment tax withholding obligations incurred in connection with such 83(b) Election. Such loan shall be due and payable in full upon the earliest of (i) ten (10) business days prior to the initial public submission of a registration statement on Form S-1 in connection with the IPO; (ii) a Change in Control; (iii) the fifth anniversary of the date of such loan; or (iv) immediately prior to such loan becoming prohibited under Section 13(k) of the Securities Exchange Act of 1934, as amended.</w:t>
      </w:r>
    </w:p>
    <w:p>
      <w:pPr>
        <w:spacing w:after="0" w:line="16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You hereby agree and acknowledge that notwithstanding any provisions in the Prior Agreements to the contrary, except as otherwise expressly set forth in this Offer Letter, upon the termination of your full-time employment with the Company for any reason, all Restricted Shares, Anti-Dilution Shares, and Additional Shares that are unvested as of such date shall be forfeited by you for no consideration immediately upon such termination.</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This Offer Letter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event you elect to terminate your employment without Good Reason, you agree to provide the Company with at least thirty (30) days’ advance written notice. Although your job duties, title, compensation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488" w:name="page489"/>
    <w:bookmarkEnd w:id="48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 as well as the Company’s personnel policies and procedures, may change from time to time, the “at-will” nature of your employment may only be changed by a written agreement signed by you and a member of the Board, which expressly states the intention to modify the at-will nature of your employment.</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Similarly, nothing in this Offer Letter shall be construed as an agreement, either express or implied, to pay you any compensation or grant you any benefit beyond the end of your employment with the Company, except as otherwise explicitly set forth herein. This Offer Letter supersedes all prior understandings, whether written or oral, relating to the terms of your employment. Your employment and this Offer Letter will be governed by the laws of the State of California, without reference to conflicts of laws principles which would result in the application of the law of any other jurisdiction.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the event your employment with the Company ever terminates, on your last day of employment, you will receive your base salary and all accrued but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unused vacation time through the last day of your employment, in accordance with the Company’s then-current payroll policies and practices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Payment</w:t>
      </w:r>
      <w:r>
        <w:rPr>
          <w:rFonts w:ascii="Arial" w:cs="Arial" w:eastAsia="Arial" w:hAnsi="Arial"/>
          <w:sz w:val="17"/>
          <w:szCs w:val="17"/>
          <w:color w:val="auto"/>
        </w:rPr>
        <w:t>”). Without otherwise limiting the “at-will” nature of your employment, in the event your employment is terminated at any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(or any of its subsidiaries or affiliates, as applicable, or any of their respective successors or assigns) without Cause (excluding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 of your death and Disability) or by you for Good Reason in each case prior to a Change in Control, then, subject to your remaining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consulting services to the Company as reasonably requested by the Board upon reasonable notice, in addition to the Termination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provide the following payments and benefits (“</w:t>
      </w:r>
      <w:r>
        <w:rPr>
          <w:rFonts w:ascii="Arial" w:cs="Arial" w:eastAsia="Arial" w:hAnsi="Arial"/>
          <w:sz w:val="16"/>
          <w:szCs w:val="16"/>
          <w:u w:val="single" w:color="auto"/>
          <w:color w:val="auto"/>
        </w:rPr>
        <w:t>Severance Benefits</w:t>
      </w:r>
      <w:r>
        <w:rPr>
          <w:rFonts w:ascii="Arial" w:cs="Arial" w:eastAsia="Arial" w:hAnsi="Arial"/>
          <w:sz w:val="16"/>
          <w:szCs w:val="16"/>
          <w:color w:val="auto"/>
        </w:rPr>
        <w:t>”): (i) continued payment of your base salary at the then-current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pay period, reduced by all applicable taxes and withholdings, for a period of twelve (12) months following your termination date,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then-current payroll policies and practices, (ii) payment of an incentive bonus amount (which assumes the achievement of annual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pro-rated for the portion of the then-current calendar year during which you were employed by the Company, within sixty (60) days following the last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 of your employment, (iii) the Anti-Dilution Termination Date shall be extended to the date that is twelve (12) months from such termination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for purposes of determining any adjustment of Anti-Dilution Shares or the issuance of Additional Shares, and the vesting of any Anti-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Dilution Shares and Additional Shares issued to you shall be accelerated for twelve (12) months of additional vesting from the date of such termination,</w:t>
      </w:r>
    </w:p>
    <w:p>
      <w:pPr>
        <w:spacing w:after="0" w:line="32" w:lineRule="exact"/>
        <w:rPr>
          <w:sz w:val="20"/>
          <w:szCs w:val="20"/>
          <w:color w:val="auto"/>
        </w:rPr>
      </w:pPr>
    </w:p>
    <w:p>
      <w:pPr>
        <w:ind w:right="280" w:firstLine="4"/>
        <w:spacing w:after="0" w:line="281" w:lineRule="auto"/>
        <w:tabs>
          <w:tab w:leader="none" w:pos="30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acceleration for twelve (12) months of additional vesting of any unvested portion of any equity awards then held by you (other than the Anti-Dilution Shares and Additional Shares which are addressed in (iii) above), including, without limitation, the Restricted Shares; and (v) provided you timely elect and remain eligible for coverage pursuant to Part 6 of Title I of ERISA, or similar state law (collectively, “</w:t>
      </w:r>
      <w:r>
        <w:rPr>
          <w:rFonts w:ascii="Arial" w:cs="Arial" w:eastAsia="Arial" w:hAnsi="Arial"/>
          <w:sz w:val="16"/>
          <w:szCs w:val="16"/>
          <w:u w:val="single" w:color="auto"/>
          <w:color w:val="auto"/>
        </w:rPr>
        <w:t>COBRA</w:t>
      </w:r>
      <w:r>
        <w:rPr>
          <w:rFonts w:ascii="Arial" w:cs="Arial" w:eastAsia="Arial" w:hAnsi="Arial"/>
          <w:sz w:val="16"/>
          <w:szCs w:val="16"/>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twelve (12) months following such date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the date you become eligible for coverage under a subsequent employer’s medical plan.</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event your employment is terminated at any time by the Company (or any of its subsidiaries or affiliates, as applicable, or any of their respective successors or assigns) without Cause (excluding by reason of your death and Disability) or by you for Good Reason in each case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89" w:name="page490"/>
    <w:bookmarkEnd w:id="489"/>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within twelve (12) months after a Change in Control, then, in addition to the Termination Payment, the Company shall provide the following payments and benefits (“</w:t>
      </w:r>
      <w:r>
        <w:rPr>
          <w:rFonts w:ascii="Arial" w:cs="Arial" w:eastAsia="Arial" w:hAnsi="Arial"/>
          <w:sz w:val="16"/>
          <w:szCs w:val="16"/>
          <w:u w:val="single" w:color="auto"/>
          <w:color w:val="auto"/>
        </w:rPr>
        <w:t>Change in Control Severance Benefits</w:t>
      </w:r>
      <w:r>
        <w:rPr>
          <w:rFonts w:ascii="Arial" w:cs="Arial" w:eastAsia="Arial" w:hAnsi="Arial"/>
          <w:sz w:val="16"/>
          <w:szCs w:val="16"/>
          <w:color w:val="auto"/>
        </w:rPr>
        <w:t>”): (i) continued payment of your base salary at the then-current rate per pay period, reduced by all applicable taxes and withholdings, for a period of eighteen (18) months following your termination date, in accordance with the Company’s then-current payroll policies and practices, (ii) payment of an incentive bonus amount (which assumes the achievement of annual targets) pro-rated for the portion of the then-current calendar year during which you were employed by the Company, within sixty (60) days following the last day of your employment,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eighteen</w:t>
      </w:r>
    </w:p>
    <w:p>
      <w:pPr>
        <w:spacing w:after="0" w:line="5" w:lineRule="exact"/>
        <w:rPr>
          <w:sz w:val="20"/>
          <w:szCs w:val="20"/>
          <w:color w:val="auto"/>
        </w:rPr>
      </w:pPr>
    </w:p>
    <w:p>
      <w:pPr>
        <w:ind w:firstLine="4"/>
        <w:spacing w:after="0" w:line="255" w:lineRule="auto"/>
        <w:tabs>
          <w:tab w:leader="none" w:pos="34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event your employment is terminated at any time by the Company (or any of its subsidiaries or affiliates, as applicable, or any of their respective successors or assigns) by reason of your death or Disability, then, in addition to the Termination Payment, (x) the Anti-Dilution Termination Date shall be extended to the date that is twelve (12) months from such termination of employment for purposes of determining any adjustment of Anti-Dilution Shares or the issuance of Additional Shares and (y) the Company shall provide that the greater of (i) fifty percent (50%) of the unvested portion of any equity awards then held by you immediately prior to such termination or issued to you during such extended Anti-Dilution Termination Date (including, without limitation, the Restricted Shares, Anti-Dilution Shares, and Additional Shares, if any) and (ii) the portion of such equity awards that would have otherwise vested in the (12) month period following the date of such termination of employment, shall vest and shall no longer be subject to restrictions or forfeiture on the date of such termination (“</w:t>
      </w:r>
      <w:r>
        <w:rPr>
          <w:rFonts w:ascii="Arial" w:cs="Arial" w:eastAsia="Arial" w:hAnsi="Arial"/>
          <w:sz w:val="17"/>
          <w:szCs w:val="17"/>
          <w:u w:val="single" w:color="auto"/>
          <w:color w:val="auto"/>
        </w:rPr>
        <w:t>Qualified Accelerated Vesting</w:t>
      </w:r>
      <w:r>
        <w:rPr>
          <w:rFonts w:ascii="Arial" w:cs="Arial" w:eastAsia="Arial" w:hAnsi="Arial"/>
          <w:sz w:val="17"/>
          <w:szCs w:val="17"/>
          <w:color w:val="auto"/>
        </w:rPr>
        <w:t>”).</w:t>
      </w:r>
    </w:p>
    <w:p>
      <w:pPr>
        <w:spacing w:after="0" w:line="1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6"/>
          <w:szCs w:val="16"/>
          <w:u w:val="single" w:color="auto"/>
          <w:color w:val="auto"/>
        </w:rPr>
        <w:t>Termination Benefits</w:t>
      </w:r>
      <w:r>
        <w:rPr>
          <w:rFonts w:ascii="Arial" w:cs="Arial" w:eastAsia="Arial" w:hAnsi="Arial"/>
          <w:sz w:val="16"/>
          <w:szCs w:val="16"/>
          <w:color w:val="auto"/>
        </w:rPr>
        <w:t xml:space="preserve">”) unless, within sixty (60) 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such changes to form to help ensure enforceability under applicable law) and any revocation period thereunder has lapsed without exercise by you (or your legal representatives) of such revocation right.</w:t>
      </w:r>
    </w:p>
    <w:p>
      <w:pPr>
        <w:spacing w:after="0" w:line="15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Termination Benefits shall be paid or commence on the first payroll period following the date the release becomes effective (the “</w:t>
      </w:r>
      <w:r>
        <w:rPr>
          <w:rFonts w:ascii="Arial" w:cs="Arial" w:eastAsia="Arial" w:hAnsi="Arial"/>
          <w:sz w:val="16"/>
          <w:szCs w:val="16"/>
          <w:u w:val="single" w:color="auto"/>
          <w:color w:val="auto"/>
        </w:rPr>
        <w:t>Payment Date</w:t>
      </w:r>
      <w:r>
        <w:rPr>
          <w:rFonts w:ascii="Arial" w:cs="Arial" w:eastAsia="Arial" w:hAnsi="Arial"/>
          <w:sz w:val="16"/>
          <w:szCs w:val="16"/>
          <w:color w:val="auto"/>
        </w:rPr>
        <w:t>”) and the first payment shall include all accrued amounts from the date of termination, provided that if the period during which you may deliver the release required hereunder spans two (2) calendar years, the Payment Date shall be no earlier than January 1 of the second calendar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90" w:name="page491"/>
    <w:bookmarkEnd w:id="49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Offer Letter,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the Gossamer Bio, Inc. 2017 Equity Incentive Plan, as in effect on the Effective Date (the “</w:t>
      </w:r>
      <w:r>
        <w:rPr>
          <w:rFonts w:ascii="Arial" w:cs="Arial" w:eastAsia="Arial" w:hAnsi="Arial"/>
          <w:sz w:val="18"/>
          <w:szCs w:val="18"/>
          <w:u w:val="single" w:color="auto"/>
          <w:color w:val="auto"/>
        </w:rPr>
        <w:t>Equity Plan</w:t>
      </w:r>
      <w:r>
        <w:rPr>
          <w:rFonts w:ascii="Arial" w:cs="Arial" w:eastAsia="Arial" w:hAnsi="Arial"/>
          <w:sz w:val="18"/>
          <w:szCs w:val="18"/>
          <w:color w:val="auto"/>
        </w:rPr>
        <w:t>”).</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means: (i) a willful and material act of dishonesty by you in connection with the performance of your duties as an employee of the Company; (ii) your conviction of, or plea of guilty or nolo contendere to, a felony (other than a traffic offense that does not result in a fatality), or any crime involving fraud or embezzlement that the Board reasonably determines has had or is reasonably likely to have a materially detrimental effect on the Company’s reputation or business; (iii) your gross misconduct in the performance of your duties as an employee of the Company; (iv) your willful and material unauthorized use or disclosure of any proprietary information or trade secrets of the Company or any other party to whom you owe an obligation of nondisclosure as a result of your relationship with the Company; (v) your willful and material breach of any obligations under any written agreement or written covenant with the Company; or (vi) your continued willful and substantial failure to perform your material employment duties that are lawfully assigned to you in good faith by your reporting superior (other than as a result of your death or Disability) after written 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(i) no act or failure to act on your part shall be considered “willful” unless it is done or omitted to be done by you in bad faith and without reasonable belief that the act or failure to act was in the best interest of the Company, and (ii) while you are serving on the Board, you shall take no part in any determination as to whether “Cause” exists hereunder.</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(i) a material reduction in your base salary or target annual bonus; (ii) a material diminution of your title, duties, responsibilities or reporting lines; (iii) a material change in the principal geographic location at which you must perform services, more than fifty (50) miles from the Company’s head office; (iv) a material breach by the Company of this Offer Letter; or (v) the failure of the board of directors of Parent to offer you employment as the Chief Executive Officer of the Parent no later than the earlier of (x) the 90th day following the Next Financing Closing, or (y) the IPO.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shall have the meaning set forth in the Equity Plan.</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Any severance payments to you under this Offer Letter shall begin only after the date of your “separation from service” within the meaning of Section 409A and determined as set forth below, which occurs on or after date of the termination of your employment, and shall be subject to the following provisions: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491" w:name="page492"/>
    <w:bookmarkEnd w:id="491"/>
    <w:p>
      <w:pPr>
        <w:ind w:firstLine="444"/>
        <w:spacing w:after="0" w:line="257" w:lineRule="auto"/>
        <w:tabs>
          <w:tab w:leader="none" w:pos="787"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intent of the parties is that payments and benefits under this Offer Letter comply with, or be exempt from Section 409A and, accordingly, to the maximum extent permitted, this Offer Letter shall be interpreted to be in compliance therewith. For purposes of Section 409A, your right to receive any installment payments pursuant to this Offer Letter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8" w:lineRule="exact"/>
        <w:rPr>
          <w:rFonts w:ascii="Arial" w:cs="Arial" w:eastAsia="Arial" w:hAnsi="Arial"/>
          <w:sz w:val="18"/>
          <w:szCs w:val="18"/>
          <w:color w:val="auto"/>
        </w:rPr>
      </w:pPr>
    </w:p>
    <w:p>
      <w:pPr>
        <w:ind w:left="840" w:hanging="396"/>
        <w:spacing w:after="0"/>
        <w:tabs>
          <w:tab w:leader="none" w:pos="8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from the Company, you are not a “specified employee” (within the meaning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409A), then each installment of the severance payments shall be made on the dates and terms set forth in this Offer Letter.</w:t>
      </w:r>
    </w:p>
    <w:p>
      <w:pPr>
        <w:spacing w:after="0" w:line="211" w:lineRule="exact"/>
        <w:rPr>
          <w:sz w:val="20"/>
          <w:szCs w:val="20"/>
          <w:color w:val="auto"/>
        </w:rPr>
      </w:pPr>
    </w:p>
    <w:p>
      <w:pPr>
        <w:ind w:right="1040" w:firstLine="444"/>
        <w:spacing w:after="0" w:line="277" w:lineRule="auto"/>
        <w:tabs>
          <w:tab w:leader="none" w:pos="891"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from the Company, you are a “specified employee” (within the meaning of Section 409A), then:</w:t>
      </w:r>
    </w:p>
    <w:p>
      <w:pPr>
        <w:spacing w:after="0" w:line="170" w:lineRule="exact"/>
        <w:rPr>
          <w:rFonts w:ascii="Arial" w:cs="Arial" w:eastAsia="Arial" w:hAnsi="Arial"/>
          <w:sz w:val="18"/>
          <w:szCs w:val="18"/>
          <w:color w:val="auto"/>
        </w:rPr>
      </w:pPr>
    </w:p>
    <w:p>
      <w:pPr>
        <w:ind w:right="60" w:firstLine="885"/>
        <w:spacing w:after="0" w:line="259" w:lineRule="auto"/>
        <w:tabs>
          <w:tab w:leader="none" w:pos="1176" w:val="left"/>
        </w:tabs>
        <w:numPr>
          <w:ilvl w:val="2"/>
          <w:numId w:val="325"/>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Offer Letter,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 shall be paid on the dates and terms set forth in this Offer Letter; and</w:t>
      </w:r>
    </w:p>
    <w:p>
      <w:pPr>
        <w:spacing w:after="0" w:line="186" w:lineRule="exact"/>
        <w:rPr>
          <w:rFonts w:ascii="Arial" w:cs="Arial" w:eastAsia="Arial" w:hAnsi="Arial"/>
          <w:sz w:val="18"/>
          <w:szCs w:val="18"/>
          <w:color w:val="auto"/>
        </w:rPr>
      </w:pPr>
    </w:p>
    <w:p>
      <w:pPr>
        <w:ind w:right="60" w:firstLine="885"/>
        <w:spacing w:after="0" w:line="291" w:lineRule="auto"/>
        <w:tabs>
          <w:tab w:leader="none" w:pos="1166" w:val="left"/>
        </w:tabs>
        <w:numPr>
          <w:ilvl w:val="2"/>
          <w:numId w:val="325"/>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 (A) above and that would, absent this clause (B), be paid within the six-month period following your “separation from service” from the Company shall not be paid until the date that is six (6) months and one</w:t>
      </w:r>
    </w:p>
    <w:p>
      <w:pPr>
        <w:ind w:right="60" w:firstLine="4"/>
        <w:spacing w:after="0" w:line="281" w:lineRule="auto"/>
        <w:tabs>
          <w:tab w:leader="none" w:pos="25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Offer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w:t>
      </w:r>
    </w:p>
    <w:p>
      <w:pPr>
        <w:spacing w:after="0" w:line="3"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90" w:lineRule="exact"/>
        <w:rPr>
          <w:rFonts w:ascii="Arial" w:cs="Arial" w:eastAsia="Arial" w:hAnsi="Arial"/>
          <w:sz w:val="16"/>
          <w:szCs w:val="16"/>
          <w:color w:val="auto"/>
        </w:rPr>
      </w:pPr>
    </w:p>
    <w:p>
      <w:pPr>
        <w:jc w:val="both"/>
        <w:ind w:right="320" w:firstLine="444"/>
        <w:spacing w:after="0" w:line="312" w:lineRule="auto"/>
        <w:tabs>
          <w:tab w:leader="none" w:pos="87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80" w:firstLine="444"/>
        <w:spacing w:after="0" w:line="291" w:lineRule="auto"/>
        <w:tabs>
          <w:tab w:leader="none" w:pos="821"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Offer Letter shall be made or provided in accordance with the requirements of Section 409A to the extent that such reimbursements or in-kind benefits are subject to Section 409A, including, where applicable, the requirements that</w:t>
      </w: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 any reimbursement is for expenses incurred during your lifetime (or during a shorter period of time specified in this Offer Letter), (B) the amount of expenses eligible for reimbursement during a calendar year may not affect the expenses eligible for reimbursement 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92" w:name="page493"/>
    <w:bookmarkEnd w:id="492"/>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47" w:lineRule="exact"/>
        <w:rPr>
          <w:sz w:val="20"/>
          <w:szCs w:val="20"/>
          <w:color w:val="auto"/>
        </w:rPr>
      </w:pPr>
    </w:p>
    <w:p>
      <w:pPr>
        <w:ind w:firstLine="444"/>
        <w:spacing w:after="0" w:line="287" w:lineRule="auto"/>
        <w:tabs>
          <w:tab w:leader="none" w:pos="88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Offer Letter, the Company makes no representation or warranty and shall have no liability to you or to any other person if any provisions of this Offer Letter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Offer Letter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 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correction is consistent with the commercial intent of the parties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Company be obligated to incur any material cost in connection with its obligations under this sentence.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contained in this Offer Letter, to the extent that any of the payments and benefits provided for under this Offer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Letter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(i) constitute a “parachute payment”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meaning of Section 280G of the Code and (ii) but for this paragraph, would be subject to the excise tax imposed by Section 4999 of the Code, then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Payments shall be reduced to the extent necessary so that no portion of such Payments retained by you shall be subject to excise tax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reduction shall only occur if after taking into account the applicable federal, state and local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and the excise tax imposed by Section 4999, such reduction results in your receipt on an after-tax basis, of the greatest amount of benefits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Offer Letter,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sentence shall not apply if, immediately before the change in ownership or control on which such Payment is contingent or otherwise relates, no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readily tradeable on an established securities market or otherwise (as determined in accordance with Treasury Reg. Section 1.280G-1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Q&amp;A 6). In the event of a determination that such reduction is to take place, reduction shall occur in the following order: first, reduction of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which shall occur in reverse chronological order such that the cash payment owed on the latest date following the occurrence of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triggering such excise tax will be the first cash payment to be reduced; second, cancellation of accelerated vesting of equity awards, which shall occur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reverse order of the date of grant for such stock awards (i.e., the vesting of the most recently granted stock awards will be reduced first); and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of employee benefits, which shall occur in reverse chronological order such that the benefit owed on the latest date following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event triggering such excise tax will be the first benefit to be reduced. If two or more equity awards are granted on the same date, each award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reduced on a pro-rata basis. Notwithstanding the foregoing, if any Payments would not be subject to such excise tax if the stockholder approval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Section 280G(b)(5) of the Code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493" w:name="page494"/>
    <w:bookmarkEnd w:id="4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satisfied, subject to your waiver of the rights to such Payments in accordance with Section 280G of the Code with respect to any portion of the Payments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would otherwise be subject to excise tax imposed by Section 4999 of the Code (before giving effect to any reduction in Payments contemplated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two preceding sentences), the Company shall use its reasonable best efforts to cause such payments to be submitted for such approval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giving rise to such payments. To the extent the Company submits any payment or benefit payable to you under this Offer Letter or otherwise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stockholders for approval in accordance with Treasury Reg. Section 1.280G-1 Q&amp;A 7, the foregoing provisions shall not apply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submission and such payments and benefits will be treated in accordance with the results of such vote, except that any reduction in, or waiver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payments or benefits required by such vote will be applied without any application of discretion by you and in the order prescribed in the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paragraph. In no event shall you have any discretion with respect to the ordering of payment reductions. Unless you and the Company otherwise agree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writing, any determination required under this paragraph shall be made in writing by the Company’s independent public accountants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Accountants</w:t>
      </w:r>
      <w:r>
        <w:rPr>
          <w:rFonts w:ascii="Arial" w:cs="Arial" w:eastAsia="Arial" w:hAnsi="Arial"/>
          <w:sz w:val="17"/>
          <w:szCs w:val="17"/>
          <w:color w:val="auto"/>
        </w:rPr>
        <w:t>”), whose determination shall be conclusive and binding upon you and the Company for all purposes. For purposes of making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calculations required by this paragraph, the Accountants may make reasonable assumptions and approximations concerning applicable taxes and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rely in reasonable, good faith interpretations concerning the application of Sections 280G and 4999 of the Code. The Company and you shall furnish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Accountants such information and documents as the Accountants may reasonably request in order to make a determination under this paragraph.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bear all costs the Accountants may reasonably incur in connection with any calculations contemplated by this paragraph. If the limitation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set forth in this paragraph is applied to reduce an amount payable to you, and the Internal Revenue Service successfully asserts that, despite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reduction, you have nonetheless received payments which are in excess of the maximum amount that could have been paid to you without being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subjected to any excise tax, then, unless it would be unlawful for the Company to make such a loan or similar extension of credit to you, you may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excess amount to the Company as though such amount constitutes a loan to you made at the date of payment of such excess amount, bearing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at 120% of the applicable federal rate (as determined under Section 1274(d) of the Code in respect of such loan).</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 In addition, the Company will reimburse you for all reasonable business expenses incurred by you in the performance of your duties, subject to the Company’s expense reimbursement policies applicable to senior executives in effect from time to time. You will be entitled to paid vacation time in accordance with the policies of the Company.</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will reimburse you, or pay directly on your behalf, for the reasonable and documented attorneys’ fees you incur in connection with the review and negotiation of this Offer Letter and any related matters, up to a maximum of $15,000, with such payment to be made within thirty (30) days after you submit appropriate documentation together with a written request specifying the amount of such legal expenses.</w:t>
      </w:r>
    </w:p>
    <w:p>
      <w:pPr>
        <w:spacing w:after="0" w:line="16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Offer Letter.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94" w:name="page495"/>
    <w:bookmarkEnd w:id="494"/>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offer of employment is contingent upon (x) your consent to a background check with results satisfactory to the Company, (y) your execution of the Company’s Proprietary Information and Inventions Assignment Agreement, which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PIIA</w:t>
      </w:r>
      <w:r>
        <w:rPr>
          <w:rFonts w:ascii="Arial" w:cs="Arial" w:eastAsia="Arial" w:hAnsi="Arial"/>
          <w:sz w:val="16"/>
          <w:szCs w:val="16"/>
          <w:color w:val="auto"/>
        </w:rPr>
        <w:t>”), and (z) your presentation of satisfactory documentation that establishes identity and employment eligibility in accordance with the US Immigration and Naturalization requirements. Notwithstanding any other provision in the PIIA or any other agreement between you and the Company, Company Confidential Information shall not include any information that (i) is or becomes generally used in the industry or publicly available through lawful means and absent any wrongful conduct by you or others; (ii) any information that was known by you or lawfully in your possession prior to your employment with the Company; and</w:t>
      </w:r>
    </w:p>
    <w:p>
      <w:pPr>
        <w:spacing w:after="0" w:line="5" w:lineRule="exact"/>
        <w:rPr>
          <w:sz w:val="20"/>
          <w:szCs w:val="20"/>
          <w:color w:val="auto"/>
        </w:rPr>
      </w:pPr>
    </w:p>
    <w:p>
      <w:pPr>
        <w:ind w:right="640" w:firstLine="4"/>
        <w:spacing w:after="0" w:line="261" w:lineRule="auto"/>
        <w:tabs>
          <w:tab w:leader="none" w:pos="31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is independently developed or lawfully disclosed to you by a third party that is unrelated to the Company and is not bound by obligations of confidentiality to the Company with respect to such information.</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All notices or other communications required or permitted to be given under this Offer Letter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Offer Letter, together with any documents relating to the Company equity held by you (other than any Prior Agreements), any stock grant notices or stock agreements referenced herein and the PIIA, constitutes the entire agreement and understanding between the parties as to the subject matter herein and supersedes all prior or contemporaneous agreements whether written or oral. The terms of this Offer Letter may only be modified in a specific writing signed by Executive and an authorized representative of the Company. The invalidity or unenforceability of any provision or provisions of this Offer Letter will not affect the validity or enforceability of any other provision hereof, which will remain in full force and effect. The terms in this Offer Letter may only be modified in writing and signed by you and a member of the Board. In the event of any conflict between any of the terms in this Offer Letter and the terms of any other agreement between you and the Company, the terms of this Offer Letter will control. This Offer Letter may be executed in any number of counterparts, all of which taken together shall constitute one instrument. Execution and delivery of this Offer Letter by facsimile or other electronic signature is legal, valid and binding for all purposes.</w:t>
      </w:r>
    </w:p>
    <w:p>
      <w:pPr>
        <w:spacing w:after="0" w:line="18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aid in the rapid and economical resolution of any disputes that may arise in the course of the employment relationship, you and the Company agree that any and all disputes, claims, or demands in any way arising out of or relating to the terms of this Offer Letter, Company equity held by you (including, but not limited to, Founder’s Equity, Anti-Dilution Shares, and Additional Shares, if any),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6"/>
          <w:szCs w:val="16"/>
          <w:u w:val="single" w:color="auto"/>
          <w:color w:val="auto"/>
        </w:rPr>
        <w:t>JAMS Rules</w:t>
      </w:r>
      <w:r>
        <w:rPr>
          <w:rFonts w:ascii="Arial" w:cs="Arial" w:eastAsia="Arial" w:hAnsi="Arial"/>
          <w:sz w:val="16"/>
          <w:szCs w:val="16"/>
          <w:color w:val="auto"/>
        </w:rPr>
        <w:t>”) and the Federal Arbitration Act, 9 U.S.C. Sec. 1, et seq. A copy of the JAMS rules may be found on the JAMS website at www.jamsadr.com. BY AGREEING TO THIS ARBITRATION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495" w:name="page496"/>
    <w:bookmarkEnd w:id="49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PROCEDURE, YOU AND THE COMPANY WAIVE THE RIGHT TO RESOLVE ANY SUCH DISPUTE, CLAIM OR DEMAND 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Offer Letter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arbitrator shall award attorney’s fees and costs to the prevailing party, except as prohibited by law.</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very excited about having you join our team and I anticipate that you will make many important contributions to the Company and its strategic mission. Please acknowledge your acceptance of this offer by returning a signed copy of this Offer Letter.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496" w:name="page497"/>
    <w:bookmarkEnd w:id="49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5812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Faheem Hasnain</w:t>
      </w:r>
    </w:p>
    <w:p>
      <w:pPr>
        <w:spacing w:after="0" w:line="23" w:lineRule="exact"/>
        <w:rPr>
          <w:sz w:val="20"/>
          <w:szCs w:val="20"/>
          <w:color w:val="auto"/>
        </w:rPr>
      </w:pPr>
    </w:p>
    <w:p>
      <w:pPr>
        <w:jc w:val="both"/>
        <w:ind w:left="7280"/>
        <w:spacing w:after="0"/>
        <w:tabs>
          <w:tab w:leader="none" w:pos="7840"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Sheila Gujrathi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2"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[Gossamer Bio Services, Inc. – Signature Page to Offer Letter]</w:t>
      </w:r>
    </w:p>
    <w:p>
      <w:pPr>
        <w:sectPr>
          <w:pgSz w:w="11900" w:h="16838" w:orient="portrait"/>
          <w:cols w:equalWidth="0" w:num="1">
            <w:col w:w="10019"/>
          </w:cols>
          <w:pgMar w:left="440" w:top="273" w:right="1440" w:bottom="1440" w:gutter="0" w:footer="0" w:header="0"/>
        </w:sectPr>
      </w:pPr>
    </w:p>
    <w:bookmarkStart w:id="497" w:name="page498"/>
    <w:bookmarkEnd w:id="497"/>
    <w:p>
      <w:pPr>
        <w:ind w:left="51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29"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Outside Board 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TP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Five Prime Therapeutics, Inc.</w:t>
      </w:r>
    </w:p>
    <w:p>
      <w:pPr>
        <w:sectPr>
          <w:pgSz w:w="11900" w:h="16838" w:orient="portrait"/>
          <w:cols w:equalWidth="0" w:num="1">
            <w:col w:w="10019"/>
          </w:cols>
          <w:pgMar w:left="440" w:top="273" w:right="1440"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In consideration of the Termination Benefits (as defined in the Offer Letter) provided and to be provided to me by Gossamer Bio, Inc., or any successor thereof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my Offer Letter with Company dated January 4, 2018 (the “</w:t>
      </w:r>
      <w:r>
        <w:rPr>
          <w:rFonts w:ascii="Arial" w:cs="Arial" w:eastAsia="Arial" w:hAnsi="Arial"/>
          <w:sz w:val="16"/>
          <w:szCs w:val="16"/>
          <w:u w:val="single" w:color="auto"/>
          <w:color w:val="auto"/>
        </w:rPr>
        <w:t>Offer Letter</w:t>
      </w:r>
      <w:r>
        <w:rPr>
          <w:rFonts w:ascii="Arial" w:cs="Arial" w:eastAsia="Arial" w:hAnsi="Arial"/>
          <w:sz w:val="16"/>
          <w:szCs w:val="16"/>
          <w:color w:val="auto"/>
        </w:rPr>
        <w:t>”), and in connection with the termination of my employment, the Company and I agree to the following, including a general release as specified below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47" w:lineRule="exact"/>
        <w:rPr>
          <w:sz w:val="20"/>
          <w:szCs w:val="20"/>
          <w:color w:val="auto"/>
        </w:rPr>
      </w:pPr>
    </w:p>
    <w:p>
      <w:pPr>
        <w:ind w:firstLine="444"/>
        <w:spacing w:after="0" w:line="268" w:lineRule="auto"/>
        <w:tabs>
          <w:tab w:leader="none" w:pos="756" w:val="left"/>
        </w:tabs>
        <w:numPr>
          <w:ilvl w:val="1"/>
          <w:numId w:val="329"/>
        </w:numPr>
        <w:rPr>
          <w:rFonts w:ascii="Arial" w:cs="Arial" w:eastAsia="Arial" w:hAnsi="Arial"/>
          <w:sz w:val="17"/>
          <w:szCs w:val="17"/>
          <w:color w:val="auto"/>
        </w:rPr>
      </w:pPr>
      <w:r>
        <w:rPr>
          <w:rFonts w:ascii="Arial" w:cs="Arial" w:eastAsia="Arial" w:hAnsi="Arial"/>
          <w:sz w:val="17"/>
          <w:szCs w:val="17"/>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from any and all claims, causes of action, and liabilities up through the date of my execution of the Release (except with respect to Termination Benefits under the Offer Letter and any other rights that I have accrued under the employee benefit plans and equity award plans of the Company). The claims subject to this release include, but are not limited to, those relating to my employment with Company and/or any predecessor to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87" w:lineRule="exact"/>
        <w:rPr>
          <w:rFonts w:ascii="Arial" w:cs="Arial" w:eastAsia="Arial" w:hAnsi="Arial"/>
          <w:sz w:val="17"/>
          <w:szCs w:val="17"/>
          <w:color w:val="auto"/>
        </w:rPr>
      </w:pPr>
    </w:p>
    <w:p>
      <w:pPr>
        <w:ind w:right="80" w:firstLine="444"/>
        <w:spacing w:after="0" w:line="285" w:lineRule="auto"/>
        <w:tabs>
          <w:tab w:leader="none" w:pos="752"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The parties agree to apply California law in interpreting the Release. Accordingly, I further waive any rights under Section 1542 of the Civil Code of the State of California or any similar state statute. Section 1542 states: “A general release does not extend to claims which the creditor does not know or suspect to exist in his or her favor at the time of executing the release, which, if known to him or her, must have materially affected his or her settlement with the debtor.” This Release does not extend to, and has no effect upon, (i) any benefits that have previously accrued, and to which I have become vested or otherwise entitled to, under any agreement, employee benefit plan, program or policy sponsored or maintained by the Company;</w:t>
      </w:r>
    </w:p>
    <w:p>
      <w:pPr>
        <w:spacing w:after="0" w:line="2" w:lineRule="exact"/>
        <w:rPr>
          <w:rFonts w:ascii="Arial" w:cs="Arial" w:eastAsia="Arial" w:hAnsi="Arial"/>
          <w:sz w:val="16"/>
          <w:szCs w:val="16"/>
          <w:color w:val="auto"/>
        </w:rPr>
      </w:pPr>
    </w:p>
    <w:p>
      <w:pPr>
        <w:ind w:right="80" w:firstLine="4"/>
        <w:spacing w:after="0" w:line="254" w:lineRule="auto"/>
        <w:tabs>
          <w:tab w:leader="none" w:pos="26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my right to indemnification and/or contribution, advancement or payment of related expenses by the Company under any written indemnification or other agreement between the parties; (iii) my right to continued coverage by the Company’s director’s and officer’s insurance, other insurance policies of the Company, COBRA or any similar state law; (iv) any claims for breach of this agreement; and (v) any claims arising after the date I sign the Release.</w:t>
      </w:r>
    </w:p>
    <w:p>
      <w:pPr>
        <w:spacing w:after="0" w:line="189" w:lineRule="exact"/>
        <w:rPr>
          <w:rFonts w:ascii="Arial" w:cs="Arial" w:eastAsia="Arial" w:hAnsi="Arial"/>
          <w:sz w:val="18"/>
          <w:szCs w:val="18"/>
          <w:color w:val="auto"/>
        </w:rPr>
      </w:pPr>
    </w:p>
    <w:p>
      <w:pPr>
        <w:ind w:right="80" w:firstLine="444"/>
        <w:spacing w:after="0" w:line="291" w:lineRule="auto"/>
        <w:tabs>
          <w:tab w:leader="none" w:pos="75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w:t>
      </w:r>
    </w:p>
    <w:p>
      <w:pPr>
        <w:ind w:right="60" w:firstLine="4"/>
        <w:spacing w:after="0" w:line="277" w:lineRule="auto"/>
        <w:tabs>
          <w:tab w:leader="none" w:pos="24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my rights under applicable workers’ compensation laws; (b) my right, if any, to seek state disability or unemployment benefits; (c) my right to indemnity under California Labor Code section 2802 or other applicable state-law right to indemnity; and (d) my right to file a charge or complaint with a government agency such as but not limited to the Equal Employment Opportunity Commission, the National Labor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99" w:name="page500"/>
    <w:bookmarkEnd w:id="49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Relations Board, the Department of Labor, the California Department of Fair Employment and Housing, or other applicable state agency.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93" w:lineRule="exact"/>
        <w:rPr>
          <w:sz w:val="20"/>
          <w:szCs w:val="20"/>
          <w:color w:val="auto"/>
        </w:rPr>
      </w:pPr>
    </w:p>
    <w:p>
      <w:pPr>
        <w:jc w:val="both"/>
        <w:ind w:right="100" w:firstLine="444"/>
        <w:spacing w:after="0" w:line="264" w:lineRule="auto"/>
        <w:tabs>
          <w:tab w:leader="none" w:pos="75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vacation pay, less applicable withholdings and deductions, earned through my termination date.</w:t>
      </w:r>
    </w:p>
    <w:p>
      <w:pPr>
        <w:spacing w:after="0" w:line="181" w:lineRule="exact"/>
        <w:rPr>
          <w:rFonts w:ascii="Arial" w:cs="Arial" w:eastAsia="Arial" w:hAnsi="Arial"/>
          <w:sz w:val="18"/>
          <w:szCs w:val="18"/>
          <w:color w:val="auto"/>
        </w:rPr>
      </w:pPr>
    </w:p>
    <w:p>
      <w:pPr>
        <w:ind w:firstLine="444"/>
        <w:spacing w:after="0" w:line="272" w:lineRule="auto"/>
        <w:tabs>
          <w:tab w:leader="none" w:pos="75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77" w:lineRule="exact"/>
        <w:rPr>
          <w:rFonts w:ascii="Arial" w:cs="Arial" w:eastAsia="Arial" w:hAnsi="Arial"/>
          <w:sz w:val="17"/>
          <w:szCs w:val="17"/>
          <w:color w:val="auto"/>
        </w:rPr>
      </w:pPr>
    </w:p>
    <w:p>
      <w:pPr>
        <w:ind w:right="500" w:firstLine="444"/>
        <w:spacing w:after="0" w:line="308" w:lineRule="auto"/>
        <w:tabs>
          <w:tab w:leader="none" w:pos="75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46" w:lineRule="exact"/>
        <w:rPr>
          <w:rFonts w:ascii="Arial" w:cs="Arial" w:eastAsia="Arial" w:hAnsi="Arial"/>
          <w:sz w:val="17"/>
          <w:szCs w:val="17"/>
          <w:color w:val="auto"/>
        </w:rPr>
      </w:pPr>
    </w:p>
    <w:p>
      <w:pPr>
        <w:ind w:right="160" w:firstLine="444"/>
        <w:spacing w:after="0" w:line="293" w:lineRule="auto"/>
        <w:tabs>
          <w:tab w:leader="none" w:pos="75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Offer Letter shall prohibit me from reporting or disclosing information under the terms of the Company’s Reporting Suspected Violations of Law Policy or such similar policy as the Company may have in effect from time to time.</w:t>
      </w:r>
    </w:p>
    <w:p>
      <w:pPr>
        <w:spacing w:after="0" w:line="164" w:lineRule="exact"/>
        <w:rPr>
          <w:rFonts w:ascii="Arial" w:cs="Arial" w:eastAsia="Arial" w:hAnsi="Arial"/>
          <w:sz w:val="16"/>
          <w:szCs w:val="16"/>
          <w:color w:val="auto"/>
        </w:rPr>
      </w:pPr>
    </w:p>
    <w:p>
      <w:pPr>
        <w:ind w:left="760" w:hanging="316"/>
        <w:spacing w:after="0"/>
        <w:tabs>
          <w:tab w:leader="none" w:pos="76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 understand and agree that the Release will not be construed at any time as an admission of liability or wrongdoing by either the Company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w:t>
      </w:r>
    </w:p>
    <w:p>
      <w:pPr>
        <w:spacing w:after="0" w:line="210" w:lineRule="exact"/>
        <w:rPr>
          <w:rFonts w:ascii="Arial" w:cs="Arial" w:eastAsia="Arial" w:hAnsi="Arial"/>
          <w:sz w:val="16"/>
          <w:szCs w:val="16"/>
          <w:color w:val="auto"/>
        </w:rPr>
      </w:pPr>
    </w:p>
    <w:p>
      <w:pPr>
        <w:ind w:right="40" w:firstLine="444"/>
        <w:spacing w:after="0" w:line="257" w:lineRule="auto"/>
        <w:tabs>
          <w:tab w:leader="none" w:pos="75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500" w:name="page501"/>
    <w:bookmarkEnd w:id="500"/>
    <w:p>
      <w:pPr>
        <w:ind w:right="80" w:firstLine="444"/>
        <w:spacing w:after="0" w:line="308" w:lineRule="auto"/>
        <w:tabs>
          <w:tab w:leader="none" w:pos="836" w:val="left"/>
        </w:tabs>
        <w:numPr>
          <w:ilvl w:val="0"/>
          <w:numId w:val="3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controversy or claim arising out of or relating this Release, its enforcement or interpretation, or because of an alleged breach, default or misrepresentation in connection with any of its provisions, will be submitted to arbitration consistent with the terms of the Offer Letter.</w:t>
      </w:r>
    </w:p>
    <w:p>
      <w:pPr>
        <w:spacing w:after="0" w:line="146" w:lineRule="exact"/>
        <w:rPr>
          <w:rFonts w:ascii="Arial" w:cs="Arial" w:eastAsia="Arial" w:hAnsi="Arial"/>
          <w:sz w:val="17"/>
          <w:szCs w:val="17"/>
          <w:color w:val="auto"/>
        </w:rPr>
      </w:pPr>
    </w:p>
    <w:p>
      <w:pPr>
        <w:ind w:right="40" w:firstLine="444"/>
        <w:spacing w:after="0" w:line="269" w:lineRule="auto"/>
        <w:tabs>
          <w:tab w:leader="none" w:pos="82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firstLine="444"/>
        <w:spacing w:after="0" w:line="272" w:lineRule="auto"/>
        <w:tabs>
          <w:tab w:leader="none" w:pos="84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 agree that I have had at least twenty-one (21) calendar days in which to consider whether to execute the Release, no one hurried me into executing the Release during that period and no one coerced me into executing the Release. I understand that the offer of the Termination Benefits and the Release will expire on the twenty-second (22nd) calendar day after my employment termination date if I have not accepted it by that time.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that in the seven (7) day period following the date I deliver a signed copy of the Release to Company I understand that I may revoke my acceptance of the Release. I understand that the Termination Benefits will become available to me at such time after the Effective Date.</w:t>
      </w:r>
    </w:p>
    <w:p>
      <w:pPr>
        <w:spacing w:after="0" w:line="177" w:lineRule="exact"/>
        <w:rPr>
          <w:rFonts w:ascii="Arial" w:cs="Arial" w:eastAsia="Arial" w:hAnsi="Arial"/>
          <w:sz w:val="17"/>
          <w:szCs w:val="17"/>
          <w:color w:val="auto"/>
        </w:rPr>
      </w:pPr>
    </w:p>
    <w:p>
      <w:pPr>
        <w:ind w:right="60" w:firstLine="444"/>
        <w:spacing w:after="0" w:line="272" w:lineRule="auto"/>
        <w:tabs>
          <w:tab w:leader="none" w:pos="84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Offer Letter, confidential information and invention assignment agreement, and any stock, stock option and/or stock purchase agreements between Company and me. Once effective and enforceable, this agreement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right="80" w:firstLine="444"/>
        <w:spacing w:after="0" w:line="257" w:lineRule="auto"/>
        <w:tabs>
          <w:tab w:leader="none" w:pos="84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501" w:name="page502"/>
    <w:bookmarkEnd w:id="5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 have obtained sufficient information to intelligently exercise my own judgment regarding the terms of the Release before executing the Release.</w:t>
      </w:r>
    </w:p>
    <w:p>
      <w:pPr>
        <w:spacing w:after="0" w:line="248" w:lineRule="exact"/>
        <w:rPr>
          <w:sz w:val="20"/>
          <w:szCs w:val="20"/>
          <w:color w:val="auto"/>
        </w:rPr>
      </w:pPr>
    </w:p>
    <w:p>
      <w:pPr>
        <w:ind w:firstLine="444"/>
        <w:spacing w:after="0" w:line="277" w:lineRule="auto"/>
        <w:tabs>
          <w:tab w:leader="none" w:pos="84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Offer Letter.</w:t>
      </w:r>
    </w:p>
    <w:p>
      <w:pPr>
        <w:spacing w:after="0" w:line="170" w:lineRule="exact"/>
        <w:rPr>
          <w:rFonts w:ascii="Arial" w:cs="Arial" w:eastAsia="Arial" w:hAnsi="Arial"/>
          <w:sz w:val="18"/>
          <w:szCs w:val="18"/>
          <w:color w:val="auto"/>
        </w:rPr>
      </w:pPr>
    </w:p>
    <w:p>
      <w:pPr>
        <w:ind w:right="340" w:firstLine="444"/>
        <w:spacing w:after="0" w:line="277" w:lineRule="auto"/>
        <w:tabs>
          <w:tab w:leader="none" w:pos="84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right="480" w:firstLine="444"/>
        <w:spacing w:after="0" w:line="277" w:lineRule="auto"/>
        <w:tabs>
          <w:tab w:leader="none" w:pos="84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3" w:right="519" w:bottom="1440" w:gutter="0" w:footer="0" w:header="0"/>
        </w:sectPr>
      </w:pPr>
    </w:p>
    <w:bookmarkStart w:id="502" w:name="page503"/>
    <w:bookmarkEnd w:id="502"/>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256" w:lineRule="exact"/>
        <w:rPr>
          <w:sz w:val="20"/>
          <w:szCs w:val="20"/>
          <w:color w:val="auto"/>
        </w:rPr>
      </w:pPr>
    </w:p>
    <w:p>
      <w:pPr>
        <w:ind w:left="6620"/>
        <w:spacing w:after="0"/>
        <w:tabs>
          <w:tab w:leader="none" w:pos="8020" w:val="left"/>
          <w:tab w:leader="none" w:pos="924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332105</wp:posOffset>
            </wp:positionV>
            <wp:extent cx="279590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-10160</wp:posOffset>
            </wp:positionV>
            <wp:extent cx="2286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5426710</wp:posOffset>
            </wp:positionH>
            <wp:positionV relativeFrom="paragraph">
              <wp:posOffset>-10160</wp:posOffset>
            </wp:positionV>
            <wp:extent cx="85725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440" w:top="270" w:right="699" w:bottom="1440" w:gutter="0" w:footer="0" w:header="0"/>
        </w:sectPr>
      </w:pPr>
    </w:p>
    <w:bookmarkStart w:id="503" w:name="page504"/>
    <w:bookmarkEnd w:id="503"/>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4" w:right="1440" w:bottom="1440" w:gutter="0" w:footer="0" w:header="0"/>
        </w:sectPr>
      </w:pPr>
    </w:p>
    <w:bookmarkStart w:id="504" w:name="page505"/>
    <w:bookmarkEnd w:id="5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term includes the Company’s parent, Gossamer Bio, Inc.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Parent’s subsidiaries, and any other entity in which I am asked to provide services for, and each of their respective successors and assigns), which is a material part of the consideration for my employment and continued employment by the Company:</w:t>
      </w:r>
    </w:p>
    <w:p>
      <w:pPr>
        <w:spacing w:after="0" w:line="180"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81"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 hereby agree as follows:</w:t>
      </w:r>
    </w:p>
    <w:p>
      <w:pPr>
        <w:spacing w:after="0" w:line="16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 trust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use or disclose any Proprietary Information or anything relating to it without the written consent of the Company, except as may be necessary in the ordinary course of performing my duties to the Company.</w:t>
      </w:r>
    </w:p>
    <w:p>
      <w:pPr>
        <w:spacing w:after="0" w:line="17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 Proprietary Information to my attorney and use the Proprietary Information in the court proceeding, if I file any document containing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under seal, and do not disclose the Proprietary Information, except pursuant to court order.</w:t>
      </w:r>
    </w:p>
    <w:p>
      <w:pPr>
        <w:spacing w:after="0" w:line="221"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b w:val="1"/>
          <w:bCs w:val="1"/>
          <w:color w:val="auto"/>
        </w:rPr>
        <w:t xml:space="preserve">Disclosure of Inventions. </w:t>
      </w:r>
      <w:r>
        <w:rPr>
          <w:rFonts w:ascii="Arial" w:cs="Arial" w:eastAsia="Arial" w:hAnsi="Arial"/>
          <w:sz w:val="17"/>
          <w:szCs w:val="17"/>
          <w:color w:val="auto"/>
        </w:rPr>
        <w:t>I will promptly disclose to the Company, or any persons designated by it, all Inventions made or conceived or</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sz w:val="20"/>
          <w:szCs w:val="20"/>
          <w:color w:val="auto"/>
        </w:rPr>
      </w:pPr>
    </w:p>
    <w:p>
      <w:pPr>
        <w:jc w:val="both"/>
        <w:ind w:firstLine="881"/>
        <w:spacing w:after="0" w:line="285" w:lineRule="auto"/>
        <w:rPr>
          <w:sz w:val="20"/>
          <w:szCs w:val="20"/>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4" w:lineRule="exact"/>
        <w:rPr>
          <w:sz w:val="20"/>
          <w:szCs w:val="20"/>
          <w:color w:val="auto"/>
        </w:rPr>
      </w:pPr>
    </w:p>
    <w:p>
      <w:pPr>
        <w:jc w:val="both"/>
        <w:ind w:firstLine="4"/>
        <w:spacing w:after="0" w:line="273" w:lineRule="auto"/>
        <w:tabs>
          <w:tab w:leader="none" w:pos="24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3" w:lineRule="exact"/>
        <w:rPr>
          <w:sz w:val="20"/>
          <w:szCs w:val="20"/>
          <w:color w:val="auto"/>
        </w:rPr>
      </w:pPr>
    </w:p>
    <w:p>
      <w:pPr>
        <w:jc w:val="both"/>
        <w:ind w:firstLine="881"/>
        <w:spacing w:after="0" w:line="274" w:lineRule="auto"/>
        <w:rPr>
          <w:sz w:val="20"/>
          <w:szCs w:val="20"/>
          <w:color w:val="auto"/>
        </w:rPr>
      </w:pPr>
      <w:r>
        <w:rPr>
          <w:rFonts w:ascii="Arial" w:cs="Arial" w:eastAsia="Arial" w:hAnsi="Arial"/>
          <w:sz w:val="17"/>
          <w:szCs w:val="17"/>
          <w:b w:val="1"/>
          <w:bCs w:val="1"/>
          <w:color w:val="auto"/>
        </w:rPr>
        <w:t xml:space="preserve">Assignment of Moral Rights. </w:t>
      </w:r>
      <w:r>
        <w:rPr>
          <w:rFonts w:ascii="Arial" w:cs="Arial" w:eastAsia="Arial" w:hAnsi="Arial"/>
          <w:sz w:val="17"/>
          <w:szCs w:val="17"/>
          <w:color w:val="auto"/>
        </w:rPr>
        <w:t>In addition to the foregoing assignment of Inventions to the Company, I hereby irrevocably transfer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7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Work for Hire</w:t>
      </w:r>
      <w:r>
        <w:rPr>
          <w:rFonts w:ascii="Arial" w:cs="Arial" w:eastAsia="Arial" w:hAnsi="Arial"/>
          <w:sz w:val="18"/>
          <w:szCs w:val="18"/>
          <w:color w:val="auto"/>
        </w:rPr>
        <w:t>. I acknowledge and agree that any copyrightable works prepared by me within the scope of my employment are “works for</w:t>
      </w:r>
      <w:r>
        <w:rPr>
          <w:rFonts w:ascii="Arial" w:cs="Arial" w:eastAsia="Arial" w:hAnsi="Arial"/>
          <w:sz w:val="18"/>
          <w:szCs w:val="18"/>
          <w:b w:val="1"/>
          <w:bCs w:val="1"/>
          <w:color w:val="auto"/>
        </w:rPr>
        <w:t xml:space="preserve"> </w:t>
      </w:r>
      <w:r>
        <w:rPr>
          <w:rFonts w:ascii="Arial" w:cs="Arial" w:eastAsia="Arial" w:hAnsi="Arial"/>
          <w:sz w:val="18"/>
          <w:szCs w:val="18"/>
          <w:color w:val="auto"/>
        </w:rPr>
        <w:t>hire” under the Copyright Act and that the Company will be considered the author and owner of such copyrightable works.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506" w:name="page507"/>
    <w:bookmarkEnd w:id="506"/>
    <w:p>
      <w:pPr>
        <w:jc w:val="both"/>
        <w:ind w:firstLine="881"/>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 desirable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sz w:val="20"/>
          <w:szCs w:val="20"/>
          <w:color w:val="auto"/>
        </w:rPr>
      </w:pPr>
    </w:p>
    <w:p>
      <w:pPr>
        <w:jc w:val="both"/>
        <w:ind w:firstLine="881"/>
        <w:spacing w:after="0" w:line="256" w:lineRule="auto"/>
        <w:rPr>
          <w:sz w:val="20"/>
          <w:szCs w:val="20"/>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 or</w:t>
      </w:r>
      <w:r>
        <w:rPr>
          <w:rFonts w:ascii="Arial" w:cs="Arial" w:eastAsia="Arial" w:hAnsi="Arial"/>
          <w:sz w:val="18"/>
          <w:szCs w:val="18"/>
          <w:b w:val="1"/>
          <w:bCs w:val="1"/>
          <w:color w:val="auto"/>
        </w:rPr>
        <w:t xml:space="preserve"> </w:t>
      </w:r>
      <w:r>
        <w:rPr>
          <w:rFonts w:ascii="Arial" w:cs="Arial" w:eastAsia="Arial" w:hAnsi="Arial"/>
          <w:sz w:val="18"/>
          <w:szCs w:val="18"/>
          <w:color w:val="auto"/>
        </w:rPr>
        <w:t>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88" w:lineRule="exact"/>
        <w:rPr>
          <w:sz w:val="20"/>
          <w:szCs w:val="20"/>
          <w:color w:val="auto"/>
        </w:rPr>
      </w:pPr>
    </w:p>
    <w:p>
      <w:pPr>
        <w:jc w:val="both"/>
        <w:ind w:firstLine="881"/>
        <w:spacing w:after="0" w:line="347" w:lineRule="auto"/>
        <w:rPr>
          <w:sz w:val="20"/>
          <w:szCs w:val="20"/>
          <w:color w:val="auto"/>
        </w:rPr>
      </w:pPr>
      <w:r>
        <w:rPr>
          <w:rFonts w:ascii="Arial" w:cs="Arial" w:eastAsia="Arial" w:hAnsi="Arial"/>
          <w:sz w:val="16"/>
          <w:szCs w:val="16"/>
          <w:b w:val="1"/>
          <w:bCs w:val="1"/>
          <w:color w:val="auto"/>
        </w:rPr>
        <w:t xml:space="preserve">No Conflicting Obligations. </w:t>
      </w:r>
      <w:r>
        <w:rPr>
          <w:rFonts w:ascii="Arial" w:cs="Arial" w:eastAsia="Arial" w:hAnsi="Arial"/>
          <w:sz w:val="16"/>
          <w:szCs w:val="16"/>
          <w:color w:val="auto"/>
        </w:rPr>
        <w:t>I represent that my performance of all the terms of this Agreement will not breach any agreement or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keep in confidence proprietary information acquired by me in confidence or in trust prior to my employment with the Company. I have not entered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507" w:name="page508"/>
    <w:bookmarkEnd w:id="50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into, and I agree I will not enter into, any agreement either written or oral in conflict with this Agreement or in conflict with my employment with the Company.</w:t>
      </w:r>
    </w:p>
    <w:p>
      <w:pPr>
        <w:spacing w:after="0" w:line="16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 use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5"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any successor in interest or other assignee.</w:t>
      </w:r>
    </w:p>
    <w:p>
      <w:pPr>
        <w:spacing w:after="0" w:line="162"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 acquainted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 inserted</w:t>
      </w:r>
      <w:r>
        <w:rPr>
          <w:rFonts w:ascii="Arial" w:cs="Arial" w:eastAsia="Arial" w:hAnsi="Arial"/>
          <w:sz w:val="18"/>
          <w:szCs w:val="18"/>
          <w:b w:val="1"/>
          <w:bCs w:val="1"/>
          <w:color w:val="auto"/>
        </w:rPr>
        <w:t xml:space="preserve"> </w:t>
      </w:r>
      <w:r>
        <w:rPr>
          <w:rFonts w:ascii="Arial" w:cs="Arial" w:eastAsia="Arial" w:hAnsi="Arial"/>
          <w:sz w:val="18"/>
          <w:szCs w:val="18"/>
          <w:color w:val="auto"/>
        </w:rPr>
        <w:t>for convenience only and do not constitute any part of this Agreement.</w:t>
      </w:r>
    </w:p>
    <w:p>
      <w:pPr>
        <w:spacing w:after="0" w:line="162"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sectPr>
      </w:pPr>
    </w:p>
    <w:bookmarkStart w:id="508" w:name="page509"/>
    <w:bookmarkEnd w:id="50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66"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509" w:name="page510"/>
    <w:bookmarkEnd w:id="509"/>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tab/>
        <w:t>1/4/18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520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207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Sheila Gujrathi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-116205</wp:posOffset>
            </wp:positionV>
            <wp:extent cx="279590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GOSSAMER BIO SERVICES,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25730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Faheem Hasnain</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19"/>
          </w:cols>
          <w:pgMar w:left="440" w:top="274" w:right="1440" w:bottom="1440" w:gutter="0" w:footer="0" w:header="0"/>
        </w:sectPr>
      </w:pPr>
    </w:p>
    <w:bookmarkStart w:id="510" w:name="page511"/>
    <w:bookmarkEnd w:id="510"/>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jc w:val="both"/>
        <w:ind w:left="-4" w:firstLine="444"/>
        <w:spacing w:after="0" w:line="286" w:lineRule="auto"/>
        <w:tabs>
          <w:tab w:leader="none" w:pos="83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6"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1016"/>
          </w:cols>
          <w:pgMar w:left="444" w:top="269" w:right="439" w:bottom="1440" w:gutter="0" w:footer="0" w:header="0"/>
        </w:sectPr>
      </w:pPr>
    </w:p>
    <w:bookmarkStart w:id="511" w:name="page512"/>
    <w:bookmarkEnd w:id="5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firstLine="444"/>
        <w:spacing w:after="0" w:line="258" w:lineRule="auto"/>
        <w:tabs>
          <w:tab w:leader="none" w:pos="85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188" w:lineRule="exact"/>
        <w:rPr>
          <w:sz w:val="20"/>
          <w:szCs w:val="20"/>
          <w:color w:val="auto"/>
        </w:rPr>
      </w:pPr>
    </w:p>
    <w:p>
      <w:pPr>
        <w:ind w:left="680" w:right="7980" w:hanging="586"/>
        <w:spacing w:after="0" w:line="514" w:lineRule="auto"/>
        <w:tabs>
          <w:tab w:leader="none" w:pos="720" w:val="left"/>
        </w:tabs>
        <w:numPr>
          <w:ilvl w:val="0"/>
          <w:numId w:val="339"/>
        </w:numPr>
        <w:rPr>
          <w:rFonts w:ascii="Arial" w:cs="Arial" w:eastAsia="Arial" w:hAnsi="Arial"/>
          <w:sz w:val="18"/>
          <w:szCs w:val="18"/>
          <w:u w:val="single" w:color="auto"/>
          <w:color w:val="auto"/>
        </w:rPr>
      </w:pPr>
      <w:r>
        <w:rPr>
          <w:rFonts w:ascii="Arial" w:cs="Arial" w:eastAsia="Arial" w:hAnsi="Arial"/>
          <w:sz w:val="18"/>
          <w:szCs w:val="18"/>
          <w:color w:val="auto"/>
        </w:rPr>
        <w:t>No inventions or improvements.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7145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1040"/>
        <w:spacing w:after="0"/>
        <w:tabs>
          <w:tab w:leader="none" w:pos="5200" w:val="left"/>
          <w:tab w:leader="none" w:pos="8740" w:val="left"/>
        </w:tabs>
        <w:rPr>
          <w:sz w:val="20"/>
          <w:szCs w:val="20"/>
          <w:color w:val="auto"/>
        </w:rPr>
      </w:pPr>
      <w:r>
        <w:rPr>
          <w:rFonts w:ascii="Arial" w:cs="Arial" w:eastAsia="Arial" w:hAnsi="Arial"/>
          <w:sz w:val="18"/>
          <w:szCs w:val="18"/>
          <w:b w:val="1"/>
          <w:bCs w:val="1"/>
          <w:color w:val="auto"/>
        </w:rPr>
        <w:t>Invention Description</w:t>
      </w:r>
      <w:r>
        <w:rPr>
          <w:sz w:val="20"/>
          <w:szCs w:val="20"/>
          <w:color w:val="auto"/>
        </w:rPr>
        <w:tab/>
      </w:r>
      <w:r>
        <w:rPr>
          <w:rFonts w:ascii="Arial" w:cs="Arial" w:eastAsia="Arial" w:hAnsi="Arial"/>
          <w:sz w:val="18"/>
          <w:szCs w:val="18"/>
          <w:b w:val="1"/>
          <w:bCs w:val="1"/>
          <w:color w:val="auto"/>
        </w:rPr>
        <w:t>Patent No.</w:t>
      </w:r>
      <w:r>
        <w:rPr>
          <w:sz w:val="20"/>
          <w:szCs w:val="20"/>
          <w:color w:val="auto"/>
        </w:rPr>
        <w:tab/>
      </w:r>
      <w:r>
        <w:rPr>
          <w:rFonts w:ascii="Arial" w:cs="Arial" w:eastAsia="Arial" w:hAnsi="Arial"/>
          <w:sz w:val="16"/>
          <w:szCs w:val="16"/>
          <w:b w:val="1"/>
          <w:bCs w:val="1"/>
          <w:color w:val="auto"/>
        </w:rPr>
        <w:t>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7145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0"/>
          <w:szCs w:val="20"/>
          <w:color w:val="auto"/>
        </w:rPr>
      </w:pPr>
    </w:p>
    <w:p>
      <w:pPr>
        <w:ind w:firstLine="444"/>
        <w:spacing w:after="0" w:line="277" w:lineRule="auto"/>
        <w:tabs>
          <w:tab w:leader="none" w:pos="864" w:val="left"/>
        </w:tabs>
        <w:numPr>
          <w:ilvl w:val="0"/>
          <w:numId w:val="340"/>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391795</wp:posOffset>
            </wp:positionV>
            <wp:extent cx="6997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606425</wp:posOffset>
            </wp:positionV>
            <wp:extent cx="6997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829310</wp:posOffset>
            </wp:positionV>
            <wp:extent cx="6997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626"/>
        <w:spacing w:after="0"/>
        <w:tabs>
          <w:tab w:leader="none" w:pos="720" w:val="left"/>
        </w:tabs>
        <w:numPr>
          <w:ilvl w:val="0"/>
          <w:numId w:val="341"/>
        </w:numPr>
        <w:rPr>
          <w:rFonts w:ascii="Arial" w:cs="Arial" w:eastAsia="Arial" w:hAnsi="Arial"/>
          <w:sz w:val="18"/>
          <w:szCs w:val="18"/>
          <w:u w:val="single" w:color="auto"/>
          <w:color w:val="auto"/>
        </w:rPr>
      </w:pPr>
      <w:r>
        <w:rPr>
          <w:rFonts w:ascii="Arial" w:cs="Arial" w:eastAsia="Arial" w:hAnsi="Arial"/>
          <w:sz w:val="18"/>
          <w:szCs w:val="18"/>
          <w:color w:val="auto"/>
        </w:rPr>
        <w:t>No materials or documents.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Sheila Gujrathi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color w:val="auto"/>
        </w:rPr>
        <w:t>Exhibit 10.9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Services,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Faheem Hasnain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4840 Rancho Del Mar Trail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Hasnain:</w:t>
      </w:r>
    </w:p>
    <w:p>
      <w:pPr>
        <w:spacing w:after="0" w:line="22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I am pleased to offer you a position with Gossamer Bio Services, Inc. (“</w:t>
      </w:r>
      <w:r>
        <w:rPr>
          <w:rFonts w:ascii="Arial" w:cs="Arial" w:eastAsia="Arial" w:hAnsi="Arial"/>
          <w:sz w:val="17"/>
          <w:szCs w:val="17"/>
          <w:u w:val="single" w:color="auto"/>
          <w:color w:val="auto"/>
        </w:rPr>
        <w:t>Gossamer Services</w:t>
      </w:r>
      <w:r>
        <w:rPr>
          <w:rFonts w:ascii="Arial" w:cs="Arial" w:eastAsia="Arial" w:hAnsi="Arial"/>
          <w:sz w:val="17"/>
          <w:szCs w:val="17"/>
          <w:color w:val="auto"/>
        </w:rPr>
        <w:t>”), a wholly-owned subsidiary of Gossamer Bio, Inc. (“</w:t>
      </w:r>
      <w:r>
        <w:rPr>
          <w:rFonts w:ascii="Arial" w:cs="Arial" w:eastAsia="Arial" w:hAnsi="Arial"/>
          <w:sz w:val="17"/>
          <w:szCs w:val="17"/>
          <w:u w:val="single" w:color="auto"/>
          <w:color w:val="auto"/>
        </w:rPr>
        <w:t>Parent</w:t>
      </w:r>
      <w:r>
        <w:rPr>
          <w:rFonts w:ascii="Arial" w:cs="Arial" w:eastAsia="Arial" w:hAnsi="Arial"/>
          <w:sz w:val="17"/>
          <w:szCs w:val="17"/>
          <w:color w:val="auto"/>
        </w:rPr>
        <w:t>” and together with Gossamer Services,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working out of the Company’s headquarters located in San Diego, California, effective as of the Effective Date. Outlined below are the terms of this offer letter (“</w:t>
      </w:r>
      <w:r>
        <w:rPr>
          <w:rFonts w:ascii="Arial" w:cs="Arial" w:eastAsia="Arial" w:hAnsi="Arial"/>
          <w:sz w:val="17"/>
          <w:szCs w:val="17"/>
          <w:u w:val="single" w:color="auto"/>
          <w:color w:val="auto"/>
        </w:rPr>
        <w:t>Offer Letter</w:t>
      </w:r>
      <w:r>
        <w:rPr>
          <w:rFonts w:ascii="Arial" w:cs="Arial" w:eastAsia="Arial" w:hAnsi="Arial"/>
          <w:sz w:val="17"/>
          <w:szCs w:val="17"/>
          <w:color w:val="auto"/>
        </w:rPr>
        <w:t>”) for your review.</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as of January 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you will be employed by Gossamer Services, on a full-time basis, as its Chief Executive Officer and to serve as an officer with those same positions of Parent. You shall have all the duties, responsibilities and authority commensurate with these positions, subject to the supervision of, and reporting directly to, Parent’s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For the avoidance of doubt, all references in this Offer Letter to your “employment with the Company”, shall include your employment with the Company and any of its affiliates and subsidiaries, as applicable.</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the Effective Date, you shall continue to serve as Chairman of the Board (subject to formal Board approval), to hold such position for so long as you serve as Chief Executive Officer or Executive Chairman of the Company, or until your earlier resignation or removal. It is the Board’s expectation that you will become the Company’s Executive Chairman of the Board upon the earlier of (i) 90 days after the initial closing (the “</w:t>
      </w:r>
      <w:r>
        <w:rPr>
          <w:rFonts w:ascii="Arial" w:cs="Arial" w:eastAsia="Arial" w:hAnsi="Arial"/>
          <w:sz w:val="17"/>
          <w:szCs w:val="17"/>
          <w:u w:val="single" w:color="auto"/>
          <w:color w:val="auto"/>
        </w:rPr>
        <w:t>Next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w:t>
      </w:r>
      <w:r>
        <w:rPr>
          <w:rFonts w:ascii="Arial" w:cs="Arial" w:eastAsia="Arial" w:hAnsi="Arial"/>
          <w:sz w:val="17"/>
          <w:szCs w:val="17"/>
          <w:color w:val="auto"/>
        </w:rPr>
        <w:t>”) of the sale of shares of preferred stock (other than Series A Preferred Stock (as defined in that certain Series A Convertible Preferred Stock Purchase Agreement, dated on or about the date hereof (the “</w:t>
      </w:r>
      <w:r>
        <w:rPr>
          <w:rFonts w:ascii="Arial" w:cs="Arial" w:eastAsia="Arial" w:hAnsi="Arial"/>
          <w:sz w:val="17"/>
          <w:szCs w:val="17"/>
          <w:u w:val="single" w:color="auto"/>
          <w:color w:val="auto"/>
        </w:rPr>
        <w:t>SPA</w:t>
      </w:r>
      <w:r>
        <w:rPr>
          <w:rFonts w:ascii="Arial" w:cs="Arial" w:eastAsia="Arial" w:hAnsi="Arial"/>
          <w:sz w:val="17"/>
          <w:szCs w:val="17"/>
          <w:color w:val="auto"/>
        </w:rPr>
        <w:t>”)) or similar investment security by the Company following the Closing (as defined in the SPA) (such sale of shares, the “</w:t>
      </w:r>
      <w:r>
        <w:rPr>
          <w:rFonts w:ascii="Arial" w:cs="Arial" w:eastAsia="Arial" w:hAnsi="Arial"/>
          <w:sz w:val="17"/>
          <w:szCs w:val="17"/>
          <w:u w:val="single" w:color="auto"/>
          <w:color w:val="auto"/>
        </w:rPr>
        <w:t>Next Financing</w:t>
      </w:r>
      <w:r>
        <w:rPr>
          <w:rFonts w:ascii="Arial" w:cs="Arial" w:eastAsia="Arial" w:hAnsi="Arial"/>
          <w:sz w:val="17"/>
          <w:szCs w:val="17"/>
          <w:color w:val="auto"/>
        </w:rPr>
        <w:t>”) (ii) the Company or any of its affiliates or subsidiaries filing a Registration Statement on Form S-1 with the Securities Exchange Commission under the Securities Act of 1933, as amended, for a firm commitment underwriting of the Common Shares of the Company (the “</w:t>
      </w:r>
      <w:r>
        <w:rPr>
          <w:rFonts w:ascii="Arial" w:cs="Arial" w:eastAsia="Arial" w:hAnsi="Arial"/>
          <w:sz w:val="17"/>
          <w:szCs w:val="17"/>
          <w:u w:val="single" w:color="auto"/>
          <w:color w:val="auto"/>
        </w:rPr>
        <w:t>IPO</w:t>
      </w:r>
      <w:r>
        <w:rPr>
          <w:rFonts w:ascii="Arial" w:cs="Arial" w:eastAsia="Arial" w:hAnsi="Arial"/>
          <w:sz w:val="17"/>
          <w:szCs w:val="17"/>
          <w:color w:val="auto"/>
        </w:rPr>
        <w:t xml:space="preserve">”), and (iii) Sheila Gujrathi being appointed as the Company’s Chief Executive Officer. Upon your cessation of service in an executive and Executive Chairman role with the Company you shall be deemed to have voluntarily resigned from the Board, effective immediately,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nothing contained herein shall adversely affect your rights under, or your ability to be elected to the Board pursuant to, any voting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Parent to which you are a party, or by vote of any Common Shares that you may own directly or indirectly, and if at the time of cessation of your service in an executive role you are serving on the Board pursuant to an election under the provisions of such voting agreement, you will not be deemed to have voluntarily resigned from the Board.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agree to perform the duties and responsibilities of your positions, and such other duties and responsibilities as shall from time to time be mutually agreed upon between you and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13" w:name="page514"/>
    <w:bookmarkEnd w:id="513"/>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You agree that, while employed by the Company, you will devote substantially all of your 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it is agreed that you may (i) serve on outside boards on which you serve as of the Effective Date and which are listed on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as otherwise approved by the Board following the Effective Date, (ii) serve on the boards of directors of non-profit organizations;</w:t>
      </w:r>
    </w:p>
    <w:p>
      <w:pPr>
        <w:spacing w:after="0" w:line="2" w:lineRule="exact"/>
        <w:rPr>
          <w:sz w:val="20"/>
          <w:szCs w:val="20"/>
          <w:color w:val="auto"/>
        </w:rPr>
      </w:pPr>
    </w:p>
    <w:p>
      <w:pPr>
        <w:ind w:right="300" w:firstLine="4"/>
        <w:spacing w:after="0" w:line="254" w:lineRule="auto"/>
        <w:tabs>
          <w:tab w:leader="none" w:pos="31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participate in charitable, civic, educational, professional, community or industry affairs, and (iv) manage your personal investments to the extent such activities do not individually or in the aggregate interfere with your duties and responsibilities to the Company or create an actual or potential conflict of interest with the Company’s business. You agree to abide by the rules, regulations, instructions, personnel practices and policies of the Company, as adopted and amended from time to time by the Company.</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will receive an annual base salary of $475,000, less applicable tax and other withholdings and deductions, payable in accordance with the normal payroll practices of the Company in effect from time to time.</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Your performance will be reviewed by the Compensation Committee of the Board on an annual basis in conjunction with an annual salary review. Commencing with calendar year 2018, you will be eligible to receive an annual cash incentive bonus with a target amount equal to 50% of your then-current annual base salary. Your bonus in respect of 2018, and any future bonuses, will be subject to the terms of the applicable bonus plan developed and approved by the Board or the Compensation Committee of the Board in consultation with you. Any bonus awarded will be paid, subject to required withholdings and deductions, on or before March 15 of the calendar year immediately following the year for which the bonus was awarded, subject to your employment at the end of the calendar year for which the bonus is due, except as otherwise expressly provided for herein.</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the Closing, you or your affiliate(s) (including, without limitation, trusts for the benefit of you or your family members) hold, in the aggregate, 20,612,000 shares (the “</w:t>
      </w:r>
      <w:r>
        <w:rPr>
          <w:rFonts w:ascii="Arial" w:cs="Arial" w:eastAsia="Arial" w:hAnsi="Arial"/>
          <w:sz w:val="17"/>
          <w:szCs w:val="17"/>
          <w:u w:val="single" w:color="auto"/>
          <w:color w:val="auto"/>
        </w:rPr>
        <w:t>Founder’s Equity</w:t>
      </w:r>
      <w:r>
        <w:rPr>
          <w:rFonts w:ascii="Arial" w:cs="Arial" w:eastAsia="Arial" w:hAnsi="Arial"/>
          <w:sz w:val="17"/>
          <w:szCs w:val="17"/>
          <w:color w:val="auto"/>
        </w:rPr>
        <w:t>”) of the Company’s Common Stock, $0.0001 par value per share (“</w:t>
      </w:r>
      <w:r>
        <w:rPr>
          <w:rFonts w:ascii="Arial" w:cs="Arial" w:eastAsia="Arial" w:hAnsi="Arial"/>
          <w:sz w:val="17"/>
          <w:szCs w:val="17"/>
          <w:u w:val="single" w:color="auto"/>
          <w:color w:val="auto"/>
        </w:rPr>
        <w:t>Common Shares</w:t>
      </w:r>
      <w:r>
        <w:rPr>
          <w:rFonts w:ascii="Arial" w:cs="Arial" w:eastAsia="Arial" w:hAnsi="Arial"/>
          <w:sz w:val="17"/>
          <w:szCs w:val="17"/>
          <w:color w:val="auto"/>
        </w:rPr>
        <w:t>”), representing seventeen and one-half percent (17.5%) of the Company’s fully diluted capitalization. You hereby agree and acknowledge that notwithstanding (i) any agreements between yourself and any third party relating to the Founder’s Equity which were in effect prior to the date of the Closing, and (ii) any documents governing the terms and conditions of the Founder’s Equity which were in effect prior to the date of the Closing (collectively, the “</w:t>
      </w:r>
      <w:r>
        <w:rPr>
          <w:rFonts w:ascii="Arial" w:cs="Arial" w:eastAsia="Arial" w:hAnsi="Arial"/>
          <w:sz w:val="17"/>
          <w:szCs w:val="17"/>
          <w:u w:val="single" w:color="auto"/>
          <w:color w:val="auto"/>
        </w:rPr>
        <w:t>Prior Agreements</w:t>
      </w:r>
      <w:r>
        <w:rPr>
          <w:rFonts w:ascii="Arial" w:cs="Arial" w:eastAsia="Arial" w:hAnsi="Arial"/>
          <w:sz w:val="17"/>
          <w:szCs w:val="17"/>
          <w:color w:val="auto"/>
        </w:rPr>
        <w:t>”), effective as of the Closing, fifty percent (50%) of the Founder’s Equity held by you shall be subject to vesting (the “</w:t>
      </w:r>
      <w:r>
        <w:rPr>
          <w:rFonts w:ascii="Arial" w:cs="Arial" w:eastAsia="Arial" w:hAnsi="Arial"/>
          <w:sz w:val="17"/>
          <w:szCs w:val="17"/>
          <w:u w:val="single" w:color="auto"/>
          <w:color w:val="auto"/>
        </w:rPr>
        <w:t>Restricted Shares</w:t>
      </w:r>
      <w:r>
        <w:rPr>
          <w:rFonts w:ascii="Arial" w:cs="Arial" w:eastAsia="Arial" w:hAnsi="Arial"/>
          <w:sz w:val="17"/>
          <w:szCs w:val="17"/>
          <w:color w:val="auto"/>
        </w:rPr>
        <w:t>”) on the following terms: twenty percent (20%) of the Restricted Shares will vest on the first anniversary of the date of the Closing and the remainder of the Restricted Shares will vest in forty-eight (48) substantially equal monthly installments thereafter, subject to your continued provision of services to the Company as a full-time employee on each applicable date, except as otherwise provided for herein.</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Within thirty (30) days following the date of the Closing, the Company will grant you (at no additional cost) 1,131,962 restricted Common Shares (or at your option, an alternative equity grant structure that complies with or is exempt from Internal Revenue Code Section 409A and the regulations and guidance promulgated thereunder (collectively “</w:t>
      </w:r>
      <w:r>
        <w:rPr>
          <w:rFonts w:ascii="Arial" w:cs="Arial" w:eastAsia="Arial" w:hAnsi="Arial"/>
          <w:sz w:val="17"/>
          <w:szCs w:val="17"/>
          <w:u w:val="single" w:color="auto"/>
          <w:color w:val="auto"/>
        </w:rPr>
        <w:t>Section 409A</w:t>
      </w:r>
      <w:r>
        <w:rPr>
          <w:rFonts w:ascii="Arial" w:cs="Arial" w:eastAsia="Arial" w:hAnsi="Arial"/>
          <w:sz w:val="17"/>
          <w:szCs w:val="17"/>
          <w:color w:val="auto"/>
        </w:rPr>
        <w:t>”) mutually agreed to by you and the Company) (the “</w:t>
      </w:r>
      <w:r>
        <w:rPr>
          <w:rFonts w:ascii="Arial" w:cs="Arial" w:eastAsia="Arial" w:hAnsi="Arial"/>
          <w:sz w:val="17"/>
          <w:szCs w:val="17"/>
          <w:u w:val="single" w:color="auto"/>
          <w:color w:val="auto"/>
        </w:rPr>
        <w:t>Anti-Dilution Shares</w:t>
      </w:r>
      <w:r>
        <w:rPr>
          <w:rFonts w:ascii="Arial" w:cs="Arial" w:eastAsia="Arial" w:hAnsi="Arial"/>
          <w:sz w:val="17"/>
          <w:szCs w:val="17"/>
          <w:color w:val="auto"/>
        </w:rPr>
        <w:t>”), which represents the amount of additional shares necessary so that the total number of Common Shares held by you and your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14" w:name="page515"/>
    <w:bookmarkEnd w:id="51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affiliate(s) (including Founder’s Equity, both vested and unvested) and any Common Shares issued under or subject to any other Company equity award held by you, plus the Anti-Dilution Shares, would represent fifteen percent (15%) of the Company’s fully diluted capitalization assuming a further equity financing by the Company following the Closing raising gross proceeds of $100 million on a $500 million pre-money valuation and an increase in the number of shares reserved for issuance under the Company’s equity incentive plans to five percent (5%) of the fully diluted capitalization as of the Anti-Dilution Termination Date (which 5% shall include all shares previously issued under any of the Company’s equity incentive plans and all shares available for issuance thereunder). The Anti-Dilution Shares will be adjusted in the future, if necessary, at no additional cost, in an amount up (either in restricted Common Shares, or at your option, an alternative equity grant structure that complies with or is exempt from Code Section 409A mutually agreed to by you and the Company) or down, to account for the actual issuance of equity by the Company in the Next Financing such that the total ownership position by you and your affiliate(s) (including Founder’s Equity, both vested and unvested, and any Common Shares issued under or subject to any other Company equity award issued to you) on the Anti-Dilution Termination Date (as defined below) is fifteen percent (15%) of the Company’s fully diluted capitalization based on the actual capitalization of the Company on the Anti-Dilution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the fully diluted capitalization of the Company on the Anti-Dilution Termination Date, (x) any increase in the number of Common Shares reserved for issuance and/or issued under any of the Company’s equity incentive plans following the Closing in excess of five percent (5%) of the fully diluted capitalization of the Company on the Anti-Dilution Termination Date and (y) any shares issued in connection with any acquisitions, licenses, strategic partnerships, collaborations or other corporate transactions shall be disregarded, and </w:t>
      </w:r>
      <w:r>
        <w:rPr>
          <w:rFonts w:ascii="Arial" w:cs="Arial" w:eastAsia="Arial" w:hAnsi="Arial"/>
          <w:sz w:val="16"/>
          <w:szCs w:val="16"/>
          <w:i w:val="1"/>
          <w:iCs w:val="1"/>
          <w:color w:val="auto"/>
        </w:rPr>
        <w:t>provided further</w:t>
      </w:r>
      <w:r>
        <w:rPr>
          <w:rFonts w:ascii="Arial" w:cs="Arial" w:eastAsia="Arial" w:hAnsi="Arial"/>
          <w:sz w:val="16"/>
          <w:szCs w:val="16"/>
          <w:color w:val="auto"/>
        </w:rPr>
        <w:t>, if you or your affiliate(s) sell, transfer or otherwise dispose of any such equity in the Company prior to the Anti-Dilution Termination Date, the fifteen percent (15%) capitalization referred to in this paragraph shall be calculated as if such sale, transfer or other disposition had not occurred. The Anti-Dilution Shares shall be subject to vesting, and shall vest on the same schedule as the Founders Equity, assuming the date of the issuance of any Anti-Dilution Shares is considered the Closing for purposes of determining the portion of the Anti-Dilution Shares vested upon issuance and schedule for the vesting of the remaining Anti-Dilution Shares. For example, an issuance of Anti-Dilution Shares on the 30th day following the Closing would be fifty percent (50%) vested on issuance, and the remaining fifty percent (50%) would vest twenty percent (20%) (i.e., ten percent (10%) of all Anti-Dilution Shares) on the first anniversary of the Closing and the balance would vest in forty-eight (48) substantially equal monthly installments thereafter, subject to your continued provision of services to the Company as a full-time employee on each applicable date, except as otherwise provided herein. Notwithstanding anything herein to the contrary and for the avoidance of doubt, you hereby agree that your right to the Anti-Dilution Shares shall be non-transferrable other than by will or the laws of descent and distribution. As used herein, the “</w:t>
      </w:r>
      <w:r>
        <w:rPr>
          <w:rFonts w:ascii="Arial" w:cs="Arial" w:eastAsia="Arial" w:hAnsi="Arial"/>
          <w:sz w:val="16"/>
          <w:szCs w:val="16"/>
          <w:u w:val="single" w:color="auto"/>
          <w:color w:val="auto"/>
        </w:rPr>
        <w:t>Anti-Dilution Termination Date</w:t>
      </w:r>
      <w:r>
        <w:rPr>
          <w:rFonts w:ascii="Arial" w:cs="Arial" w:eastAsia="Arial" w:hAnsi="Arial"/>
          <w:sz w:val="16"/>
          <w:szCs w:val="16"/>
          <w:color w:val="auto"/>
        </w:rPr>
        <w:t>” shall be the earliest to occur of the following: (i) the Company raising $300 million in equity capital (including, for the avoidance of doubt, all amounts raised under the SPA and $20 million in respect of the capital raised in AA BioPharma), (ii) the date immediately prior to the pricing of the IPO, (iii) a termination of your full-time employment with the Company for any reason, (iv) the date on which you cease to own any equity in the Company (other than the Anti-Dilution Shares), or (v) consummation of a Change in Control. Any Anti-Dilution Shares held by you that are in excess of the number of Common Shares necessary to retain your fifteen percent (15%) ownership as of the Anti-Dilution Termination Date (including, for the avoidance of doubt, Founder’s Equity, both vested and unvested, and any Common Shares issued under or subject to any other Company equity award issued to you) as provided in this paragraph shall be forfeited by you to the Company for no consideration as of such Anti-Dilution Termination Date.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15" w:name="page516"/>
    <w:bookmarkEnd w:id="51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above, in the event that during the time period between the Closing and the date immediately prior to the pricing of the IPO the aggregate number of shares of capital stock of the Company then outstanding (on a fully-diluted basis) has increased by less than seventeen and one half percent (17.5%) (the “</w:t>
      </w:r>
      <w:r>
        <w:rPr>
          <w:rFonts w:ascii="Arial" w:cs="Arial" w:eastAsia="Arial" w:hAnsi="Arial"/>
          <w:sz w:val="16"/>
          <w:szCs w:val="16"/>
          <w:u w:val="single" w:color="auto"/>
          <w:color w:val="auto"/>
        </w:rPr>
        <w:t>Capitalization Target</w:t>
      </w:r>
      <w:r>
        <w:rPr>
          <w:rFonts w:ascii="Arial" w:cs="Arial" w:eastAsia="Arial" w:hAnsi="Arial"/>
          <w:sz w:val="16"/>
          <w:szCs w:val="16"/>
          <w:color w:val="auto"/>
        </w:rPr>
        <w:t>”) from the number of shares of capital stock of the Company outstanding (on a fully-diluted basis) as of immediately following the Closing (excluding the issuance of (i) any Anti-Dilution Shares, (ii) any Common Shares issued as compensation to members of the Board or the Scientific Advisory Board of the Company and (iii) any shares issued in connection with any acquisitions, licenses, strategic partnerships, collaborations or other corporate transactions), or if, notwithstanding the failure to meet the Capitalization Target, the Board determines in its sole discretion that the terms and amount of any equity financings following the Closing are extremely favorable to the Company, then the Company shall make a one-time grant of restricted Common Shares or at your option, an alternative equity grant structure that complies with or is exempt from Code Section 409A mutually agreed to by you and the Company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at no additional cost equal to one percent (1%) of fully-diluted capitalization of the Company immediately prior to the grant of such Additional Shares, which shares will vest in forty-eight (48) substantially equal monthly installments commencing one (1) month after the date of grant.</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Notwithstanding anything to the contrary, the Common Shares subject to any grant of Anti-Dilution Shares and Additional Shares, if any, will be issued to you solely in consideration for your past and future services to the Company and its subsidiaries and affiliates. You acknowledge and agree that you may file an election to recognize tax liability (including the filing of an election under Section 83(b) of the Internal Revenue Code (an “</w:t>
      </w:r>
      <w:r>
        <w:rPr>
          <w:rFonts w:ascii="Arial" w:cs="Arial" w:eastAsia="Arial" w:hAnsi="Arial"/>
          <w:sz w:val="16"/>
          <w:szCs w:val="16"/>
          <w:u w:val="single" w:color="auto"/>
          <w:color w:val="auto"/>
        </w:rPr>
        <w:t>83(b) Election</w:t>
      </w:r>
      <w:r>
        <w:rPr>
          <w:rFonts w:ascii="Arial" w:cs="Arial" w:eastAsia="Arial" w:hAnsi="Arial"/>
          <w:sz w:val="16"/>
          <w:szCs w:val="16"/>
          <w:color w:val="auto"/>
        </w:rPr>
        <w:t>”)) within thirty (30) days following the date of any such grant if applicable. Subject to you timely filing an 83(b) Election with the Internal Revenue Service, promptly following delivery of a copy of such 83(b) Election to the Company, you and the Company will enter into a non-recourse promissory note and security agreement with respect to the Anti-Dilution Shares (in the forms agreed to by you and the Company), pursuant to which the Company will lend you an amount necessary for you to pay all applicable income and employment taxes on the fair market value of the property with respect to which you filed such Section 83(b) Election, up to a maximum loan amount of $1,000,000, and the amount of such taxes (whether greater or less than $1,000,000) will be withheld by the Company to satisfy the income and employment tax withholding obligations incurred in connection with such 83(b) Election. Such loan shall be due and payable in full upon the earliest of (i) ten (10) business days prior to the initial public submission of a registration statement on Form S-1 in connection with the IPO; (ii) a Change in Control; (iii) the fifth anniversary of the date of such loan; or (iv) immediately prior to such loan becoming prohibited under Section 13(k) of the Securities Exchange Act of 1934, as amended.</w:t>
      </w:r>
    </w:p>
    <w:p>
      <w:pPr>
        <w:spacing w:after="0" w:line="16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You hereby agree and acknowledge that notwithstanding any provisions in the Prior Agreements to the contrary, except as otherwise expressly set forth in this Offer Letter, upon the termination of your full-time employment with the Company for any reason, all Restricted Shares, Anti-Dilution Shares, and Additional Shares that are unvested as of such date shall be forfeited by you for no consideration immediately upon such termination.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This Offer Letter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you elect to terminate your employment without Good Reason, you agree to provide the Company with 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516" w:name="page517"/>
    <w:bookmarkEnd w:id="516"/>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least thirty (30) days’ advance written notice. Although your job duties, title, compensation and benefits, as well as the Company’s personnel policies and procedures, may change from time to time, the “at-will” nature of your employment may only be changed by a written agreement signed by you and a member of the Board, which expressly states the intention to modify the at-will nature of your employment.</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Similarly, nothing in this Offer Letter shall be construed as an agreement, either express or implied, to pay you any compensation or grant you any benefit beyond the end of your employment with the Company, except as otherwise explicitly set forth herein. This Offer Letter supersedes all prior understandings, whether written or oral, relating to the terms of your employment. Your employment and this Offer Letter will be governed by the laws of the State of California, without reference to conflicts of laws principles which would result in the application of the law of any other jurisdiction.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the event your employment with the Company ever terminates, on your last day of employment, you will receive your base salary and all accrued but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unused vacation time through the last day of your employment, in accordance with the Company’s then-current payroll policies and practices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Payment</w:t>
      </w:r>
      <w:r>
        <w:rPr>
          <w:rFonts w:ascii="Arial" w:cs="Arial" w:eastAsia="Arial" w:hAnsi="Arial"/>
          <w:sz w:val="17"/>
          <w:szCs w:val="17"/>
          <w:color w:val="auto"/>
        </w:rPr>
        <w:t>”). Without otherwise limiting the “at-will” nature of your employment, in the event your employment is terminated at any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(or any of its subsidiaries or affiliates, as applicable, or any of their respective successors or assigns) without Cause (excluding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 of your death and Disability) or by you for Good Reason in each case prior to a Change in Control, then, subject to your remaining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consulting services to the Company as reasonably requested by the Board upon reasonable notice, in addition to the Termination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provide the following payments and benefits (“</w:t>
      </w:r>
      <w:r>
        <w:rPr>
          <w:rFonts w:ascii="Arial" w:cs="Arial" w:eastAsia="Arial" w:hAnsi="Arial"/>
          <w:sz w:val="16"/>
          <w:szCs w:val="16"/>
          <w:u w:val="single" w:color="auto"/>
          <w:color w:val="auto"/>
        </w:rPr>
        <w:t>Severance Benefits</w:t>
      </w:r>
      <w:r>
        <w:rPr>
          <w:rFonts w:ascii="Arial" w:cs="Arial" w:eastAsia="Arial" w:hAnsi="Arial"/>
          <w:sz w:val="16"/>
          <w:szCs w:val="16"/>
          <w:color w:val="auto"/>
        </w:rPr>
        <w:t>”): (i) continued payment of your base salary at the then-current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pay period, reduced by all applicable taxes and withholdings, for a period of twelve (12) months following your termination date,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then-current payroll policies and practices, (ii) payment of an incentive bonus amount (which assumes the achievement of annual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pro-rated for the portion of the then-current calendar year during which you were employed by the Company, within sixty (60) days following the last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 of your employment, (iii) the Anti-Dilution Termination Date shall be extended to the date that is twelve (12) months from such termination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for purposes of determining any adjustment of Anti-Dilution Shares or the issuance of Additional Shares, and the vesting of any Anti-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Dilution Shares and Additional Shares issued to you shall be accelerated for twelve (12) months of additional vesting from the date of such termination,</w:t>
      </w:r>
    </w:p>
    <w:p>
      <w:pPr>
        <w:spacing w:after="0" w:line="32" w:lineRule="exact"/>
        <w:rPr>
          <w:sz w:val="20"/>
          <w:szCs w:val="20"/>
          <w:color w:val="auto"/>
        </w:rPr>
      </w:pPr>
    </w:p>
    <w:p>
      <w:pPr>
        <w:ind w:right="280" w:firstLine="4"/>
        <w:spacing w:after="0" w:line="281" w:lineRule="auto"/>
        <w:tabs>
          <w:tab w:leader="none" w:pos="30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acceleration for twelve (12) months of additional vesting of any unvested portion of any equity awards then held by you (other than the Anti-Dilution Shares and Additional Shares which are addressed in (iii) above), including, without limitation, the Restricted Shares; and (v) provided you timely elect and remain eligible for coverage pursuant to Part 6 of Title I of ERISA, or similar state law (collectively, “</w:t>
      </w:r>
      <w:r>
        <w:rPr>
          <w:rFonts w:ascii="Arial" w:cs="Arial" w:eastAsia="Arial" w:hAnsi="Arial"/>
          <w:sz w:val="16"/>
          <w:szCs w:val="16"/>
          <w:u w:val="single" w:color="auto"/>
          <w:color w:val="auto"/>
        </w:rPr>
        <w:t>COBRA</w:t>
      </w:r>
      <w:r>
        <w:rPr>
          <w:rFonts w:ascii="Arial" w:cs="Arial" w:eastAsia="Arial" w:hAnsi="Arial"/>
          <w:sz w:val="16"/>
          <w:szCs w:val="16"/>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twelve (12) months following such date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the date you become eligible for coverage under a subsequent employer’s medical plan.</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your employment is terminated at any time by the Company (or any of its subsidiaries or affiliates, as applicable, or any of their respective successors or assigns)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17" w:name="page518"/>
    <w:bookmarkEnd w:id="517"/>
    <w:p>
      <w:pPr>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 (excluding by reason of your death and Disability) or by you for Good Reason in each case on or within twelve (12) months after a Change in Control, then, in addition to the Termination Payment, the Company shall provide the following payments and benefits (“</w:t>
      </w:r>
      <w:r>
        <w:rPr>
          <w:rFonts w:ascii="Arial" w:cs="Arial" w:eastAsia="Arial" w:hAnsi="Arial"/>
          <w:sz w:val="16"/>
          <w:szCs w:val="16"/>
          <w:u w:val="single" w:color="auto"/>
          <w:color w:val="auto"/>
        </w:rPr>
        <w:t>Change in Control 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Benefits</w:t>
      </w:r>
      <w:r>
        <w:rPr>
          <w:rFonts w:ascii="Arial" w:cs="Arial" w:eastAsia="Arial" w:hAnsi="Arial"/>
          <w:sz w:val="16"/>
          <w:szCs w:val="16"/>
          <w:color w:val="auto"/>
        </w:rPr>
        <w:t>”): (i) continued payment of your base salary at the then-current rate per pay period, reduced by all applicable taxes and withholdings, for a period of eighteen (18) months following your termination date, in accordance with the Company’s then-current payroll policies and practices,</w:t>
      </w:r>
    </w:p>
    <w:p>
      <w:pPr>
        <w:spacing w:after="0" w:line="2" w:lineRule="exact"/>
        <w:rPr>
          <w:sz w:val="20"/>
          <w:szCs w:val="20"/>
          <w:color w:val="auto"/>
        </w:rPr>
      </w:pPr>
    </w:p>
    <w:p>
      <w:pPr>
        <w:ind w:firstLine="4"/>
        <w:spacing w:after="0" w:line="286" w:lineRule="auto"/>
        <w:tabs>
          <w:tab w:leader="none" w:pos="2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payment of an incentive bonus amount (which assumes the achievement of annual targets) pro-rated for the portion of the then-current calendar year during which you were employed by the Company, within sixty (60) days following the last day of your employment,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eighteen (18) 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event your employment is terminated at any time by the Company (or any of its subsidiaries or affiliates, as applicable, or any of their respective successors or assigns) by reason of your death or Disability, then, in addition to the Termination Payment, (x) the Anti-Dilution Termination Date shall be extended to the date that is twelve (12) months from such termination of employment for purposes of determining any adjustment of Anti-Dilution Shares or the issuance of Additional Shares and (y) the Company shall provide that the greater of (i) fifty percent (50%) of the unvested portion of any equity awards then held by you immediately prior to such termination or issued to you during such extended Anti-Dilution Termination Date (including, without limitation, the Restricted Shares, Anti-Dilution Shares, and Additional Shares, if any) and (ii) the portion of such equity awards that would have otherwise vested in the (12) month period following the date of such termination of employment, shall vest and shall no longer be subject to restrictions or forfeiture on the date of such termination (“</w:t>
      </w:r>
      <w:r>
        <w:rPr>
          <w:rFonts w:ascii="Arial" w:cs="Arial" w:eastAsia="Arial" w:hAnsi="Arial"/>
          <w:sz w:val="17"/>
          <w:szCs w:val="17"/>
          <w:u w:val="single" w:color="auto"/>
          <w:color w:val="auto"/>
        </w:rPr>
        <w:t>Qualified Accelerated Vesting</w:t>
      </w:r>
      <w:r>
        <w:rPr>
          <w:rFonts w:ascii="Arial" w:cs="Arial" w:eastAsia="Arial" w:hAnsi="Arial"/>
          <w:sz w:val="17"/>
          <w:szCs w:val="17"/>
          <w:color w:val="auto"/>
        </w:rPr>
        <w:t>”).</w:t>
      </w:r>
    </w:p>
    <w:p>
      <w:pPr>
        <w:spacing w:after="0" w:line="1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6"/>
          <w:szCs w:val="16"/>
          <w:u w:val="single" w:color="auto"/>
          <w:color w:val="auto"/>
        </w:rPr>
        <w:t>Termination Benefits</w:t>
      </w:r>
      <w:r>
        <w:rPr>
          <w:rFonts w:ascii="Arial" w:cs="Arial" w:eastAsia="Arial" w:hAnsi="Arial"/>
          <w:sz w:val="16"/>
          <w:szCs w:val="16"/>
          <w:color w:val="auto"/>
        </w:rPr>
        <w:t xml:space="preserve">”) unless, within sixty (60) 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such changes to form to help ensure enforceability under applicable law) and any revocation period thereunder has lapsed without exercise by you (or your legal representatives) of such revocation right.</w:t>
      </w:r>
    </w:p>
    <w:p>
      <w:pPr>
        <w:spacing w:after="0" w:line="15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Termination Benefits shall be paid or commence on the first payroll period following the date the release becomes effective (the “</w:t>
      </w:r>
      <w:r>
        <w:rPr>
          <w:rFonts w:ascii="Arial" w:cs="Arial" w:eastAsia="Arial" w:hAnsi="Arial"/>
          <w:sz w:val="17"/>
          <w:szCs w:val="17"/>
          <w:u w:val="single" w:color="auto"/>
          <w:color w:val="auto"/>
        </w:rPr>
        <w:t>Payment Date</w:t>
      </w:r>
      <w:r>
        <w:rPr>
          <w:rFonts w:ascii="Arial" w:cs="Arial" w:eastAsia="Arial" w:hAnsi="Arial"/>
          <w:sz w:val="17"/>
          <w:szCs w:val="17"/>
          <w:color w:val="auto"/>
        </w:rPr>
        <w:t>”) and the first payment shall include all accrued amounts from the date of termination, provided that if the period during which you may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18" w:name="page519"/>
    <w:bookmarkEnd w:id="5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the release required hereunder spans two (2) calendar years, the Payment Date shall be no earlier than January 1 of the second calendar year.</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purposes of this Offer Letter,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the Gossamer Bio, Inc. 2017 Equity Incentive Plan, as in effect on the Effective Date (the “</w:t>
      </w:r>
      <w:r>
        <w:rPr>
          <w:rFonts w:ascii="Arial" w:cs="Arial" w:eastAsia="Arial" w:hAnsi="Arial"/>
          <w:sz w:val="18"/>
          <w:szCs w:val="18"/>
          <w:u w:val="single" w:color="auto"/>
          <w:color w:val="auto"/>
        </w:rPr>
        <w:t>Equity Plan</w:t>
      </w:r>
      <w:r>
        <w:rPr>
          <w:rFonts w:ascii="Arial" w:cs="Arial" w:eastAsia="Arial" w:hAnsi="Arial"/>
          <w:sz w:val="18"/>
          <w:szCs w:val="18"/>
          <w:color w:val="auto"/>
        </w:rPr>
        <w:t>”).</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means: (i) a willful and material act of dishonesty by you in connection with the performance of your duties as an employee of the Company; (ii) your conviction of, or plea of guilty or nolo contendere to, a felony (other than a traffic offense that does not result in a fatality), or any crime involving fraud or embezzlement that the Board reasonably determines has had or is reasonably likely to have a materially detrimental effect on the Company’s reputation or business; (iii) your gross misconduct in the performance of your duties as an employee of the Company; (iv) your willful and material unauthorized use or disclosure of any proprietary information or trade secrets of the Company or any other party to whom you owe an obligation of nondisclosure as a result of your relationship with the Company; (v) your willful and material breach of any obligations under any written agreement or written covenant with the Company; or (vi) your continued willful and substantial failure to perform your material employment duties that are lawfully assigned to you in good faith by your reporting superior (other than as a result of your death or Disability) after written 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(i) no act or failure to act on your part shall be considered “willful” unless it is done or omitted to be done by you in bad faith and without reasonable belief that the act or failure to act was in the best interest of the Company, and (ii) while you are serving on the Board, you shall take no part in any determination as to whether “Cause” exists hereunder.</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(i) a material reduction in your base salary or target annual bonus; (ii) a material diminution of your title, duties, responsibilities or reporting lines (other than your transition to Executive Chairman as contemplated above); (iii) a material change in the principal geographic location at which you must perform services, more than fifty (50) miles from the Company’s head office; (iv) a material breach by the Company of this Offer Letter.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shall have the meaning set forth in the Equity Plan.</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Any severance payments to you under this Offer Letter shall begin only after the date of your “separation from service” within the meaning of Section 409A and determined as set forth below, which occurs on or after date of the termination of your employment, and shall be subject to the following provisions: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19" w:name="page520"/>
    <w:bookmarkEnd w:id="519"/>
    <w:p>
      <w:pPr>
        <w:ind w:firstLine="444"/>
        <w:spacing w:after="0" w:line="257" w:lineRule="auto"/>
        <w:tabs>
          <w:tab w:leader="none" w:pos="787"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intent of the parties is that payments and benefits under this Offer Letter comply with, or be exempt from Section 409A and, accordingly, to the maximum extent permitted, this Offer Letter shall be interpreted to be in compliance therewith. For purposes of Section 409A, your right to receive any installment payments pursuant to this Offer Letter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8" w:lineRule="exact"/>
        <w:rPr>
          <w:rFonts w:ascii="Arial" w:cs="Arial" w:eastAsia="Arial" w:hAnsi="Arial"/>
          <w:sz w:val="18"/>
          <w:szCs w:val="18"/>
          <w:color w:val="auto"/>
        </w:rPr>
      </w:pPr>
    </w:p>
    <w:p>
      <w:pPr>
        <w:ind w:left="840" w:hanging="396"/>
        <w:spacing w:after="0"/>
        <w:tabs>
          <w:tab w:leader="none" w:pos="8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from the Company, you are not a “specified employee” (within the meaning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409A), then each installment of the severance payments shall be made on the dates and terms set forth in this Offer Letter.</w:t>
      </w:r>
    </w:p>
    <w:p>
      <w:pPr>
        <w:spacing w:after="0" w:line="211" w:lineRule="exact"/>
        <w:rPr>
          <w:sz w:val="20"/>
          <w:szCs w:val="20"/>
          <w:color w:val="auto"/>
        </w:rPr>
      </w:pPr>
    </w:p>
    <w:p>
      <w:pPr>
        <w:ind w:right="1040" w:firstLine="444"/>
        <w:spacing w:after="0" w:line="277" w:lineRule="auto"/>
        <w:tabs>
          <w:tab w:leader="none" w:pos="891"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from the Company, you are a “specified employee” (within the meaning of Section 409A), then:</w:t>
      </w:r>
    </w:p>
    <w:p>
      <w:pPr>
        <w:spacing w:after="0" w:line="170" w:lineRule="exact"/>
        <w:rPr>
          <w:rFonts w:ascii="Arial" w:cs="Arial" w:eastAsia="Arial" w:hAnsi="Arial"/>
          <w:sz w:val="18"/>
          <w:szCs w:val="18"/>
          <w:color w:val="auto"/>
        </w:rPr>
      </w:pPr>
    </w:p>
    <w:p>
      <w:pPr>
        <w:ind w:right="60" w:firstLine="885"/>
        <w:spacing w:after="0" w:line="259" w:lineRule="auto"/>
        <w:tabs>
          <w:tab w:leader="none" w:pos="1176" w:val="left"/>
        </w:tabs>
        <w:numPr>
          <w:ilvl w:val="2"/>
          <w:numId w:val="346"/>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Offer Letter,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 shall be paid on the dates and terms set forth in this Offer Letter; and</w:t>
      </w:r>
    </w:p>
    <w:p>
      <w:pPr>
        <w:spacing w:after="0" w:line="186" w:lineRule="exact"/>
        <w:rPr>
          <w:rFonts w:ascii="Arial" w:cs="Arial" w:eastAsia="Arial" w:hAnsi="Arial"/>
          <w:sz w:val="18"/>
          <w:szCs w:val="18"/>
          <w:color w:val="auto"/>
        </w:rPr>
      </w:pPr>
    </w:p>
    <w:p>
      <w:pPr>
        <w:ind w:right="100" w:firstLine="885"/>
        <w:spacing w:after="0" w:line="291" w:lineRule="auto"/>
        <w:tabs>
          <w:tab w:leader="none" w:pos="1166" w:val="left"/>
        </w:tabs>
        <w:numPr>
          <w:ilvl w:val="2"/>
          <w:numId w:val="346"/>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(iii)(A) above and that would, absent this clause (B), be paid within the six-month period following your “separation from service” from the Company shall not be paid until the date that is six (6) months and one</w:t>
      </w:r>
    </w:p>
    <w:p>
      <w:pPr>
        <w:ind w:right="60" w:firstLine="4"/>
        <w:spacing w:after="0" w:line="281" w:lineRule="auto"/>
        <w:tabs>
          <w:tab w:leader="none" w:pos="25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Offer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w:t>
      </w:r>
    </w:p>
    <w:p>
      <w:pPr>
        <w:spacing w:after="0" w:line="3"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90" w:lineRule="exact"/>
        <w:rPr>
          <w:rFonts w:ascii="Arial" w:cs="Arial" w:eastAsia="Arial" w:hAnsi="Arial"/>
          <w:sz w:val="16"/>
          <w:szCs w:val="16"/>
          <w:color w:val="auto"/>
        </w:rPr>
      </w:pPr>
    </w:p>
    <w:p>
      <w:pPr>
        <w:jc w:val="both"/>
        <w:ind w:right="320" w:firstLine="444"/>
        <w:spacing w:after="0" w:line="312" w:lineRule="auto"/>
        <w:tabs>
          <w:tab w:leader="none" w:pos="877"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80" w:firstLine="444"/>
        <w:spacing w:after="0" w:line="291" w:lineRule="auto"/>
        <w:tabs>
          <w:tab w:leader="none" w:pos="821" w:val="left"/>
        </w:tabs>
        <w:numPr>
          <w:ilvl w:val="1"/>
          <w:numId w:val="347"/>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Offer Letter shall be made or provided in accordance with the requirements of Section 409A to the extent that such reimbursements or in-kind benefits are subject to Section 409A, including, where applicable, the requirements that</w:t>
      </w: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 any reimbursement is for expenses incurred during your lifetime (or during a shorter period of time specified in this Offer Letter), (B) the amount of expenses eligible for reimbursement during a calendar year may not affect the expenses eligible for reimbursement 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20" w:name="page521"/>
    <w:bookmarkEnd w:id="520"/>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47" w:lineRule="exact"/>
        <w:rPr>
          <w:sz w:val="20"/>
          <w:szCs w:val="20"/>
          <w:color w:val="auto"/>
        </w:rPr>
      </w:pPr>
    </w:p>
    <w:p>
      <w:pPr>
        <w:ind w:firstLine="444"/>
        <w:spacing w:after="0" w:line="287" w:lineRule="auto"/>
        <w:tabs>
          <w:tab w:leader="none" w:pos="88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Offer Letter, the Company makes no representation or warranty and shall have no liability to you or to any other person if any provisions of this Offer Letter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Offer Letter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 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correction is consistent with the commercial intent of the parties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Company be obligated to incur any material cost in connection with its obligations under this sentence.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to the contrary contained in this Offer Letter, to the extent that any of the payments and benefits provided for under this Offer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Letter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(i) constitute a “parachute payment”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meaning of Section 280G of the Code and (ii) but for this paragraph, would be subject to the excise tax imposed by Section 4999 of the Code, then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Payments shall be reduced to the extent necessary so that no portion of such Payments retained by you shall be subject to excise tax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reduction shall only occur if after taking into account the applicable federal, state and local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and the excise tax imposed by Section 4999, such reduction results in your receipt on an after-tax basis, of the greatest amount of benefits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Offer Letter,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sentence shall not apply if, immediately before the change in ownership or control on which such Payment is contingent or otherwise relates, no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readily tradeable on an established securities market or otherwise (as determined in accordance with Treasury Reg. Section 1.280G-1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Q&amp;A 6). In the event of a determination that such reduction is to take place, reduction shall occur in the following order: first, reduction of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which shall occur in reverse chronological order such that the cash payment owed on the latest date following the occurrence of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triggering such excise tax will be the first cash payment to be reduced; second, cancellation of accelerated vesting of equity awards, which shall occur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reverse order of the date of grant for such stock awards (i.e., the vesting of the most recently granted stock awards will be reduced first); and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of employee benefits, which shall occur in reverse chronological order such that the benefit owed on the latest date following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event triggering such excise tax will be the first benefit to be reduced. If two or more equity awards are granted on the same date, each award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reduced on a pro-rata basis. Notwithstanding the foregoing, if any Payments would not be subject to such excise tax if the stockholder approval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Section 280G(b)(5) of the Code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521" w:name="page522"/>
    <w:bookmarkEnd w:id="5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satisfied, subject to your waiver of the rights to such Payments in accordance with Section 280G of the Code with respect to any portion of the Payments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would otherwise be subject to excise tax imposed by Section 4999 of the Code (before giving effect to any reduction in Payments contemplated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two preceding sentences), the Company shall use its reasonable best efforts to cause such payments to be submitted for such approval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giving rise to such payments. To the extent the Company submits any payment or benefit payable to you under this Offer Letter or otherwise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stockholders for approval in accordance with Treasury Reg. Section 1.280G-1 Q&amp;A 7, the foregoing provisions shall not apply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submission and such payments and benefits will be treated in accordance with the results of such vote, except that any reduction in, or waiver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payments or benefits required by such vote will be applied without any application of discretion by you and in the order prescribed in the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paragraph. In no event shall you have any discretion with respect to the ordering of payment reductions. Unless you and the Company otherwise agree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writing, any determination required under this paragraph shall be made in writing by the Company’s independent public accountants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Accountants</w:t>
      </w:r>
      <w:r>
        <w:rPr>
          <w:rFonts w:ascii="Arial" w:cs="Arial" w:eastAsia="Arial" w:hAnsi="Arial"/>
          <w:sz w:val="17"/>
          <w:szCs w:val="17"/>
          <w:color w:val="auto"/>
        </w:rPr>
        <w:t>”), whose determination shall be conclusive and binding upon you and the Company for all purposes. For purposes of making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calculations required by this paragraph, the Accountants may make reasonable assumptions and approximations concerning applicable taxes and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rely in reasonable, good faith interpretations concerning the application of Sections 280G and 4999 of the Code. The Company and you shall furnish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Accountants such information and documents as the Accountants may reasonably request in order to make a determination under this paragraph.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bear all costs the Accountants may reasonably incur in connection with any calculations contemplated by this paragraph. If the limitation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set forth in this paragraph is applied to reduce an amount payable to you, and the Internal Revenue Service successfully asserts that, despite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reduction, you have nonetheless received payments which are in excess of the maximum amount that could have been paid to you without being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subjected to any excise tax, then, unless it would be unlawful for the Company to make such a loan or similar extension of credit to you, you may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excess amount to the Company as though such amount constitutes a loan to you made at the date of payment of such excess amount, bearing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at 120% of the applicable federal rate (as determined under Section 1274(d) of the Code in respect of such loan).</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 In addition, the Company will reimburse you for all reasonable business expenses incurred by you in the performance of your duties, subject to the Company’s expense reimbursement policies applicable to senior executives in effect from time to time. You will be entitled to paid vacation time in accordance with the policies of the Company.</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will reimburse you, or pay directly on your behalf, for the reasonable and documented attorneys’ fees you incur in connection with the review and negotiation of this Offer Letter and any related matters, up to a maximum of $15,000, with such payment to be made within thirty (30) days after you submit appropriate documentation together with a written request specifying the amount of such legal expenses.</w:t>
      </w:r>
    </w:p>
    <w:p>
      <w:pPr>
        <w:spacing w:after="0" w:line="16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Offer Letter.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22" w:name="page523"/>
    <w:bookmarkEnd w:id="522"/>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offer of employment is contingent upon (x) your consent to a background check with results satisfactory to the Company, (y) your execution of the Company’s Proprietary Information and Inventions Assignment Agreement, which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PIIA</w:t>
      </w:r>
      <w:r>
        <w:rPr>
          <w:rFonts w:ascii="Arial" w:cs="Arial" w:eastAsia="Arial" w:hAnsi="Arial"/>
          <w:sz w:val="16"/>
          <w:szCs w:val="16"/>
          <w:color w:val="auto"/>
        </w:rPr>
        <w:t>”), and (z) your presentation of satisfactory documentation that establishes identity and employment eligibility in accordance with the US Immigration and Naturalization requirements. Notwithstanding any other provision in the PIIA or any other agreement between you and the Company, Company Confidential Information shall not include any information that (i) is or becomes generally used in the industry or publicly available through lawful means and absent any wrongful conduct by you or others; (ii) any information that was known by you or lawfully in your possession prior to your employment with the Company; and</w:t>
      </w:r>
    </w:p>
    <w:p>
      <w:pPr>
        <w:spacing w:after="0" w:line="5" w:lineRule="exact"/>
        <w:rPr>
          <w:sz w:val="20"/>
          <w:szCs w:val="20"/>
          <w:color w:val="auto"/>
        </w:rPr>
      </w:pPr>
    </w:p>
    <w:p>
      <w:pPr>
        <w:ind w:right="640" w:firstLine="4"/>
        <w:spacing w:after="0" w:line="261" w:lineRule="auto"/>
        <w:tabs>
          <w:tab w:leader="none" w:pos="31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is independently developed or lawfully disclosed to you by a third party that is unrelated to the Company and is not bound by obligations of confidentiality to the Company with respect to such information.</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All notices or other communications required or permitted to be given under this Offer Letter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Offer Letter, together with any documents relating to the Company equity held by you (other than any Prior Agreements), any stock grant notices or stock agreements referenced herein and the PIIA, constitutes the entire agreement and understanding between the parties as to the subject matter herein and supersedes all prior or contemporaneous agreements whether written or oral. The terms of this Offer Letter may only be modified in a specific writing signed by Executive and an authorized representative of the Company. The invalidity or unenforceability of any provision or provisions of this Offer Letter will not affect the validity or enforceability of any other provision hereof, which will remain in full force and effect. The terms in this Offer Letter may only be modified in writing and signed by you and a member of the Board. In the event of any conflict between any of the terms in this Offer Letter and the terms of any other agreement between you and the Company, the terms of this Offer Letter will control. This Offer Letter may be executed in any number of counterparts, all of which taken together shall constitute one instrument. Execution and delivery of this Offer Letter by facsimile or other electronic signature is legal, valid and binding for all purposes.</w:t>
      </w:r>
    </w:p>
    <w:p>
      <w:pPr>
        <w:spacing w:after="0" w:line="18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aid in the rapid and economical resolution of any disputes that may arise in the course of the employment relationship, you and the Company agree that any and all disputes, claims, or demands in any way arising out of or relating to the terms of this Offer Letter, Company equity held by you (including, but not limited to, Founder’s Equity, Anti-Dilution Shares, and Additional Shares, if any),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6"/>
          <w:szCs w:val="16"/>
          <w:u w:val="single" w:color="auto"/>
          <w:color w:val="auto"/>
        </w:rPr>
        <w:t>JAMS Rules</w:t>
      </w:r>
      <w:r>
        <w:rPr>
          <w:rFonts w:ascii="Arial" w:cs="Arial" w:eastAsia="Arial" w:hAnsi="Arial"/>
          <w:sz w:val="16"/>
          <w:szCs w:val="16"/>
          <w:color w:val="auto"/>
        </w:rPr>
        <w:t>”) and the Federal Arbitration Act, 9 U.S.C. Sec. 1, et seq. A copy of the JAMS rules may be found on the JAMS website at www.jamsadr.com. BY AGREEING TO THIS ARBITRATION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523" w:name="page524"/>
    <w:bookmarkEnd w:id="52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PROCEDURE, YOU AND THE COMPANY WAIVE THE RIGHT TO RESOLVE ANY SUCH DISPUTE, CLAIM OR DEMAND 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Offer Letter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arbitrator shall award attorney’s fees and costs to the prevailing party, except as prohibited by law.</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very excited about having you join our team and I anticipate that you will make many important contributions to the Company and its strategic mission. Please acknowledge your acceptance of this offer by returning a signed copy of this Offer Letter.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3" w:right="499" w:bottom="1440" w:gutter="0" w:footer="0" w:header="0"/>
        </w:sectPr>
      </w:pPr>
    </w:p>
    <w:bookmarkStart w:id="524" w:name="page525"/>
    <w:bookmarkEnd w:id="52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&amp; Chief Operating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7018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018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Faheem Hasnain</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[Gossamer Bio Services, Inc. – Signature Page to Offer Letter]</w:t>
      </w:r>
    </w:p>
    <w:p>
      <w:pPr>
        <w:sectPr>
          <w:pgSz w:w="11900" w:h="16838" w:orient="portrait"/>
          <w:cols w:equalWidth="0" w:num="1">
            <w:col w:w="10300"/>
          </w:cols>
          <w:pgMar w:left="440" w:top="274" w:right="1159" w:bottom="1440" w:gutter="0" w:footer="0" w:header="0"/>
        </w:sectPr>
      </w:pPr>
    </w:p>
    <w:bookmarkStart w:id="525" w:name="page526"/>
    <w:bookmarkEnd w:id="525"/>
    <w:p>
      <w:pPr>
        <w:jc w:val="center"/>
        <w:ind w:righ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Outside Board 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Vital Therapies,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Tocagen,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Kura Oncology, Inc.</w:t>
      </w:r>
    </w:p>
    <w:p>
      <w:pPr>
        <w:sectPr>
          <w:pgSz w:w="11900" w:h="16838" w:orient="portrait"/>
          <w:cols w:equalWidth="0" w:num="1">
            <w:col w:w="10019"/>
          </w:cols>
          <w:pgMar w:left="440" w:top="273" w:right="1440"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In consideration of the Termination Benefits (as defined in the Offer Letter) provided and to be provided to me by Gossamer Bio, Inc., or any successor thereof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my Offer Letter with Company dated January 4, 2018 (the “</w:t>
      </w:r>
      <w:r>
        <w:rPr>
          <w:rFonts w:ascii="Arial" w:cs="Arial" w:eastAsia="Arial" w:hAnsi="Arial"/>
          <w:sz w:val="16"/>
          <w:szCs w:val="16"/>
          <w:u w:val="single" w:color="auto"/>
          <w:color w:val="auto"/>
        </w:rPr>
        <w:t>Offer Letter</w:t>
      </w:r>
      <w:r>
        <w:rPr>
          <w:rFonts w:ascii="Arial" w:cs="Arial" w:eastAsia="Arial" w:hAnsi="Arial"/>
          <w:sz w:val="16"/>
          <w:szCs w:val="16"/>
          <w:color w:val="auto"/>
        </w:rPr>
        <w:t>”), and in connection with the termination of my employment, the Company and I agree to the following, including a general release as specified below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47" w:lineRule="exact"/>
        <w:rPr>
          <w:sz w:val="20"/>
          <w:szCs w:val="20"/>
          <w:color w:val="auto"/>
        </w:rPr>
      </w:pPr>
    </w:p>
    <w:p>
      <w:pPr>
        <w:ind w:firstLine="444"/>
        <w:spacing w:after="0" w:line="268" w:lineRule="auto"/>
        <w:tabs>
          <w:tab w:leader="none" w:pos="756" w:val="left"/>
        </w:tabs>
        <w:numPr>
          <w:ilvl w:val="1"/>
          <w:numId w:val="350"/>
        </w:numPr>
        <w:rPr>
          <w:rFonts w:ascii="Arial" w:cs="Arial" w:eastAsia="Arial" w:hAnsi="Arial"/>
          <w:sz w:val="17"/>
          <w:szCs w:val="17"/>
          <w:color w:val="auto"/>
        </w:rPr>
      </w:pPr>
      <w:r>
        <w:rPr>
          <w:rFonts w:ascii="Arial" w:cs="Arial" w:eastAsia="Arial" w:hAnsi="Arial"/>
          <w:sz w:val="17"/>
          <w:szCs w:val="17"/>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from any and all claims, causes of action, and liabilities up through the date of my execution of the Release (except with respect to Termination Benefits under the Offer Letter and any other rights that I have accrued under the employee benefit plans and equity award plans of the Company). The claims subject to this release include, but are not limited to, those relating to my employment with Company and/or any predecessor to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87" w:lineRule="exact"/>
        <w:rPr>
          <w:rFonts w:ascii="Arial" w:cs="Arial" w:eastAsia="Arial" w:hAnsi="Arial"/>
          <w:sz w:val="17"/>
          <w:szCs w:val="17"/>
          <w:color w:val="auto"/>
        </w:rPr>
      </w:pPr>
    </w:p>
    <w:p>
      <w:pPr>
        <w:ind w:right="80" w:firstLine="444"/>
        <w:spacing w:after="0" w:line="285" w:lineRule="auto"/>
        <w:tabs>
          <w:tab w:leader="none" w:pos="752"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The parties agree to apply California law in interpreting the Release. Accordingly, I further waive any rights under Section 1542 of the Civil Code of the State of California or any similar state statute. Section 1542 states: “A general release does not extend to claims which the creditor does not know or suspect to exist in his or her favor at the time of executing the release, which, if known to him or her, must have materially affected his or her settlement with the debtor.” This Release does not extend to, and has no effect upon, (i) any benefits that have previously accrued, and to which I have become vested or otherwise entitled to, under any agreement, employee benefit plan, program or policy sponsored or maintained by the Company;</w:t>
      </w:r>
    </w:p>
    <w:p>
      <w:pPr>
        <w:spacing w:after="0" w:line="2" w:lineRule="exact"/>
        <w:rPr>
          <w:rFonts w:ascii="Arial" w:cs="Arial" w:eastAsia="Arial" w:hAnsi="Arial"/>
          <w:sz w:val="16"/>
          <w:szCs w:val="16"/>
          <w:color w:val="auto"/>
        </w:rPr>
      </w:pPr>
    </w:p>
    <w:p>
      <w:pPr>
        <w:ind w:right="80" w:firstLine="4"/>
        <w:spacing w:after="0" w:line="254" w:lineRule="auto"/>
        <w:tabs>
          <w:tab w:leader="none" w:pos="26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my right to indemnification and/or contribution, advancement or payment of related expenses by the Company under any written indemnification or other agreement between the parties; (iii) my right to continued coverage by the Company’s director’s and officer’s insurance, other insurance policies of the Company, COBRA or any similar state law; (iv) any claims for breach of this agreement; and (v) any claims arising after the date I sign the Release.</w:t>
      </w:r>
    </w:p>
    <w:p>
      <w:pPr>
        <w:spacing w:after="0" w:line="189" w:lineRule="exact"/>
        <w:rPr>
          <w:rFonts w:ascii="Arial" w:cs="Arial" w:eastAsia="Arial" w:hAnsi="Arial"/>
          <w:sz w:val="18"/>
          <w:szCs w:val="18"/>
          <w:color w:val="auto"/>
        </w:rPr>
      </w:pPr>
    </w:p>
    <w:p>
      <w:pPr>
        <w:ind w:right="80" w:firstLine="444"/>
        <w:spacing w:after="0" w:line="291" w:lineRule="auto"/>
        <w:tabs>
          <w:tab w:leader="none" w:pos="756"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w:t>
      </w:r>
    </w:p>
    <w:p>
      <w:pPr>
        <w:ind w:right="60" w:firstLine="4"/>
        <w:spacing w:after="0" w:line="277" w:lineRule="auto"/>
        <w:tabs>
          <w:tab w:leader="none" w:pos="2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my rights under applicable workers’ compensation laws; (b) my right, if any, to seek state disability or unemployment benefits; (c) my right to indemnity under California Labor Code section 2802 or other applicable state-law right to indemnity; and (d) my right to file a charge or complaint with a government agency such as but not limited to the Equal Employment Opportunity Commission, the National Labor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527" w:name="page528"/>
    <w:bookmarkEnd w:id="52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Relations Board, the Department of Labor, the California Department of Fair Employment and Housing, or other applicable state agency.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93" w:lineRule="exact"/>
        <w:rPr>
          <w:sz w:val="20"/>
          <w:szCs w:val="20"/>
          <w:color w:val="auto"/>
        </w:rPr>
      </w:pPr>
    </w:p>
    <w:p>
      <w:pPr>
        <w:jc w:val="both"/>
        <w:ind w:right="100" w:firstLine="444"/>
        <w:spacing w:after="0" w:line="264" w:lineRule="auto"/>
        <w:tabs>
          <w:tab w:leader="none" w:pos="7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vacation pay, less applicable withholdings and deductions, earned through my termination date.</w:t>
      </w:r>
    </w:p>
    <w:p>
      <w:pPr>
        <w:spacing w:after="0" w:line="181" w:lineRule="exact"/>
        <w:rPr>
          <w:rFonts w:ascii="Arial" w:cs="Arial" w:eastAsia="Arial" w:hAnsi="Arial"/>
          <w:sz w:val="18"/>
          <w:szCs w:val="18"/>
          <w:color w:val="auto"/>
        </w:rPr>
      </w:pPr>
    </w:p>
    <w:p>
      <w:pPr>
        <w:ind w:firstLine="444"/>
        <w:spacing w:after="0" w:line="272" w:lineRule="auto"/>
        <w:tabs>
          <w:tab w:leader="none" w:pos="75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77" w:lineRule="exact"/>
        <w:rPr>
          <w:rFonts w:ascii="Arial" w:cs="Arial" w:eastAsia="Arial" w:hAnsi="Arial"/>
          <w:sz w:val="17"/>
          <w:szCs w:val="17"/>
          <w:color w:val="auto"/>
        </w:rPr>
      </w:pPr>
    </w:p>
    <w:p>
      <w:pPr>
        <w:ind w:right="500" w:firstLine="444"/>
        <w:spacing w:after="0" w:line="308" w:lineRule="auto"/>
        <w:tabs>
          <w:tab w:leader="none" w:pos="75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46" w:lineRule="exact"/>
        <w:rPr>
          <w:rFonts w:ascii="Arial" w:cs="Arial" w:eastAsia="Arial" w:hAnsi="Arial"/>
          <w:sz w:val="17"/>
          <w:szCs w:val="17"/>
          <w:color w:val="auto"/>
        </w:rPr>
      </w:pPr>
    </w:p>
    <w:p>
      <w:pPr>
        <w:ind w:right="160" w:firstLine="444"/>
        <w:spacing w:after="0" w:line="293" w:lineRule="auto"/>
        <w:tabs>
          <w:tab w:leader="none" w:pos="75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Offer Letter shall prohibit me from reporting or disclosing information under the terms of the Company’s Reporting Suspected Violations of Law Policy or such similar policy as the Company may have in effect from time to time.</w:t>
      </w:r>
    </w:p>
    <w:p>
      <w:pPr>
        <w:spacing w:after="0" w:line="164" w:lineRule="exact"/>
        <w:rPr>
          <w:rFonts w:ascii="Arial" w:cs="Arial" w:eastAsia="Arial" w:hAnsi="Arial"/>
          <w:sz w:val="16"/>
          <w:szCs w:val="16"/>
          <w:color w:val="auto"/>
        </w:rPr>
      </w:pPr>
    </w:p>
    <w:p>
      <w:pPr>
        <w:ind w:left="760" w:hanging="316"/>
        <w:spacing w:after="0"/>
        <w:tabs>
          <w:tab w:leader="none" w:pos="7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 understand and agree that the Release will not be construed at any time as an admission of liability or wrongdoing by either the Company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w:t>
      </w:r>
    </w:p>
    <w:p>
      <w:pPr>
        <w:spacing w:after="0" w:line="210" w:lineRule="exact"/>
        <w:rPr>
          <w:rFonts w:ascii="Arial" w:cs="Arial" w:eastAsia="Arial" w:hAnsi="Arial"/>
          <w:sz w:val="16"/>
          <w:szCs w:val="16"/>
          <w:color w:val="auto"/>
        </w:rPr>
      </w:pPr>
    </w:p>
    <w:p>
      <w:pPr>
        <w:ind w:right="40" w:firstLine="444"/>
        <w:spacing w:after="0" w:line="257" w:lineRule="auto"/>
        <w:tabs>
          <w:tab w:leader="none" w:pos="7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528" w:name="page529"/>
    <w:bookmarkEnd w:id="528"/>
    <w:p>
      <w:pPr>
        <w:ind w:right="80" w:firstLine="444"/>
        <w:spacing w:after="0" w:line="308" w:lineRule="auto"/>
        <w:tabs>
          <w:tab w:leader="none" w:pos="836" w:val="left"/>
        </w:tabs>
        <w:numPr>
          <w:ilvl w:val="0"/>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controversy or claim arising out of or relating this Release, its enforcement or interpretation, or because of an alleged breach, default or misrepresentation in connection with any of its provisions, will be submitted to arbitration consistent with the terms of the Offer Letter.</w:t>
      </w:r>
    </w:p>
    <w:p>
      <w:pPr>
        <w:spacing w:after="0" w:line="146" w:lineRule="exact"/>
        <w:rPr>
          <w:rFonts w:ascii="Arial" w:cs="Arial" w:eastAsia="Arial" w:hAnsi="Arial"/>
          <w:sz w:val="17"/>
          <w:szCs w:val="17"/>
          <w:color w:val="auto"/>
        </w:rPr>
      </w:pPr>
    </w:p>
    <w:p>
      <w:pPr>
        <w:ind w:right="40" w:firstLine="444"/>
        <w:spacing w:after="0" w:line="269" w:lineRule="auto"/>
        <w:tabs>
          <w:tab w:leader="none" w:pos="829"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firstLine="444"/>
        <w:spacing w:after="0" w:line="272" w:lineRule="auto"/>
        <w:tabs>
          <w:tab w:leader="none" w:pos="84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 agree that I have had at least twenty-one (21) calendar days in which to consider whether to execute the Release, no one hurried me into executing the Release during that period and no one coerced me into executing the Release. I understand that the offer of the Termination Benefits and the Release will expire on the twenty-second (22nd) calendar day after my employment termination date if I have not accepted it by that time.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that in the seven (7) day period following the date I deliver a signed copy of the Release to Company I understand that I may revoke my acceptance of the Release. I understand that the Termination Benefits will become available to me at such time after the Effective Date.</w:t>
      </w:r>
    </w:p>
    <w:p>
      <w:pPr>
        <w:spacing w:after="0" w:line="177" w:lineRule="exact"/>
        <w:rPr>
          <w:rFonts w:ascii="Arial" w:cs="Arial" w:eastAsia="Arial" w:hAnsi="Arial"/>
          <w:sz w:val="17"/>
          <w:szCs w:val="17"/>
          <w:color w:val="auto"/>
        </w:rPr>
      </w:pPr>
    </w:p>
    <w:p>
      <w:pPr>
        <w:ind w:right="60" w:firstLine="444"/>
        <w:spacing w:after="0" w:line="272" w:lineRule="auto"/>
        <w:tabs>
          <w:tab w:leader="none" w:pos="84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Offer Letter, confidential information and invention assignment agreement, and any stock, stock option and/or stock purchase agreements between Company and me. Once effective and enforceable, this agreement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right="80" w:firstLine="444"/>
        <w:spacing w:after="0" w:line="257" w:lineRule="auto"/>
        <w:tabs>
          <w:tab w:leader="none" w:pos="84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29" w:name="page530"/>
    <w:bookmarkEnd w:id="5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 have obtained sufficient information to intelligently exercise my own judgment regarding the terms of the Release before executing the Release.</w:t>
      </w:r>
    </w:p>
    <w:p>
      <w:pPr>
        <w:spacing w:after="0" w:line="248" w:lineRule="exact"/>
        <w:rPr>
          <w:sz w:val="20"/>
          <w:szCs w:val="20"/>
          <w:color w:val="auto"/>
        </w:rPr>
      </w:pPr>
    </w:p>
    <w:p>
      <w:pPr>
        <w:ind w:firstLine="444"/>
        <w:spacing w:after="0" w:line="277" w:lineRule="auto"/>
        <w:tabs>
          <w:tab w:leader="none" w:pos="84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Offer Letter.</w:t>
      </w:r>
    </w:p>
    <w:p>
      <w:pPr>
        <w:spacing w:after="0" w:line="170" w:lineRule="exact"/>
        <w:rPr>
          <w:rFonts w:ascii="Arial" w:cs="Arial" w:eastAsia="Arial" w:hAnsi="Arial"/>
          <w:sz w:val="18"/>
          <w:szCs w:val="18"/>
          <w:color w:val="auto"/>
        </w:rPr>
      </w:pPr>
    </w:p>
    <w:p>
      <w:pPr>
        <w:ind w:right="340" w:firstLine="444"/>
        <w:spacing w:after="0" w:line="277" w:lineRule="auto"/>
        <w:tabs>
          <w:tab w:leader="none" w:pos="84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right="480" w:firstLine="444"/>
        <w:spacing w:after="0" w:line="277" w:lineRule="auto"/>
        <w:tabs>
          <w:tab w:leader="none" w:pos="84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530" w:name="page531"/>
    <w:bookmarkEnd w:id="53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256" w:lineRule="exact"/>
        <w:rPr>
          <w:sz w:val="20"/>
          <w:szCs w:val="20"/>
          <w:color w:val="auto"/>
        </w:rPr>
      </w:pPr>
    </w:p>
    <w:p>
      <w:pPr>
        <w:ind w:left="5540"/>
        <w:spacing w:after="0"/>
        <w:tabs>
          <w:tab w:leader="none" w:pos="6940" w:val="left"/>
          <w:tab w:leader="none" w:pos="834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358140</wp:posOffset>
            </wp:positionV>
            <wp:extent cx="24352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-10160</wp:posOffset>
            </wp:positionV>
            <wp:extent cx="2286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-10160</wp:posOffset>
            </wp:positionV>
            <wp:extent cx="85725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563880</wp:posOffset>
            </wp:positionV>
            <wp:extent cx="185737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440" w:top="270" w:right="699" w:bottom="1440" w:gutter="0" w:footer="0" w:header="0"/>
        </w:sectPr>
      </w:pPr>
    </w:p>
    <w:bookmarkStart w:id="531" w:name="page532"/>
    <w:bookmarkEnd w:id="53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4" w:right="1440" w:bottom="1440" w:gutter="0" w:footer="0" w:header="0"/>
        </w:sectPr>
      </w:pPr>
    </w:p>
    <w:bookmarkStart w:id="532" w:name="page533"/>
    <w:bookmarkEnd w:id="5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term includes the Company’s parent, Gossamer Bio, Inc.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Parent’s subsidiaries, and any other entity in which I am asked to provide services for, and each of their respective successors and assigns), which is a material part of the consideration for my employment and continued employment by the Company:</w:t>
      </w:r>
    </w:p>
    <w:p>
      <w:pPr>
        <w:spacing w:after="0" w:line="180"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81"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 hereby agree as follows:</w:t>
      </w:r>
    </w:p>
    <w:p>
      <w:pPr>
        <w:spacing w:after="0" w:line="16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 trust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use or disclose any Proprietary Information or anything relating to it without the written consent of the Company, except as may be necessary in the ordinary course of performing my duties to the Company.</w:t>
      </w:r>
    </w:p>
    <w:p>
      <w:pPr>
        <w:spacing w:after="0" w:line="17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 Proprietary Information to my attorney and use the Proprietary Information in the court proceeding, if I file any document containing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69" w:right="43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under seal, and do not disclose the Proprietary Information, except pursuant to court order.</w:t>
      </w:r>
    </w:p>
    <w:p>
      <w:pPr>
        <w:spacing w:after="0" w:line="221"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b w:val="1"/>
          <w:bCs w:val="1"/>
          <w:color w:val="auto"/>
        </w:rPr>
        <w:t xml:space="preserve">Disclosure of Inventions. </w:t>
      </w:r>
      <w:r>
        <w:rPr>
          <w:rFonts w:ascii="Arial" w:cs="Arial" w:eastAsia="Arial" w:hAnsi="Arial"/>
          <w:sz w:val="17"/>
          <w:szCs w:val="17"/>
          <w:color w:val="auto"/>
        </w:rPr>
        <w:t>I will promptly disclose to the Company, or any persons designated by it, all Inventions made or conceived or</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sz w:val="20"/>
          <w:szCs w:val="20"/>
          <w:color w:val="auto"/>
        </w:rPr>
      </w:pPr>
    </w:p>
    <w:p>
      <w:pPr>
        <w:jc w:val="both"/>
        <w:ind w:firstLine="881"/>
        <w:spacing w:after="0" w:line="285" w:lineRule="auto"/>
        <w:rPr>
          <w:sz w:val="20"/>
          <w:szCs w:val="20"/>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4" w:lineRule="exact"/>
        <w:rPr>
          <w:sz w:val="20"/>
          <w:szCs w:val="20"/>
          <w:color w:val="auto"/>
        </w:rPr>
      </w:pPr>
    </w:p>
    <w:p>
      <w:pPr>
        <w:jc w:val="both"/>
        <w:ind w:firstLine="4"/>
        <w:spacing w:after="0" w:line="273" w:lineRule="auto"/>
        <w:tabs>
          <w:tab w:leader="none" w:pos="24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3" w:lineRule="exact"/>
        <w:rPr>
          <w:sz w:val="20"/>
          <w:szCs w:val="20"/>
          <w:color w:val="auto"/>
        </w:rPr>
      </w:pPr>
    </w:p>
    <w:p>
      <w:pPr>
        <w:jc w:val="both"/>
        <w:ind w:firstLine="881"/>
        <w:spacing w:after="0" w:line="274" w:lineRule="auto"/>
        <w:rPr>
          <w:sz w:val="20"/>
          <w:szCs w:val="20"/>
          <w:color w:val="auto"/>
        </w:rPr>
      </w:pPr>
      <w:r>
        <w:rPr>
          <w:rFonts w:ascii="Arial" w:cs="Arial" w:eastAsia="Arial" w:hAnsi="Arial"/>
          <w:sz w:val="17"/>
          <w:szCs w:val="17"/>
          <w:b w:val="1"/>
          <w:bCs w:val="1"/>
          <w:color w:val="auto"/>
        </w:rPr>
        <w:t xml:space="preserve">Assignment of Moral Rights. </w:t>
      </w:r>
      <w:r>
        <w:rPr>
          <w:rFonts w:ascii="Arial" w:cs="Arial" w:eastAsia="Arial" w:hAnsi="Arial"/>
          <w:sz w:val="17"/>
          <w:szCs w:val="17"/>
          <w:color w:val="auto"/>
        </w:rPr>
        <w:t>In addition to the foregoing assignment of Inventions to the Company, I hereby irrevocably transfer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7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Work for Hire</w:t>
      </w:r>
      <w:r>
        <w:rPr>
          <w:rFonts w:ascii="Arial" w:cs="Arial" w:eastAsia="Arial" w:hAnsi="Arial"/>
          <w:sz w:val="18"/>
          <w:szCs w:val="18"/>
          <w:color w:val="auto"/>
        </w:rPr>
        <w:t>. I acknowledge and agree that any copyrightable works prepared by me within the scope of my employment are “works for</w:t>
      </w:r>
      <w:r>
        <w:rPr>
          <w:rFonts w:ascii="Arial" w:cs="Arial" w:eastAsia="Arial" w:hAnsi="Arial"/>
          <w:sz w:val="18"/>
          <w:szCs w:val="18"/>
          <w:b w:val="1"/>
          <w:bCs w:val="1"/>
          <w:color w:val="auto"/>
        </w:rPr>
        <w:t xml:space="preserve"> </w:t>
      </w:r>
      <w:r>
        <w:rPr>
          <w:rFonts w:ascii="Arial" w:cs="Arial" w:eastAsia="Arial" w:hAnsi="Arial"/>
          <w:sz w:val="18"/>
          <w:szCs w:val="18"/>
          <w:color w:val="auto"/>
        </w:rPr>
        <w:t>hire” under the Copyright Act and that the Company will be considered the author and owner of such copyrightable works.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534" w:name="page535"/>
    <w:bookmarkEnd w:id="534"/>
    <w:p>
      <w:pPr>
        <w:jc w:val="both"/>
        <w:ind w:firstLine="881"/>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 desirable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sz w:val="20"/>
          <w:szCs w:val="20"/>
          <w:color w:val="auto"/>
        </w:rPr>
      </w:pPr>
    </w:p>
    <w:p>
      <w:pPr>
        <w:jc w:val="both"/>
        <w:ind w:firstLine="881"/>
        <w:spacing w:after="0" w:line="256" w:lineRule="auto"/>
        <w:rPr>
          <w:sz w:val="20"/>
          <w:szCs w:val="20"/>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 or</w:t>
      </w:r>
      <w:r>
        <w:rPr>
          <w:rFonts w:ascii="Arial" w:cs="Arial" w:eastAsia="Arial" w:hAnsi="Arial"/>
          <w:sz w:val="18"/>
          <w:szCs w:val="18"/>
          <w:b w:val="1"/>
          <w:bCs w:val="1"/>
          <w:color w:val="auto"/>
        </w:rPr>
        <w:t xml:space="preserve"> </w:t>
      </w:r>
      <w:r>
        <w:rPr>
          <w:rFonts w:ascii="Arial" w:cs="Arial" w:eastAsia="Arial" w:hAnsi="Arial"/>
          <w:sz w:val="18"/>
          <w:szCs w:val="18"/>
          <w:color w:val="auto"/>
        </w:rPr>
        <w:t>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88" w:lineRule="exact"/>
        <w:rPr>
          <w:sz w:val="20"/>
          <w:szCs w:val="20"/>
          <w:color w:val="auto"/>
        </w:rPr>
      </w:pPr>
    </w:p>
    <w:p>
      <w:pPr>
        <w:jc w:val="both"/>
        <w:ind w:firstLine="881"/>
        <w:spacing w:after="0" w:line="347" w:lineRule="auto"/>
        <w:rPr>
          <w:sz w:val="20"/>
          <w:szCs w:val="20"/>
          <w:color w:val="auto"/>
        </w:rPr>
      </w:pPr>
      <w:r>
        <w:rPr>
          <w:rFonts w:ascii="Arial" w:cs="Arial" w:eastAsia="Arial" w:hAnsi="Arial"/>
          <w:sz w:val="16"/>
          <w:szCs w:val="16"/>
          <w:b w:val="1"/>
          <w:bCs w:val="1"/>
          <w:color w:val="auto"/>
        </w:rPr>
        <w:t xml:space="preserve">No Conflicting Obligations. </w:t>
      </w:r>
      <w:r>
        <w:rPr>
          <w:rFonts w:ascii="Arial" w:cs="Arial" w:eastAsia="Arial" w:hAnsi="Arial"/>
          <w:sz w:val="16"/>
          <w:szCs w:val="16"/>
          <w:color w:val="auto"/>
        </w:rPr>
        <w:t>I represent that my performance of all the terms of this Agreement will not breach any agreement or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keep in confidence proprietary information acquired by me in confidence or in trust prior to my employment with the Company. I have not entered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69" w:right="439" w:bottom="1440" w:gutter="0" w:footer="0" w:header="0"/>
        </w:sectPr>
      </w:pPr>
    </w:p>
    <w:bookmarkStart w:id="535" w:name="page536"/>
    <w:bookmarkEnd w:id="53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and I agree I will not enter into, any agreement either written or oral in conflict with this Agreement or in conflict with my employment with the Company.</w:t>
      </w:r>
    </w:p>
    <w:p>
      <w:pPr>
        <w:spacing w:after="0" w:line="16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 use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5"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any successor in interest or other assignee.</w:t>
      </w:r>
    </w:p>
    <w:p>
      <w:pPr>
        <w:spacing w:after="0" w:line="162"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 acquainted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 inserted</w:t>
      </w:r>
      <w:r>
        <w:rPr>
          <w:rFonts w:ascii="Arial" w:cs="Arial" w:eastAsia="Arial" w:hAnsi="Arial"/>
          <w:sz w:val="18"/>
          <w:szCs w:val="18"/>
          <w:b w:val="1"/>
          <w:bCs w:val="1"/>
          <w:color w:val="auto"/>
        </w:rPr>
        <w:t xml:space="preserve"> </w:t>
      </w:r>
      <w:r>
        <w:rPr>
          <w:rFonts w:ascii="Arial" w:cs="Arial" w:eastAsia="Arial" w:hAnsi="Arial"/>
          <w:sz w:val="18"/>
          <w:szCs w:val="18"/>
          <w:color w:val="auto"/>
        </w:rPr>
        <w:t>for convenience only and do not constitute any part of this Agreement.</w:t>
      </w:r>
    </w:p>
    <w:p>
      <w:pPr>
        <w:spacing w:after="0" w:line="162"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536" w:name="page537"/>
    <w:bookmarkEnd w:id="536"/>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66"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Jan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14605</wp:posOffset>
            </wp:positionV>
            <wp:extent cx="181800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14605</wp:posOffset>
            </wp:positionV>
            <wp:extent cx="313880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Faheem Hasnain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GOSSAMER BIO SERVICES,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-130810</wp:posOffset>
            </wp:positionV>
            <wp:extent cx="260731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President &amp; Chief Operating Officer</w:t>
      </w:r>
    </w:p>
    <w:p>
      <w:pPr>
        <w:spacing w:after="0" w:line="139" w:lineRule="exact"/>
        <w:rPr>
          <w:sz w:val="20"/>
          <w:szCs w:val="20"/>
          <w:color w:val="auto"/>
        </w:rPr>
      </w:pPr>
    </w:p>
    <w:p>
      <w:pPr>
        <w:jc w:val="right"/>
        <w:ind w:right="12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NVENTIONS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019"/>
          </w:cols>
          <w:pgMar w:left="440" w:top="273" w:right="1440" w:bottom="1440" w:gutter="0" w:footer="0" w:header="0"/>
        </w:sectPr>
      </w:pPr>
    </w:p>
    <w:bookmarkStart w:id="538" w:name="page539"/>
    <w:bookmarkEnd w:id="538"/>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jc w:val="both"/>
        <w:ind w:left="-4" w:firstLine="444"/>
        <w:spacing w:after="0" w:line="286" w:lineRule="auto"/>
        <w:tabs>
          <w:tab w:leader="none" w:pos="838"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6" w:val="left"/>
        </w:tabs>
        <w:numPr>
          <w:ilvl w:val="1"/>
          <w:numId w:val="358"/>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1016"/>
          </w:cols>
          <w:pgMar w:left="444" w:top="269" w:right="439" w:bottom="1440" w:gutter="0" w:footer="0" w:header="0"/>
        </w:sectPr>
      </w:pPr>
    </w:p>
    <w:bookmarkStart w:id="539" w:name="page540"/>
    <w:bookmarkEnd w:id="53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444"/>
        <w:spacing w:after="0" w:line="258" w:lineRule="auto"/>
        <w:tabs>
          <w:tab w:leader="none" w:pos="850"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187" w:lineRule="exact"/>
        <w:rPr>
          <w:rFonts w:ascii="Arial" w:cs="Arial" w:eastAsia="Arial" w:hAnsi="Arial"/>
          <w:sz w:val="18"/>
          <w:szCs w:val="18"/>
          <w:b w:val="1"/>
          <w:bCs w:val="1"/>
          <w:color w:val="auto"/>
        </w:rPr>
      </w:pPr>
    </w:p>
    <w:p>
      <w:pPr>
        <w:ind w:left="340" w:hanging="336"/>
        <w:spacing w:after="0"/>
        <w:tabs>
          <w:tab w:leader="none" w:pos="340" w:val="left"/>
        </w:tabs>
        <w:numPr>
          <w:ilvl w:val="0"/>
          <w:numId w:val="359"/>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25" w:lineRule="exact"/>
        <w:rPr>
          <w:sz w:val="20"/>
          <w:szCs w:val="20"/>
          <w:color w:val="auto"/>
        </w:rPr>
      </w:pPr>
    </w:p>
    <w:p>
      <w:pPr>
        <w:ind w:left="340" w:hanging="336"/>
        <w:spacing w:after="0"/>
        <w:tabs>
          <w:tab w:leader="none" w:pos="340" w:val="left"/>
        </w:tabs>
        <w:numPr>
          <w:ilvl w:val="0"/>
          <w:numId w:val="360"/>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44" w:lineRule="exact"/>
        <w:rPr>
          <w:sz w:val="20"/>
          <w:szCs w:val="20"/>
          <w:color w:val="auto"/>
        </w:rPr>
      </w:pPr>
    </w:p>
    <w:p>
      <w:pPr>
        <w:ind w:left="1260"/>
        <w:spacing w:after="0"/>
        <w:tabs>
          <w:tab w:leader="none" w:pos="5400" w:val="left"/>
          <w:tab w:leader="none" w:pos="8900" w:val="left"/>
        </w:tabs>
        <w:rPr>
          <w:sz w:val="20"/>
          <w:szCs w:val="20"/>
          <w:color w:val="auto"/>
        </w:rPr>
      </w:pPr>
      <w:r>
        <w:rPr>
          <w:rFonts w:ascii="Arial" w:cs="Arial" w:eastAsia="Arial" w:hAnsi="Arial"/>
          <w:sz w:val="14"/>
          <w:szCs w:val="14"/>
          <w:b w:val="1"/>
          <w:bCs w:val="1"/>
          <w:u w:val="single" w:color="auto"/>
          <w:color w:val="auto"/>
        </w:rPr>
        <w:t>Invention Description</w:t>
      </w:r>
      <w:r>
        <w:rPr>
          <w:sz w:val="20"/>
          <w:szCs w:val="20"/>
          <w:color w:val="auto"/>
        </w:rPr>
        <w:tab/>
      </w:r>
      <w:r>
        <w:rPr>
          <w:rFonts w:ascii="Arial" w:cs="Arial" w:eastAsia="Arial" w:hAnsi="Arial"/>
          <w:sz w:val="14"/>
          <w:szCs w:val="14"/>
          <w:b w:val="1"/>
          <w:bCs w:val="1"/>
          <w:u w:val="single" w:color="auto"/>
          <w:color w:val="auto"/>
        </w:rPr>
        <w:t>Patent No.</w:t>
      </w:r>
      <w:r>
        <w:rPr>
          <w:sz w:val="20"/>
          <w:szCs w:val="20"/>
          <w:color w:val="auto"/>
        </w:rPr>
        <w:tab/>
      </w:r>
      <w:r>
        <w:rPr>
          <w:rFonts w:ascii="Arial" w:cs="Arial" w:eastAsia="Arial" w:hAnsi="Arial"/>
          <w:sz w:val="12"/>
          <w:szCs w:val="12"/>
          <w:b w:val="1"/>
          <w:bCs w:val="1"/>
          <w:u w:val="single" w:color="auto"/>
          <w:color w:val="auto"/>
        </w:rPr>
        <w:t>Date of Issue</w:t>
      </w:r>
    </w:p>
    <w:p>
      <w:pPr>
        <w:spacing w:after="0" w:line="226" w:lineRule="exact"/>
        <w:rPr>
          <w:sz w:val="20"/>
          <w:szCs w:val="20"/>
          <w:color w:val="auto"/>
        </w:rPr>
      </w:pPr>
    </w:p>
    <w:p>
      <w:pPr>
        <w:ind w:left="340" w:hanging="336"/>
        <w:spacing w:after="0"/>
        <w:tabs>
          <w:tab w:leader="none" w:pos="340" w:val="left"/>
        </w:tabs>
        <w:numPr>
          <w:ilvl w:val="0"/>
          <w:numId w:val="361"/>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firstLine="444"/>
        <w:spacing w:after="0" w:line="277" w:lineRule="auto"/>
        <w:tabs>
          <w:tab w:leader="none" w:pos="864" w:val="left"/>
        </w:tabs>
        <w:numPr>
          <w:ilvl w:val="1"/>
          <w:numId w:val="361"/>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170" w:lineRule="exact"/>
        <w:rPr>
          <w:sz w:val="20"/>
          <w:szCs w:val="20"/>
          <w:color w:val="auto"/>
        </w:rPr>
      </w:pPr>
    </w:p>
    <w:p>
      <w:pPr>
        <w:ind w:left="340" w:hanging="336"/>
        <w:spacing w:after="0"/>
        <w:tabs>
          <w:tab w:leader="none" w:pos="340" w:val="left"/>
        </w:tabs>
        <w:numPr>
          <w:ilvl w:val="0"/>
          <w:numId w:val="362"/>
        </w:numPr>
        <w:rPr>
          <w:rFonts w:ascii="MS PGothic" w:cs="MS PGothic" w:eastAsia="MS PGothic" w:hAnsi="MS PGothic"/>
          <w:sz w:val="18"/>
          <w:szCs w:val="18"/>
          <w:color w:val="auto"/>
        </w:rPr>
      </w:pPr>
      <w:r>
        <w:rPr>
          <w:rFonts w:ascii="Arial" w:cs="Arial" w:eastAsia="Arial" w:hAnsi="Arial"/>
          <w:sz w:val="18"/>
          <w:szCs w:val="18"/>
          <w:color w:val="auto"/>
        </w:rPr>
        <w:t>No materials or documents.</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Faheem Hasnain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Bryan Giraudo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Gossamer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Bryan:</w:t>
      </w:r>
    </w:p>
    <w:p>
      <w:pPr>
        <w:spacing w:after="0" w:line="11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continuing employment with Gossamer Bio, Inc. (“</w:t>
      </w:r>
      <w:r>
        <w:rPr>
          <w:rFonts w:ascii="Arial" w:cs="Arial" w:eastAsia="Arial" w:hAnsi="Arial"/>
          <w:sz w:val="18"/>
          <w:szCs w:val="18"/>
          <w:u w:val="single" w:color="auto"/>
          <w:color w:val="auto"/>
        </w:rPr>
        <w:t>Parent</w:t>
      </w:r>
      <w:r>
        <w:rPr>
          <w:rFonts w:ascii="Arial" w:cs="Arial" w:eastAsia="Arial" w:hAnsi="Arial"/>
          <w:sz w:val="18"/>
          <w:szCs w:val="18"/>
          <w:color w:val="auto"/>
        </w:rPr>
        <w:t>”) and, effective January 1, 2019, with Gossamer Bio Services, Inc., a wholly-owned subsidiary of Parent (“</w:t>
      </w:r>
      <w:r>
        <w:rPr>
          <w:rFonts w:ascii="Arial" w:cs="Arial" w:eastAsia="Arial" w:hAnsi="Arial"/>
          <w:sz w:val="18"/>
          <w:szCs w:val="18"/>
          <w:u w:val="single" w:color="auto"/>
          <w:color w:val="auto"/>
        </w:rPr>
        <w:t>Gossamer Services</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Company</w:t>
      </w:r>
      <w:r>
        <w:rPr>
          <w:rFonts w:ascii="Arial" w:cs="Arial" w:eastAsia="Arial" w:hAnsi="Arial"/>
          <w:sz w:val="18"/>
          <w:szCs w:val="18"/>
          <w:color w:val="auto"/>
        </w:rPr>
        <w:t>”). This Agreement is effective as of December 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0"/>
          <w:szCs w:val="20"/>
          <w:color w:val="auto"/>
        </w:rPr>
      </w:pPr>
    </w:p>
    <w:p>
      <w:pPr>
        <w:ind w:left="760" w:hanging="316"/>
        <w:spacing w:after="0"/>
        <w:tabs>
          <w:tab w:leader="none" w:pos="76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Title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76" w:lineRule="auto"/>
        <w:tabs>
          <w:tab w:leader="none" w:pos="1261" w:val="left"/>
        </w:tabs>
        <w:numPr>
          <w:ilvl w:val="1"/>
          <w:numId w:val="363"/>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You will be employed by the Company, on a full-time basis, as its Chief Financial Officer and to serve as an officer with that same position of Parent, working out of the Company’s headquarters located in San Diego, California. You shall have all the duties, responsibilities and authority commensurate with these positions, subject to the supervision of, and reporting directly to, the Chief Executive Officer of the Company (the “</w:t>
      </w:r>
      <w:r>
        <w:rPr>
          <w:rFonts w:ascii="Arial" w:cs="Arial" w:eastAsia="Arial" w:hAnsi="Arial"/>
          <w:sz w:val="17"/>
          <w:szCs w:val="17"/>
          <w:u w:val="single" w:color="auto"/>
          <w:color w:val="auto"/>
        </w:rPr>
        <w:t>Supervising Officer</w:t>
      </w:r>
      <w:r>
        <w:rPr>
          <w:rFonts w:ascii="Arial" w:cs="Arial" w:eastAsia="Arial" w:hAnsi="Arial"/>
          <w:sz w:val="17"/>
          <w:szCs w:val="17"/>
          <w:color w:val="auto"/>
        </w:rPr>
        <w:t>”). For the avoidance of doubt, all references in this Agreement to your “employment with the Company” shall include your employment with the Company and any of its affiliates and subsidiaries, as applicable.</w:t>
      </w:r>
    </w:p>
    <w:p>
      <w:pPr>
        <w:spacing w:after="0" w:line="172" w:lineRule="exact"/>
        <w:rPr>
          <w:rFonts w:ascii="Arial" w:cs="Arial" w:eastAsia="Arial" w:hAnsi="Arial"/>
          <w:sz w:val="17"/>
          <w:szCs w:val="17"/>
          <w:color w:val="auto"/>
        </w:rPr>
      </w:pPr>
    </w:p>
    <w:p>
      <w:pPr>
        <w:ind w:right="20" w:firstLine="885"/>
        <w:spacing w:after="0" w:line="270" w:lineRule="auto"/>
        <w:tabs>
          <w:tab w:leader="none" w:pos="1271" w:val="left"/>
        </w:tabs>
        <w:numPr>
          <w:ilvl w:val="1"/>
          <w:numId w:val="363"/>
        </w:numPr>
        <w:rPr>
          <w:rFonts w:ascii="Arial" w:cs="Arial" w:eastAsia="Arial" w:hAnsi="Arial"/>
          <w:sz w:val="17"/>
          <w:szCs w:val="17"/>
          <w:color w:val="auto"/>
        </w:rPr>
      </w:pPr>
      <w:r>
        <w:rPr>
          <w:rFonts w:ascii="Arial" w:cs="Arial" w:eastAsia="Arial" w:hAnsi="Arial"/>
          <w:sz w:val="17"/>
          <w:szCs w:val="17"/>
          <w:u w:val="single" w:color="auto"/>
          <w:color w:val="auto"/>
        </w:rPr>
        <w:t>Time Commitment; Outside Activities</w:t>
      </w:r>
      <w:r>
        <w:rPr>
          <w:rFonts w:ascii="Arial" w:cs="Arial" w:eastAsia="Arial" w:hAnsi="Arial"/>
          <w:sz w:val="17"/>
          <w:szCs w:val="17"/>
          <w:color w:val="auto"/>
        </w:rPr>
        <w:t xml:space="preserve">. You agree to perform the duties and responsibilities of your positions, and such other duties and responsibilities as shall from time to time be mutually agreed upon between you and the Supervising Officer. You agree that, while employed by the Company, you will devote substantially all of your 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it is agreed that you may participate in outside charitable, civic, educational, professional, community or industry activities to the extent such activities do not individually or in the aggregate interfere with your duties and responsibilities to the Company or create an actual or potential conflict of interest with the Company’s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your service on any outside boards (whether for profit or non-profit) shall require the prior consent of the Supervising Officer. You agree to abide by the rules, regulations, instructions, personnel practices and policies of the Company, as adopted and amended from time to time by the Company.</w:t>
      </w:r>
    </w:p>
    <w:p>
      <w:pPr>
        <w:spacing w:after="0" w:line="181" w:lineRule="exact"/>
        <w:rPr>
          <w:rFonts w:ascii="Arial" w:cs="Arial" w:eastAsia="Arial" w:hAnsi="Arial"/>
          <w:sz w:val="17"/>
          <w:szCs w:val="17"/>
          <w:color w:val="auto"/>
        </w:rPr>
      </w:pPr>
    </w:p>
    <w:p>
      <w:pPr>
        <w:ind w:right="420" w:firstLine="885"/>
        <w:spacing w:after="0" w:line="264" w:lineRule="auto"/>
        <w:tabs>
          <w:tab w:leader="none" w:pos="1261" w:val="left"/>
        </w:tabs>
        <w:numPr>
          <w:ilvl w:val="1"/>
          <w:numId w:val="363"/>
        </w:numPr>
        <w:rPr>
          <w:rFonts w:ascii="Arial" w:cs="Arial" w:eastAsia="Arial" w:hAnsi="Arial"/>
          <w:sz w:val="18"/>
          <w:szCs w:val="18"/>
          <w:color w:val="auto"/>
        </w:rPr>
      </w:pPr>
      <w:r>
        <w:rPr>
          <w:rFonts w:ascii="Arial" w:cs="Arial" w:eastAsia="Arial" w:hAnsi="Arial"/>
          <w:sz w:val="18"/>
          <w:szCs w:val="18"/>
          <w:u w:val="single" w:color="auto"/>
          <w:color w:val="auto"/>
        </w:rPr>
        <w:t>Transfer of Employment to Gossamer Services</w:t>
      </w:r>
      <w:r>
        <w:rPr>
          <w:rFonts w:ascii="Arial" w:cs="Arial" w:eastAsia="Arial" w:hAnsi="Arial"/>
          <w:sz w:val="18"/>
          <w:szCs w:val="18"/>
          <w:color w:val="auto"/>
        </w:rPr>
        <w:t>. Effective January 1, 2019, the Company will undertake an internal reorganization pursuant to which the employment of all employees will be transferred from Parent to Gossamer Services. As a result, effective January 1, 2019, Gossamer Services will be your employer of record. There will be no break in service as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41" w:name="page542"/>
    <w:bookmarkEnd w:id="54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this transfer of employment. You will continue to work in your same position, with the same terms and conditions of employment, and with the same Supervising Officer, as is currently in effect. In addition, you will continue to participate in substantially the same employee benefit plans that you participated in prior to the transfer, with no immediate changes in benefits or coverage (unless you elect any such changes during open enrollment for 2019). Subject to your elections, all applicable benefits withholdings and elections will continue following the transfer of your employment. Except as described in Section 2(e) below, all other terms and conditions related to your employment will be assigned to Gossamer Services and will remain in full force and effect after the transfer of your employment.</w:t>
      </w:r>
    </w:p>
    <w:p>
      <w:pPr>
        <w:spacing w:after="0" w:line="193" w:lineRule="exact"/>
        <w:rPr>
          <w:sz w:val="20"/>
          <w:szCs w:val="20"/>
          <w:color w:val="auto"/>
        </w:rPr>
      </w:pPr>
    </w:p>
    <w:p>
      <w:pPr>
        <w:ind w:left="760" w:hanging="316"/>
        <w:spacing w:after="0"/>
        <w:tabs>
          <w:tab w:leader="none" w:pos="76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885"/>
        <w:spacing w:after="0" w:line="264" w:lineRule="auto"/>
        <w:tabs>
          <w:tab w:leader="none" w:pos="1261"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receive an annual base salary of $400,000, payable in accordance with the normal payroll practices of the Company in effect from time to time. Your performance will be reviewed by the Compensation Committee of the Board of Directors of Parent (the “</w:t>
      </w:r>
      <w:r>
        <w:rPr>
          <w:rFonts w:ascii="Arial" w:cs="Arial" w:eastAsia="Arial" w:hAnsi="Arial"/>
          <w:sz w:val="18"/>
          <w:szCs w:val="18"/>
          <w:u w:val="single" w:color="auto"/>
          <w:color w:val="auto"/>
        </w:rPr>
        <w:t>Board</w:t>
      </w:r>
      <w:r>
        <w:rPr>
          <w:rFonts w:ascii="Arial" w:cs="Arial" w:eastAsia="Arial" w:hAnsi="Arial"/>
          <w:sz w:val="18"/>
          <w:szCs w:val="18"/>
          <w:color w:val="auto"/>
        </w:rPr>
        <w:t>”) or the Supervising Officer on an annual basis in conjunction with an annual salary review.</w:t>
      </w:r>
    </w:p>
    <w:p>
      <w:pPr>
        <w:spacing w:after="0" w:line="181" w:lineRule="exact"/>
        <w:rPr>
          <w:rFonts w:ascii="Arial" w:cs="Arial" w:eastAsia="Arial" w:hAnsi="Arial"/>
          <w:sz w:val="18"/>
          <w:szCs w:val="18"/>
          <w:color w:val="auto"/>
        </w:rPr>
      </w:pPr>
    </w:p>
    <w:p>
      <w:pPr>
        <w:ind w:right="400" w:firstLine="885"/>
        <w:spacing w:after="0" w:line="293" w:lineRule="auto"/>
        <w:tabs>
          <w:tab w:leader="none" w:pos="1271"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Commencing with calendar year 2018, you will be eligible to receive an annual cash incentive bonus with a target amount equal to 40% of your then-current annual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Your bonus in respect of 2018, and any future bonuses, will be subject to the terms of the applicable bonus plan developed and approved by the Board or the Compensation Committee of the Board. Any bonus awarded will be paid on or before March 15 of the calendar year immediately following the year for which the bonus was awarded, subject to your employment at the end of the calendar year for which the bonus is due, except as otherwise expressly provided for herein. To the extent your employment with Parent commenced following January 1, 2018, your 2018 annual bonus will be pro-rated to reflect your service during 2018.</w:t>
      </w:r>
    </w:p>
    <w:p>
      <w:pPr>
        <w:spacing w:after="0" w:line="164" w:lineRule="exact"/>
        <w:rPr>
          <w:rFonts w:ascii="Arial" w:cs="Arial" w:eastAsia="Arial" w:hAnsi="Arial"/>
          <w:sz w:val="16"/>
          <w:szCs w:val="16"/>
          <w:color w:val="auto"/>
        </w:rPr>
      </w:pPr>
    </w:p>
    <w:p>
      <w:pPr>
        <w:jc w:val="both"/>
        <w:ind w:right="300" w:firstLine="885"/>
        <w:spacing w:after="0" w:line="264" w:lineRule="auto"/>
        <w:tabs>
          <w:tab w:leader="none" w:pos="1261"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w:t>
      </w:r>
    </w:p>
    <w:p>
      <w:pPr>
        <w:spacing w:after="0" w:line="181" w:lineRule="exact"/>
        <w:rPr>
          <w:rFonts w:ascii="Arial" w:cs="Arial" w:eastAsia="Arial" w:hAnsi="Arial"/>
          <w:sz w:val="18"/>
          <w:szCs w:val="18"/>
          <w:color w:val="auto"/>
        </w:rPr>
      </w:pPr>
    </w:p>
    <w:p>
      <w:pPr>
        <w:ind w:right="100" w:firstLine="885"/>
        <w:spacing w:after="0" w:line="308" w:lineRule="auto"/>
        <w:tabs>
          <w:tab w:leader="none" w:pos="1271" w:val="left"/>
        </w:tabs>
        <w:numPr>
          <w:ilvl w:val="1"/>
          <w:numId w:val="364"/>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 The Company will reimburse you for all reasonable business expenses incurred by you in the performance of your duties, subject to the Company’s expense reimbursement policies applicable to senior executives in effect from time to time.</w:t>
      </w:r>
    </w:p>
    <w:p>
      <w:pPr>
        <w:spacing w:after="0" w:line="146" w:lineRule="exact"/>
        <w:rPr>
          <w:rFonts w:ascii="Arial" w:cs="Arial" w:eastAsia="Arial" w:hAnsi="Arial"/>
          <w:sz w:val="17"/>
          <w:szCs w:val="17"/>
          <w:color w:val="auto"/>
        </w:rPr>
      </w:pPr>
    </w:p>
    <w:p>
      <w:pPr>
        <w:ind w:right="100" w:firstLine="885"/>
        <w:spacing w:after="0" w:line="254" w:lineRule="auto"/>
        <w:tabs>
          <w:tab w:leader="none" w:pos="1261"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You will be entitled to paid time off in accordance with the policies of the Company. In connection with your transfer of employment to Gossamer Services effective January 1, 2019, you may be entitled to receive payment of any accrued, unused paid time off that you have accrued with Parent. However, if you receive a payout of all accrued, unused paid time off, please understand you will have no paid time off available to you immediately after the transfer of your employment. In order to avoid this result, Parent and Gossamer Services have arranged to rollover your accrued, unused paid time off to Gossamer Services. If you do not want to rollover your accrued, unused paid time off to the Company, please check the “</w:t>
      </w:r>
      <w:r>
        <w:rPr>
          <w:rFonts w:ascii="Arial" w:cs="Arial" w:eastAsia="Arial" w:hAnsi="Arial"/>
          <w:sz w:val="18"/>
          <w:szCs w:val="18"/>
          <w:i w:val="1"/>
          <w:iCs w:val="1"/>
          <w:color w:val="auto"/>
        </w:rPr>
        <w:t>No Rollover</w:t>
      </w:r>
      <w:r>
        <w:rPr>
          <w:rFonts w:ascii="Arial" w:cs="Arial" w:eastAsia="Arial" w:hAnsi="Arial"/>
          <w:sz w:val="18"/>
          <w:szCs w:val="18"/>
          <w:color w:val="auto"/>
        </w:rPr>
        <w:t>” box below the signature line below. If you do want to rollover your accrued, unused paid time off, and have it available for use with the Company, please check the “</w:t>
      </w:r>
      <w:r>
        <w:rPr>
          <w:rFonts w:ascii="Arial" w:cs="Arial" w:eastAsia="Arial" w:hAnsi="Arial"/>
          <w:sz w:val="18"/>
          <w:szCs w:val="18"/>
          <w:i w:val="1"/>
          <w:iCs w:val="1"/>
          <w:color w:val="auto"/>
        </w:rPr>
        <w:t>Rollover PTO</w:t>
      </w:r>
      <w:r>
        <w:rPr>
          <w:rFonts w:ascii="Arial" w:cs="Arial" w:eastAsia="Arial" w:hAnsi="Arial"/>
          <w:sz w:val="18"/>
          <w:szCs w:val="18"/>
          <w:color w:val="auto"/>
        </w:rPr>
        <w:t>” box below the signature line below. Gossamer Services’ paid time off policy will be the same as the policy currently in effect at Parent.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42" w:name="page543"/>
    <w:bookmarkEnd w:id="542"/>
    <w:p>
      <w:pPr>
        <w:ind w:left="740" w:hanging="316"/>
        <w:spacing w:after="0"/>
        <w:tabs>
          <w:tab w:leader="none" w:pos="7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At-Will Employment;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885"/>
        <w:spacing w:after="0" w:line="291" w:lineRule="auto"/>
        <w:tabs>
          <w:tab w:leader="none" w:pos="1241"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At-Will Employment; Notice of Resignation</w:t>
      </w:r>
      <w:r>
        <w:rPr>
          <w:rFonts w:ascii="Arial" w:cs="Arial" w:eastAsia="Arial" w:hAnsi="Arial"/>
          <w:sz w:val="16"/>
          <w:szCs w:val="16"/>
          <w:color w:val="auto"/>
        </w:rPr>
        <w:t>. This Agreement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an executive officer of the Company, which expressly states the intention to modify the at-will nature of your employment. Similarly, nothing in this Agreement shall be construed as an agreement, either express or implied, to pay you any compensation or grant you any benefit beyond the end of your employment with the Company, except as otherwise explicitly set forth herein.</w:t>
      </w:r>
    </w:p>
    <w:p>
      <w:pPr>
        <w:spacing w:after="0" w:line="167" w:lineRule="exact"/>
        <w:rPr>
          <w:rFonts w:ascii="Arial" w:cs="Arial" w:eastAsia="Arial" w:hAnsi="Arial"/>
          <w:sz w:val="16"/>
          <w:szCs w:val="16"/>
          <w:color w:val="auto"/>
        </w:rPr>
      </w:pPr>
    </w:p>
    <w:p>
      <w:pPr>
        <w:ind w:left="-20" w:right="220" w:firstLine="885"/>
        <w:spacing w:after="0" w:line="264" w:lineRule="auto"/>
        <w:tabs>
          <w:tab w:leader="none" w:pos="1251"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In the event your employment with the Company ever terminates, on your last day of employment, you will receive your accrued but unpaid base salary and all accrued but unused paid time off through the last day of your employment, in accordance with the Company’s then-current payroll policies and practices (the “</w:t>
      </w:r>
      <w:r>
        <w:rPr>
          <w:rFonts w:ascii="Arial" w:cs="Arial" w:eastAsia="Arial" w:hAnsi="Arial"/>
          <w:sz w:val="18"/>
          <w:szCs w:val="18"/>
          <w:u w:val="single" w:color="auto"/>
          <w:color w:val="auto"/>
        </w:rPr>
        <w:t>Termination 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 w:firstLine="885"/>
        <w:spacing w:after="0" w:line="268" w:lineRule="auto"/>
        <w:tabs>
          <w:tab w:leader="none" w:pos="1241"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Prior to a Change in Control or More Than 12 Months Following a Change in Control</w:t>
      </w:r>
      <w:r>
        <w:rPr>
          <w:rFonts w:ascii="Arial" w:cs="Arial" w:eastAsia="Arial" w:hAnsi="Arial"/>
          <w:sz w:val="17"/>
          <w:szCs w:val="17"/>
          <w:color w:val="auto"/>
        </w:rPr>
        <w:t>. Without otherwise limiting the “at-will” nature of your employment, in the event your employment is terminated at any time by the Company (or any of its subsidiaries or affiliates, as applicable, or any of their respective successors or assigns) without Cause (as defined below) (excluding by reason of your death and Disability (as defined below)) or by you for Good Reason in each case prior to a Change in Control (as defined below) or more than twelve (12) months following a Change in Control, then, in addition to the Termination Payment, the Company shall provide the following payments and benefits (“</w:t>
      </w:r>
      <w:r>
        <w:rPr>
          <w:rFonts w:ascii="Arial" w:cs="Arial" w:eastAsia="Arial" w:hAnsi="Arial"/>
          <w:sz w:val="17"/>
          <w:szCs w:val="17"/>
          <w:u w:val="single" w:color="auto"/>
          <w:color w:val="auto"/>
        </w:rPr>
        <w:t>Severance Benefits</w:t>
      </w:r>
      <w:r>
        <w:rPr>
          <w:rFonts w:ascii="Arial" w:cs="Arial" w:eastAsia="Arial" w:hAnsi="Arial"/>
          <w:sz w:val="17"/>
          <w:szCs w:val="17"/>
          <w:color w:val="auto"/>
        </w:rPr>
        <w:t>”): (i) continued payment of your base salary at the then-current rate per pay period for a period of nine (9) months following your termination date, in accordance with the Company’s then-current payroll policies and practices; and (ii) provided you timely elect and remain eligible for coverage pursuant to Part 6 of Title I of ERISA, or similar state law (collectively, “</w:t>
      </w:r>
      <w:r>
        <w:rPr>
          <w:rFonts w:ascii="Arial" w:cs="Arial" w:eastAsia="Arial" w:hAnsi="Arial"/>
          <w:sz w:val="17"/>
          <w:szCs w:val="17"/>
          <w:u w:val="single" w:color="auto"/>
          <w:color w:val="auto"/>
        </w:rPr>
        <w:t>COBRA</w:t>
      </w:r>
      <w:r>
        <w:rPr>
          <w:rFonts w:ascii="Arial" w:cs="Arial" w:eastAsia="Arial" w:hAnsi="Arial"/>
          <w:sz w:val="17"/>
          <w:szCs w:val="17"/>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nine (9) months following such date and (y) the date you become eligible for coverage under a subsequent employer’s medical plan.</w:t>
      </w:r>
    </w:p>
    <w:p>
      <w:pPr>
        <w:spacing w:after="0" w:line="187" w:lineRule="exact"/>
        <w:rPr>
          <w:rFonts w:ascii="Arial" w:cs="Arial" w:eastAsia="Arial" w:hAnsi="Arial"/>
          <w:sz w:val="17"/>
          <w:szCs w:val="17"/>
          <w:color w:val="auto"/>
        </w:rPr>
      </w:pPr>
    </w:p>
    <w:p>
      <w:pPr>
        <w:jc w:val="both"/>
        <w:ind w:left="-20" w:right="320" w:firstLine="885"/>
        <w:spacing w:after="0" w:line="259" w:lineRule="auto"/>
        <w:tabs>
          <w:tab w:leader="none" w:pos="1251"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 Within 12 Months Following a Change in Control</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without Cause (excluding by reason of your death and Disability) or by you for Good Reason, in each case on or within twelve (12) months after a Change in Control, then,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3" w:right="459" w:bottom="1440" w:gutter="0" w:footer="0" w:header="0"/>
        </w:sectPr>
      </w:pPr>
    </w:p>
    <w:bookmarkStart w:id="543" w:name="page544"/>
    <w:bookmarkEnd w:id="543"/>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to the Termination Payment, the Company shall provide the following payments and benefits (“</w:t>
      </w:r>
      <w:r>
        <w:rPr>
          <w:rFonts w:ascii="Arial" w:cs="Arial" w:eastAsia="Arial" w:hAnsi="Arial"/>
          <w:sz w:val="16"/>
          <w:szCs w:val="16"/>
          <w:u w:val="single" w:color="auto"/>
          <w:color w:val="auto"/>
        </w:rPr>
        <w:t>Change in Control Severance Benefits</w:t>
      </w:r>
      <w:r>
        <w:rPr>
          <w:rFonts w:ascii="Arial" w:cs="Arial" w:eastAsia="Arial" w:hAnsi="Arial"/>
          <w:sz w:val="16"/>
          <w:szCs w:val="16"/>
          <w:color w:val="auto"/>
        </w:rPr>
        <w:t>”): (i) continued payment of your base salary at the then-current rate per pay period for a period of twelve (12) months following your termination date, in accordance with the Company’s then-current payroll policies and practices; (ii) payment of your Target Bonus for the calendar year during which your date of termination occurs, on the Payment Date;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w:t>
      </w:r>
    </w:p>
    <w:p>
      <w:pPr>
        <w:spacing w:after="0" w:line="7" w:lineRule="exact"/>
        <w:rPr>
          <w:sz w:val="20"/>
          <w:szCs w:val="20"/>
          <w:color w:val="auto"/>
        </w:rPr>
      </w:pPr>
    </w:p>
    <w:p>
      <w:pPr>
        <w:ind w:right="80" w:firstLine="4"/>
        <w:spacing w:after="0" w:line="255" w:lineRule="auto"/>
        <w:tabs>
          <w:tab w:leader="none" w:pos="25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twelve (12) 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90" w:lineRule="exact"/>
        <w:rPr>
          <w:rFonts w:ascii="Arial" w:cs="Arial" w:eastAsia="Arial" w:hAnsi="Arial"/>
          <w:sz w:val="18"/>
          <w:szCs w:val="18"/>
          <w:color w:val="auto"/>
        </w:rPr>
      </w:pPr>
    </w:p>
    <w:p>
      <w:pPr>
        <w:ind w:right="80" w:firstLine="885"/>
        <w:spacing w:after="0" w:line="255" w:lineRule="auto"/>
        <w:tabs>
          <w:tab w:leader="none" w:pos="1261"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by reason of your death or Disability, then, in addition to the Termination Payment, the Company shall provide that the greater of (i) fifty percent (50%) of the unvested portion of any equity awards then held by you immediately prior to such termination or (ii) the portion of such equity awards that would have otherwise vested in the nine (9) month period following the date of such termination of employment, shall vest and shall no longer be subject to restrictions or forfeiture on the date of such termination (“</w:t>
      </w:r>
      <w:r>
        <w:rPr>
          <w:rFonts w:ascii="Arial" w:cs="Arial" w:eastAsia="Arial" w:hAnsi="Arial"/>
          <w:sz w:val="18"/>
          <w:szCs w:val="18"/>
          <w:u w:val="single" w:color="auto"/>
          <w:color w:val="auto"/>
        </w:rPr>
        <w:t>Qualified Accelerated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firstLine="885"/>
        <w:spacing w:after="0" w:line="255" w:lineRule="auto"/>
        <w:tabs>
          <w:tab w:leader="none" w:pos="1241"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unless, within sixty (60) 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to such form to help ensure enforceability under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any revocation period thereunder has lapsed without exercise by you (or your legal representatives) of such revocation right.</w:t>
      </w:r>
    </w:p>
    <w:p>
      <w:pPr>
        <w:spacing w:after="0" w:line="193" w:lineRule="exact"/>
        <w:rPr>
          <w:rFonts w:ascii="Arial" w:cs="Arial" w:eastAsia="Arial" w:hAnsi="Arial"/>
          <w:sz w:val="18"/>
          <w:szCs w:val="18"/>
          <w:color w:val="auto"/>
        </w:rPr>
      </w:pPr>
    </w:p>
    <w:p>
      <w:pPr>
        <w:jc w:val="both"/>
        <w:ind w:right="100" w:firstLine="885"/>
        <w:spacing w:after="0" w:line="259" w:lineRule="auto"/>
        <w:tabs>
          <w:tab w:leader="none" w:pos="1271"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The Termination Benefits shall be paid or provided or shall commence on the first payroll period following the date the Release becomes effective (the “</w:t>
      </w:r>
      <w:r>
        <w:rPr>
          <w:rFonts w:ascii="Arial" w:cs="Arial" w:eastAsia="Arial" w:hAnsi="Arial"/>
          <w:sz w:val="18"/>
          <w:szCs w:val="18"/>
          <w:u w:val="single" w:color="auto"/>
          <w:color w:val="auto"/>
        </w:rPr>
        <w:t>Payment Date</w:t>
      </w:r>
      <w:r>
        <w:rPr>
          <w:rFonts w:ascii="Arial" w:cs="Arial" w:eastAsia="Arial" w:hAnsi="Arial"/>
          <w:sz w:val="18"/>
          <w:szCs w:val="18"/>
          <w:color w:val="auto"/>
        </w:rPr>
        <w:t>”) and the first payment shall include all accrued amounts from the date of termination, provided that if the period during which you may deliver the Release required hereunder spans two (2) calendar years, the Payment Date shall be no earlier than January 1 of the second calendar year.</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36"/>
        <w:spacing w:after="0" w:line="308" w:lineRule="auto"/>
        <w:tabs>
          <w:tab w:leader="none" w:pos="1783" w:val="left"/>
        </w:tabs>
        <w:numPr>
          <w:ilvl w:val="2"/>
          <w:numId w:val="366"/>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have the meaning set forth in the Gossamer Bio, Inc. 2017 Equity Incentive Plan, as in effect on the Effective Date (the “</w:t>
      </w:r>
      <w:r>
        <w:rPr>
          <w:rFonts w:ascii="Arial" w:cs="Arial" w:eastAsia="Arial" w:hAnsi="Arial"/>
          <w:sz w:val="17"/>
          <w:szCs w:val="17"/>
          <w:u w:val="single" w:color="auto"/>
          <w:color w:val="auto"/>
        </w:rPr>
        <w:t>Equity Plan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effective on the date on which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544" w:name="page545"/>
    <w:bookmarkEnd w:id="544"/>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Registration Statement on Form S-1 filed with respect to the Company’s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becomes effective, “Change in Control” shall have the meaning set forth in the equity plan adopted by Parent in connection with the IPO.</w:t>
      </w:r>
    </w:p>
    <w:p>
      <w:pPr>
        <w:spacing w:after="0" w:line="170" w:lineRule="exact"/>
        <w:rPr>
          <w:sz w:val="20"/>
          <w:szCs w:val="20"/>
          <w:color w:val="auto"/>
        </w:rPr>
      </w:pPr>
    </w:p>
    <w:p>
      <w:pPr>
        <w:ind w:firstLine="1436"/>
        <w:spacing w:after="0" w:line="286" w:lineRule="auto"/>
        <w:tabs>
          <w:tab w:leader="none" w:pos="1823" w:val="left"/>
        </w:tabs>
        <w:numPr>
          <w:ilvl w:val="2"/>
          <w:numId w:val="367"/>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means: (A) a willful and material act of dishonesty by you in connection with the performance of your duties as an employee of the Company; (B) your conviction of, or plea of guilty or nolo contendere to, a felony, or any crime involving fraud or embezzlement that the Board reasonably determines has had or is reasonably likely to have a materially detrimental effect on the Company’s reputation or business; (C) your gross misconduct in the performance of your duties as an employee of the Company; (D) your willful and material unauthorized use or disclosure of any proprietary information or trade secrets of the Company or any other party to whom you owe an obligation of nondisclosure as a result of your relationship with the Company; (E) your willful and material breach of any obligations under any written agreement or written covenant with the Company; or (F) your continued willful and substantial failure to perform your material employment duties that are lawfully assigned to you in good faith by your reporting superior (other than as a result of your death or Disability) after written 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no act or failure to act on your part shall be considered “willful” unless it is done or omitted to be done by you in bad faith and without reasonable belief that the act or failure to act was in the best interest of the Company.</w:t>
      </w:r>
    </w:p>
    <w:p>
      <w:pPr>
        <w:spacing w:after="0" w:line="174" w:lineRule="exact"/>
        <w:rPr>
          <w:rFonts w:ascii="Arial" w:cs="Arial" w:eastAsia="Arial" w:hAnsi="Arial"/>
          <w:sz w:val="16"/>
          <w:szCs w:val="16"/>
          <w:color w:val="auto"/>
        </w:rPr>
      </w:pPr>
    </w:p>
    <w:p>
      <w:pPr>
        <w:ind w:right="280" w:firstLine="1436"/>
        <w:spacing w:after="0" w:line="288" w:lineRule="auto"/>
        <w:tabs>
          <w:tab w:leader="none" w:pos="1873" w:val="left"/>
        </w:tabs>
        <w:numPr>
          <w:ilvl w:val="2"/>
          <w:numId w:val="367"/>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(A) a material reduction in your base salary or target annual bonus; (B) a material diminution of your title, duties, responsibilities or reporting lines; (C) a material change in the principal geographic location at which you must perform services, more than fifty (50) miles from the Company’s head office;</w:t>
      </w:r>
    </w:p>
    <w:p>
      <w:pPr>
        <w:ind w:right="260" w:firstLine="4"/>
        <w:spacing w:after="0" w:line="254" w:lineRule="auto"/>
        <w:tabs>
          <w:tab w:leader="none" w:pos="29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material breach by the Company of this Agreement.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89" w:lineRule="exact"/>
        <w:rPr>
          <w:rFonts w:ascii="Arial" w:cs="Arial" w:eastAsia="Arial" w:hAnsi="Arial"/>
          <w:sz w:val="18"/>
          <w:szCs w:val="18"/>
          <w:color w:val="auto"/>
        </w:rPr>
      </w:pPr>
    </w:p>
    <w:p>
      <w:pPr>
        <w:ind w:right="180" w:firstLine="1436"/>
        <w:spacing w:after="0" w:line="277" w:lineRule="auto"/>
        <w:tabs>
          <w:tab w:leader="none" w:pos="1863" w:val="left"/>
        </w:tabs>
        <w:numPr>
          <w:ilvl w:val="2"/>
          <w:numId w:val="368"/>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within the meaning of Section 22(e)(3) of the Code, as it may be amended from time to time.</w:t>
      </w:r>
    </w:p>
    <w:p>
      <w:pPr>
        <w:spacing w:after="0" w:line="170" w:lineRule="exact"/>
        <w:rPr>
          <w:rFonts w:ascii="Arial" w:cs="Arial" w:eastAsia="Arial" w:hAnsi="Arial"/>
          <w:sz w:val="18"/>
          <w:szCs w:val="18"/>
          <w:color w:val="auto"/>
        </w:rPr>
      </w:pPr>
    </w:p>
    <w:p>
      <w:pPr>
        <w:ind w:right="300" w:firstLine="885"/>
        <w:spacing w:after="0" w:line="259" w:lineRule="auto"/>
        <w:tabs>
          <w:tab w:leader="none" w:pos="1231"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Any severance payments to you under this Agreement shall begin only after the date of your “separation from service” within the meaning of Internal Revenue Code Section 409A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determined as set forth below, which occurs on or after date of the termination of your employment, and shall be subject to the following provisions:</w:t>
      </w:r>
    </w:p>
    <w:p>
      <w:pPr>
        <w:spacing w:after="0" w:line="78" w:lineRule="exact"/>
        <w:rPr>
          <w:rFonts w:ascii="Arial" w:cs="Arial" w:eastAsia="Arial" w:hAnsi="Arial"/>
          <w:sz w:val="18"/>
          <w:szCs w:val="18"/>
          <w:color w:val="auto"/>
        </w:rPr>
      </w:pPr>
    </w:p>
    <w:p>
      <w:pPr>
        <w:ind w:right="20" w:firstLine="1436"/>
        <w:spacing w:after="0" w:line="308" w:lineRule="auto"/>
        <w:tabs>
          <w:tab w:leader="none" w:pos="1779" w:val="left"/>
        </w:tabs>
        <w:numPr>
          <w:ilvl w:val="2"/>
          <w:numId w:val="369"/>
        </w:numPr>
        <w:rPr>
          <w:rFonts w:ascii="Arial" w:cs="Arial" w:eastAsia="Arial" w:hAnsi="Arial"/>
          <w:sz w:val="17"/>
          <w:szCs w:val="17"/>
          <w:color w:val="auto"/>
        </w:rPr>
      </w:pPr>
      <w:r>
        <w:rPr>
          <w:rFonts w:ascii="Arial" w:cs="Arial" w:eastAsia="Arial" w:hAnsi="Arial"/>
          <w:sz w:val="17"/>
          <w:szCs w:val="17"/>
          <w:color w:val="auto"/>
        </w:rPr>
        <w:t>The intent of the parties is that payments and benefits under this Agreement comply with, or be exempt from Section 409A and, accordingly, to the maximum extent permitted, this Agreement shall be interpreted to be in compliance therewith. For purposes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45" w:name="page546"/>
    <w:bookmarkEnd w:id="545"/>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Section 409A, your right to receive any installment payments pursuant to this Agreement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1" w:lineRule="exact"/>
        <w:rPr>
          <w:sz w:val="20"/>
          <w:szCs w:val="20"/>
          <w:color w:val="auto"/>
        </w:rPr>
      </w:pPr>
    </w:p>
    <w:p>
      <w:pPr>
        <w:ind w:right="40" w:firstLine="1436"/>
        <w:spacing w:after="0" w:line="308" w:lineRule="auto"/>
        <w:tabs>
          <w:tab w:leader="none" w:pos="1833" w:val="left"/>
        </w:tabs>
        <w:numPr>
          <w:ilvl w:val="1"/>
          <w:numId w:val="370"/>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of the severance payments shall be made on the dates and terms set forth in this Agreement.</w:t>
      </w:r>
    </w:p>
    <w:p>
      <w:pPr>
        <w:spacing w:after="0" w:line="146" w:lineRule="exact"/>
        <w:rPr>
          <w:rFonts w:ascii="Arial" w:cs="Arial" w:eastAsia="Arial" w:hAnsi="Arial"/>
          <w:sz w:val="17"/>
          <w:szCs w:val="17"/>
          <w:color w:val="auto"/>
        </w:rPr>
      </w:pPr>
    </w:p>
    <w:p>
      <w:pPr>
        <w:ind w:left="1880" w:hanging="444"/>
        <w:spacing w:after="0"/>
        <w:tabs>
          <w:tab w:leader="none" w:pos="188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then:</w:t>
      </w:r>
    </w:p>
    <w:p>
      <w:pPr>
        <w:spacing w:after="0" w:line="102" w:lineRule="exact"/>
        <w:rPr>
          <w:rFonts w:ascii="Arial" w:cs="Arial" w:eastAsia="Arial" w:hAnsi="Arial"/>
          <w:sz w:val="16"/>
          <w:szCs w:val="16"/>
          <w:color w:val="auto"/>
        </w:rPr>
      </w:pPr>
    </w:p>
    <w:p>
      <w:pPr>
        <w:jc w:val="both"/>
        <w:ind w:right="20" w:firstLine="1877"/>
        <w:spacing w:after="0" w:line="259" w:lineRule="auto"/>
        <w:tabs>
          <w:tab w:leader="none" w:pos="2303" w:val="left"/>
        </w:tabs>
        <w:numPr>
          <w:ilvl w:val="2"/>
          <w:numId w:val="370"/>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Agreement,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 shall be paid on the dates and terms set forth in this Agreement; and</w:t>
      </w:r>
    </w:p>
    <w:p>
      <w:pPr>
        <w:spacing w:after="0" w:line="186" w:lineRule="exact"/>
        <w:rPr>
          <w:rFonts w:ascii="Arial" w:cs="Arial" w:eastAsia="Arial" w:hAnsi="Arial"/>
          <w:sz w:val="18"/>
          <w:szCs w:val="18"/>
          <w:color w:val="auto"/>
        </w:rPr>
      </w:pPr>
    </w:p>
    <w:p>
      <w:pPr>
        <w:ind w:right="240" w:firstLine="1877"/>
        <w:spacing w:after="0" w:line="291" w:lineRule="auto"/>
        <w:tabs>
          <w:tab w:leader="none" w:pos="2293" w:val="left"/>
        </w:tabs>
        <w:numPr>
          <w:ilvl w:val="2"/>
          <w:numId w:val="370"/>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(iii)(A) above and that would, absent this clause (B), be paid within the six-month period following your “separation from service” from the Company shall not be paid until the date that is six</w:t>
      </w:r>
    </w:p>
    <w:p>
      <w:pPr>
        <w:ind w:firstLine="4"/>
        <w:spacing w:after="0" w:line="268" w:lineRule="auto"/>
        <w:tabs>
          <w:tab w:leader="none" w:pos="255"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months and one (1) 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84" w:lineRule="exact"/>
        <w:rPr>
          <w:rFonts w:ascii="Arial" w:cs="Arial" w:eastAsia="Arial" w:hAnsi="Arial"/>
          <w:sz w:val="17"/>
          <w:szCs w:val="17"/>
          <w:color w:val="auto"/>
        </w:rPr>
      </w:pPr>
    </w:p>
    <w:p>
      <w:pPr>
        <w:ind w:right="60" w:firstLine="1436"/>
        <w:spacing w:after="0" w:line="312" w:lineRule="auto"/>
        <w:tabs>
          <w:tab w:leader="none" w:pos="1869"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140" w:firstLine="1436"/>
        <w:spacing w:after="0" w:line="288" w:lineRule="auto"/>
        <w:tabs>
          <w:tab w:leader="none" w:pos="1813"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(A) any reimbursement is for expenses incurred during your lifetime (or during a shorter period of time specified in this Agreement),</w:t>
      </w:r>
    </w:p>
    <w:p>
      <w:pPr>
        <w:ind w:right="100"/>
        <w:spacing w:after="0" w:line="277" w:lineRule="auto"/>
        <w:rPr>
          <w:rFonts w:ascii="Arial" w:cs="Arial" w:eastAsia="Arial" w:hAnsi="Arial"/>
          <w:sz w:val="16"/>
          <w:szCs w:val="16"/>
          <w:color w:val="auto"/>
        </w:rPr>
      </w:pPr>
      <w:r>
        <w:rPr>
          <w:rFonts w:ascii="Arial" w:cs="Arial" w:eastAsia="Arial" w:hAnsi="Arial"/>
          <w:sz w:val="17"/>
          <w:szCs w:val="17"/>
          <w:color w:val="auto"/>
        </w:rPr>
        <w:t>(B) the amount of expenses eligible for reimbursement during a calendar year may not affect the expenses eligible for reimbursement in 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546" w:name="page547"/>
    <w:bookmarkEnd w:id="546"/>
    <w:p>
      <w:pPr>
        <w:ind w:firstLine="1436"/>
        <w:spacing w:after="0" w:line="287" w:lineRule="auto"/>
        <w:tabs>
          <w:tab w:leader="none" w:pos="1873" w:val="left"/>
        </w:tabs>
        <w:numPr>
          <w:ilvl w:val="2"/>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other provision of this Agreement, the Company makes no representation or warranty and shall have no liability to you or to any other person if any provisions of this Agreement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Agreement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 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correction is consistent with the commercial intent of the parties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Company be obligated to incur any material cost in connection with its obligations under this sentence.</w:t>
      </w:r>
    </w:p>
    <w:p>
      <w:pPr>
        <w:spacing w:after="0" w:line="168" w:lineRule="exact"/>
        <w:rPr>
          <w:rFonts w:ascii="Arial" w:cs="Arial" w:eastAsia="Arial" w:hAnsi="Arial"/>
          <w:sz w:val="16"/>
          <w:szCs w:val="16"/>
          <w:color w:val="auto"/>
        </w:rPr>
      </w:pPr>
    </w:p>
    <w:p>
      <w:pPr>
        <w:ind w:right="100" w:firstLine="885"/>
        <w:spacing w:after="0" w:line="259" w:lineRule="auto"/>
        <w:tabs>
          <w:tab w:leader="none" w:pos="137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sz w:val="20"/>
          <w:szCs w:val="20"/>
          <w:color w:val="auto"/>
        </w:rPr>
      </w:pPr>
    </w:p>
    <w:p>
      <w:pPr>
        <w:ind w:right="20" w:firstLine="885"/>
        <w:spacing w:after="0" w:line="287" w:lineRule="auto"/>
        <w:tabs>
          <w:tab w:leader="none" w:pos="1261"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Best Pay Provision</w:t>
      </w:r>
      <w:r>
        <w:rPr>
          <w:rFonts w:ascii="Arial" w:cs="Arial" w:eastAsia="Arial" w:hAnsi="Arial"/>
          <w:sz w:val="16"/>
          <w:szCs w:val="16"/>
          <w:color w:val="auto"/>
        </w:rPr>
        <w:t>. Notwithstanding anything to the contrary contained in this Agreement, to the extent that any of the payments and benefits provided for under this Agreement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(i) constitute a “parachute payment” within the meaning of Section 280G of the Code and (ii) but for this paragraph, would be subject to the excise tax imposed by Section 4999 of the Code, then the Payments shall be reduced to the extent necessary so that no portion of such Payments retained by you shall be subject to excise tax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such reduction shall only occur if after taking into account the applicable federal, state and local income taxes and the excise tax imposed by Section 4999 of the Code, such reduction results in your receipt on an after-tax basis, of the greatest amount of benefits under this Agreement,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sentence shall not apply if, immediately before the change in ownership or control on which such Payment is contingent or otherwise relates, no stock in the Company is readily tradeable on an established securities market or otherwise (as determined in accordance with Treasury Reg. Section 1.280G-1 Q&amp;A 6). In the event of a determination that 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47" w:name="page548"/>
    <w:bookmarkEnd w:id="547"/>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to be reduced; second, cancellation of accelerated vesting of equity awards, which shall occur in the reverse order of the date of grant for such stock awards (i.e., the vesting of the most recently granted stock awards will be reduced first); and third, reduction of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154" w:lineRule="exact"/>
        <w:rPr>
          <w:sz w:val="20"/>
          <w:szCs w:val="20"/>
          <w:color w:val="auto"/>
        </w:rPr>
      </w:pPr>
    </w:p>
    <w:p>
      <w:pPr>
        <w:ind w:right="40" w:firstLine="885"/>
        <w:spacing w:after="0" w:line="270" w:lineRule="auto"/>
        <w:tabs>
          <w:tab w:leader="none" w:pos="1271"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Notwithstanding the foregoing, if any Payments would not be subject to such excise tax if the stockholder approval requirements of Section 280G(b)(5) of the Code are satisfied, subject to your waiver of the rights to such Payments in accordance with Section 280G of the Code with respect to any portion of the Payments that would otherwise be subject to excise tax imposed by Section 4999 of the Code (before giving effect to any reduction in Payments contemplated in the two preceding sentences), the Company shall use its reasonable best efforts to cause such payments to be submitted for such approval prior to the event giving rise to such payments. To the extent the Company submits any payment or benefit payable to you under this Agreement or otherwise to the Company’s stockholders for approval in accordance with Treasury Reg.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 In no event shall you have any discretion with respect to the ordering of payment reductions.</w:t>
      </w:r>
    </w:p>
    <w:p>
      <w:pPr>
        <w:spacing w:after="0" w:line="177" w:lineRule="exact"/>
        <w:rPr>
          <w:rFonts w:ascii="Arial" w:cs="Arial" w:eastAsia="Arial" w:hAnsi="Arial"/>
          <w:sz w:val="17"/>
          <w:szCs w:val="17"/>
          <w:color w:val="auto"/>
        </w:rPr>
      </w:pPr>
    </w:p>
    <w:p>
      <w:pPr>
        <w:ind w:firstLine="885"/>
        <w:spacing w:after="0" w:line="287" w:lineRule="auto"/>
        <w:tabs>
          <w:tab w:leader="none" w:pos="1261"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Unless you and the Company otherwise agree in writing, any determination required under this paragraph shall be made in writing by the Company’s independent public accountants immediately preceding the change in ownership or control on which such Payments are contingent or otherwise relate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you and the Company for all purposes. For purposes of making the calculations required by this Section 4, the Accountants may make reasonable assumptions and approximations concerning applicable taxes and may rely in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Company shall bear all costs the Accountants may reasonably incur in connection with any calculations contemplated by this paragraph. If the limitation set forth in Section 4(a) is applied to reduce an amount payable to you, and the Internal Revenue Service successfully asserts that, despite the reduction, you have nonetheless received payments which are in excess of the maximum amount that could have been paid to you without being subjected to any excise tax, then, unless it would be unlawful for the Company to make such a loan or similar extension of credit to you, you may repay such excess amount to the Company as though such amount constitutes a loan to you made at the date of payment of such excess amount, bearing interest at 120% of the applicable federal rate (as determined under Section 1274(d) of the Code in respect of such loan).</w:t>
      </w:r>
    </w:p>
    <w:p>
      <w:pPr>
        <w:spacing w:after="0" w:line="168" w:lineRule="exact"/>
        <w:rPr>
          <w:rFonts w:ascii="Arial" w:cs="Arial" w:eastAsia="Arial" w:hAnsi="Arial"/>
          <w:sz w:val="16"/>
          <w:szCs w:val="16"/>
          <w:color w:val="auto"/>
        </w:rPr>
      </w:pPr>
    </w:p>
    <w:p>
      <w:pPr>
        <w:ind w:left="760" w:hanging="316"/>
        <w:spacing w:after="0"/>
        <w:tabs>
          <w:tab w:leader="none" w:pos="76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64" w:lineRule="auto"/>
        <w:tabs>
          <w:tab w:leader="none" w:pos="1261"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No Other Agreements</w:t>
      </w:r>
      <w:r>
        <w:rPr>
          <w:rFonts w:ascii="Arial" w:cs="Arial" w:eastAsia="Arial" w:hAnsi="Arial"/>
          <w:sz w:val="18"/>
          <w:szCs w:val="18"/>
          <w:color w:val="auto"/>
        </w:rPr>
        <w:t>. You represent that you are not bound by any employment contract, restrictive covenant or other restriction preventing you from entering into employment with or carrying out your responsibilities for the Company, or which is in any way inconsistent with the terms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548" w:name="page549"/>
    <w:bookmarkEnd w:id="548"/>
    <w:p>
      <w:pPr>
        <w:ind w:left="-40" w:right="40" w:firstLine="885"/>
        <w:spacing w:after="0" w:line="277" w:lineRule="auto"/>
        <w:tabs>
          <w:tab w:leader="none" w:pos="1231"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PIIA</w:t>
      </w:r>
      <w:r>
        <w:rPr>
          <w:rFonts w:ascii="Arial" w:cs="Arial" w:eastAsia="Arial" w:hAnsi="Arial"/>
          <w:sz w:val="18"/>
          <w:szCs w:val="18"/>
          <w:color w:val="auto"/>
        </w:rPr>
        <w:t xml:space="preserve">. You have previously executed the Company’s Proprietary Information and Inventions Assignment Agreement,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PIIA</w:t>
      </w:r>
      <w:r>
        <w:rPr>
          <w:rFonts w:ascii="Arial" w:cs="Arial" w:eastAsia="Arial" w:hAnsi="Arial"/>
          <w:sz w:val="18"/>
          <w:szCs w:val="18"/>
          <w:color w:val="auto"/>
        </w:rPr>
        <w:t>”), and you hereby reaffirm your agreements and obligations thereunder.</w:t>
      </w:r>
    </w:p>
    <w:p>
      <w:pPr>
        <w:spacing w:after="0" w:line="170" w:lineRule="exact"/>
        <w:rPr>
          <w:rFonts w:ascii="Arial" w:cs="Arial" w:eastAsia="Arial" w:hAnsi="Arial"/>
          <w:sz w:val="18"/>
          <w:szCs w:val="18"/>
          <w:color w:val="auto"/>
        </w:rPr>
      </w:pPr>
    </w:p>
    <w:p>
      <w:pPr>
        <w:ind w:left="-40" w:firstLine="885"/>
        <w:spacing w:after="0" w:line="253" w:lineRule="auto"/>
        <w:tabs>
          <w:tab w:leader="none" w:pos="1221"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Defend Trade Secrets Act Notice of Immunity Rights</w:t>
      </w:r>
      <w:r>
        <w:rPr>
          <w:rFonts w:ascii="Arial" w:cs="Arial" w:eastAsia="Arial" w:hAnsi="Arial"/>
          <w:sz w:val="18"/>
          <w:szCs w:val="18"/>
          <w:color w:val="auto"/>
        </w:rPr>
        <w:t>.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Proprietary Information (as defined in the PIIA)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Proprietary Information that is made in a complaint or other document filed in a lawsuit or other proceeding, if such filing is made under seal; and (iii) if you file a lawsuit for retaliation by the Company for reporting a suspected violation of law, you may disclose the Proprietary Information to your attorney and use the Proprietary Information in the court proceeding, if you file any document containing the Proprietary Information under seal, and do not disclose the Proprietary Information, except pursuant to court order.</w:t>
      </w:r>
    </w:p>
    <w:p>
      <w:pPr>
        <w:spacing w:after="0" w:line="197" w:lineRule="exact"/>
        <w:rPr>
          <w:rFonts w:ascii="Arial" w:cs="Arial" w:eastAsia="Arial" w:hAnsi="Arial"/>
          <w:sz w:val="18"/>
          <w:szCs w:val="18"/>
          <w:color w:val="auto"/>
        </w:rPr>
      </w:pPr>
    </w:p>
    <w:p>
      <w:pPr>
        <w:ind w:left="-40" w:right="80" w:firstLine="444"/>
        <w:spacing w:after="0" w:line="273" w:lineRule="auto"/>
        <w:tabs>
          <w:tab w:leader="none" w:pos="716"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rFonts w:ascii="Arial" w:cs="Arial" w:eastAsia="Arial" w:hAnsi="Arial"/>
          <w:sz w:val="17"/>
          <w:szCs w:val="17"/>
          <w:color w:val="auto"/>
        </w:rPr>
      </w:pPr>
    </w:p>
    <w:p>
      <w:pPr>
        <w:ind w:left="-40" w:firstLine="444"/>
        <w:spacing w:after="0" w:line="269" w:lineRule="auto"/>
        <w:tabs>
          <w:tab w:leader="none" w:pos="716"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Entire Agreement; Miscellaneous</w:t>
      </w:r>
      <w:r>
        <w:rPr>
          <w:rFonts w:ascii="Arial" w:cs="Arial" w:eastAsia="Arial" w:hAnsi="Arial"/>
          <w:sz w:val="17"/>
          <w:szCs w:val="17"/>
          <w:color w:val="auto"/>
        </w:rPr>
        <w:t>. This Agreement, together with any documents relating to the Company equity held by you, any stock grant notices or stock agreements referenced herein and the PIIA, constitutes the entire agreement and understanding between the parties as to the subject matter herein and supersedes all prior or contemporaneous agreements whether written or oral. The terms of this Agreement may only be modified in a specific writing signed by you and an authorized representative of the Company. The invalidity or unenforceability of any provision or provisions of this Agreement will not affect the validity or enforceability of any other provision hereof, which will remain in full force and effect. The terms in this Agreement may only be modified in writing and signed by you and an executive officer of the Company. In the event of any conflict between any of the terms in this Agreement and the terms of any other agreement between you and the Company, the terms of this Agreement will control. This Agreement may be executed in any number of counterparts, all of which taken together shall constitute one instrument. Execution and delivery of this Agreement by facsimile or other electronic signature is legal, valid and binding for all purposes. This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3" w:right="459" w:bottom="1440" w:gutter="0" w:footer="0" w:header="0"/>
        </w:sectPr>
      </w:pPr>
    </w:p>
    <w:bookmarkStart w:id="549" w:name="page550"/>
    <w:bookmarkEnd w:id="549"/>
    <w:p>
      <w:pPr>
        <w:ind w:left="-40" w:right="80" w:firstLine="444"/>
        <w:spacing w:after="0" w:line="277" w:lineRule="auto"/>
        <w:tabs>
          <w:tab w:leader="none" w:pos="71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Your employment and this Agreement will be governed by the laws of the State of California, without reference to conflicts of laws principles which would result in the application of the law of any other jurisdiction.</w:t>
      </w:r>
    </w:p>
    <w:p>
      <w:pPr>
        <w:spacing w:after="0" w:line="170" w:lineRule="exact"/>
        <w:rPr>
          <w:rFonts w:ascii="Arial" w:cs="Arial" w:eastAsia="Arial" w:hAnsi="Arial"/>
          <w:sz w:val="18"/>
          <w:szCs w:val="18"/>
          <w:color w:val="auto"/>
        </w:rPr>
      </w:pPr>
    </w:p>
    <w:p>
      <w:pPr>
        <w:ind w:left="-40" w:firstLine="444"/>
        <w:spacing w:after="0" w:line="267" w:lineRule="auto"/>
        <w:tabs>
          <w:tab w:leader="none" w:pos="716"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aid in the rapid and economical resolution of any disputes that may arise in the course of the employment relationship, you and the Company agree that any and all disputes, claims, or demands in any way arising out of or relating to the terms of this Agreement, Company equity held by you,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7"/>
          <w:szCs w:val="17"/>
          <w:u w:val="single" w:color="auto"/>
          <w:color w:val="auto"/>
        </w:rPr>
        <w:t>JAMS Rules</w:t>
      </w:r>
      <w:r>
        <w:rPr>
          <w:rFonts w:ascii="Arial" w:cs="Arial" w:eastAsia="Arial" w:hAnsi="Arial"/>
          <w:sz w:val="17"/>
          <w:szCs w:val="17"/>
          <w:color w:val="auto"/>
        </w:rPr>
        <w:t xml:space="preserve">”) and the Federal Arbitration Act, 9 U.S.C. Sec. 1, et seq. A copy of the JAMS rules may be found on the JAMS website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and will be provided to you by the Company upon request. BY AGREEING TO THIS ARBITRATION PROCEDURE, YOU AND THE COMPANY WAIVE THE RIGHT TO RESOLVE ANY SUCH DISPUTE, CLAIM OR DEMAND 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w:t>
      </w:r>
    </w:p>
    <w:p>
      <w:pPr>
        <w:spacing w:after="0" w:line="187" w:lineRule="exact"/>
        <w:rPr>
          <w:rFonts w:ascii="Arial" w:cs="Arial" w:eastAsia="Arial" w:hAnsi="Arial"/>
          <w:sz w:val="17"/>
          <w:szCs w:val="17"/>
          <w:color w:val="auto"/>
        </w:rPr>
      </w:pPr>
    </w:p>
    <w:p>
      <w:pPr>
        <w:ind w:left="-40" w:right="100" w:firstLine="444"/>
        <w:spacing w:after="0" w:line="277" w:lineRule="auto"/>
        <w:tabs>
          <w:tab w:leader="none" w:pos="80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Withholding and other Deductions</w:t>
      </w:r>
      <w:r>
        <w:rPr>
          <w:rFonts w:ascii="Arial" w:cs="Arial" w:eastAsia="Arial" w:hAnsi="Arial"/>
          <w:sz w:val="18"/>
          <w:szCs w:val="18"/>
          <w:color w:val="auto"/>
        </w:rPr>
        <w:t>. All compensation payable to you hereunder shall be subject to such deductions as the Company is from time to time required to make pursuant to law, governmental regulation or order.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550" w:name="page551"/>
    <w:bookmarkEnd w:id="5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acknowledge your acceptance of the terms of this Agreement by returning a signed copy of this Agreement.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-130810</wp:posOffset>
            </wp:positionV>
            <wp:extent cx="24352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-130810</wp:posOffset>
            </wp:positionV>
            <wp:extent cx="243522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8"/>
                <w:szCs w:val="18"/>
                <w:color w:val="auto"/>
              </w:rPr>
              <w:t>/s/Bryan Giraudo</w:t>
            </w:r>
          </w:p>
        </w:tc>
        <w:tc>
          <w:tcPr>
            <w:tcW w:w="2780" w:type="dxa"/>
            <w:vAlign w:val="bottom"/>
            <w:gridSpan w:val="2"/>
          </w:tcPr>
          <w:p>
            <w:pPr>
              <w:ind w:left="660"/>
              <w:spacing w:after="0"/>
              <w:rPr>
                <w:sz w:val="20"/>
                <w:szCs w:val="20"/>
                <w:color w:val="auto"/>
              </w:rPr>
            </w:pPr>
            <w:r>
              <w:rPr>
                <w:rFonts w:ascii="Arial" w:cs="Arial" w:eastAsia="Arial" w:hAnsi="Arial"/>
                <w:sz w:val="18"/>
                <w:szCs w:val="18"/>
                <w:color w:val="auto"/>
              </w:rPr>
              <w:t>Date: December 4, 2018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Bryan Giraudo</w:t>
            </w:r>
          </w:p>
        </w:tc>
        <w:tc>
          <w:tcPr>
            <w:tcW w:w="10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89" w:lineRule="exact"/>
        <w:rPr>
          <w:sz w:val="20"/>
          <w:szCs w:val="20"/>
          <w:color w:val="auto"/>
        </w:rPr>
      </w:pPr>
    </w:p>
    <w:p>
      <w:pPr>
        <w:ind w:left="440" w:right="60" w:hanging="436"/>
        <w:spacing w:after="0" w:line="282" w:lineRule="auto"/>
        <w:tabs>
          <w:tab w:leader="none" w:pos="440" w:val="left"/>
        </w:tabs>
        <w:numPr>
          <w:ilvl w:val="0"/>
          <w:numId w:val="381"/>
        </w:numPr>
        <w:rPr>
          <w:rFonts w:ascii="MS PGothic" w:cs="MS PGothic" w:eastAsia="MS PGothic" w:hAnsi="MS PGothic"/>
          <w:sz w:val="18"/>
          <w:szCs w:val="18"/>
          <w:color w:val="auto"/>
        </w:rPr>
      </w:pPr>
      <w:r>
        <w:rPr>
          <w:rFonts w:ascii="Arial" w:cs="Arial" w:eastAsia="Arial" w:hAnsi="Arial"/>
          <w:sz w:val="18"/>
          <w:szCs w:val="18"/>
          <w:b w:val="1"/>
          <w:bCs w:val="1"/>
          <w:color w:val="auto"/>
        </w:rPr>
        <w:t>Rollover PTO</w:t>
      </w:r>
      <w:r>
        <w:rPr>
          <w:rFonts w:ascii="Arial" w:cs="Arial" w:eastAsia="Arial" w:hAnsi="Arial"/>
          <w:sz w:val="18"/>
          <w:szCs w:val="18"/>
          <w:color w:val="auto"/>
        </w:rPr>
        <w:t>. I want to rollover my accrued, unused paid time off, and to have it available for use with the Company following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my employment.</w:t>
      </w:r>
    </w:p>
    <w:p>
      <w:pPr>
        <w:spacing w:after="0" w:line="67" w:lineRule="exact"/>
        <w:rPr>
          <w:sz w:val="20"/>
          <w:szCs w:val="20"/>
          <w:color w:val="auto"/>
        </w:rPr>
      </w:pPr>
    </w:p>
    <w:p>
      <w:pPr>
        <w:ind w:left="440" w:hanging="436"/>
        <w:spacing w:after="0" w:line="313" w:lineRule="auto"/>
        <w:tabs>
          <w:tab w:leader="none" w:pos="440" w:val="left"/>
        </w:tabs>
        <w:numPr>
          <w:ilvl w:val="0"/>
          <w:numId w:val="382"/>
        </w:numPr>
        <w:rPr>
          <w:rFonts w:ascii="MS PGothic" w:cs="MS PGothic" w:eastAsia="MS PGothic" w:hAnsi="MS PGothic"/>
          <w:sz w:val="17"/>
          <w:szCs w:val="17"/>
          <w:color w:val="auto"/>
        </w:rPr>
      </w:pPr>
      <w:r>
        <w:rPr>
          <w:rFonts w:ascii="Arial" w:cs="Arial" w:eastAsia="Arial" w:hAnsi="Arial"/>
          <w:sz w:val="17"/>
          <w:szCs w:val="17"/>
          <w:b w:val="1"/>
          <w:bCs w:val="1"/>
          <w:color w:val="auto"/>
        </w:rPr>
        <w:t>No Rollover</w:t>
      </w:r>
      <w:r>
        <w:rPr>
          <w:rFonts w:ascii="Arial" w:cs="Arial" w:eastAsia="Arial" w:hAnsi="Arial"/>
          <w:sz w:val="17"/>
          <w:szCs w:val="17"/>
          <w:color w:val="auto"/>
        </w:rPr>
        <w:t>. I do not want to rollover my accrued, unused paid time off, and understand that I will receive a payout of my accrued, unused paid</w:t>
      </w:r>
      <w:r>
        <w:rPr>
          <w:rFonts w:ascii="Arial" w:cs="Arial" w:eastAsia="Arial" w:hAnsi="Arial"/>
          <w:sz w:val="17"/>
          <w:szCs w:val="17"/>
          <w:b w:val="1"/>
          <w:bCs w:val="1"/>
          <w:color w:val="auto"/>
        </w:rPr>
        <w:t xml:space="preserve"> </w:t>
      </w:r>
      <w:r>
        <w:rPr>
          <w:rFonts w:ascii="Arial" w:cs="Arial" w:eastAsia="Arial" w:hAnsi="Arial"/>
          <w:sz w:val="17"/>
          <w:szCs w:val="17"/>
          <w:color w:val="auto"/>
        </w:rPr>
        <w:t>time off and I will not have any paid time off available immediately following the transfer of my employment to the Company.</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440" w:top="274" w:right="619" w:bottom="1440" w:gutter="0" w:footer="0" w:header="0"/>
        </w:sectPr>
      </w:pPr>
    </w:p>
    <w:bookmarkStart w:id="551" w:name="page552"/>
    <w:bookmarkEnd w:id="55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 consideration of the Termination Benefits (as defined in the Agreement) provided and to be provided to me by Gossamer Bio, Inc., or any affiliate or successor thereof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my Agreement with Company dated December 4, 2018 (the “</w:t>
      </w:r>
      <w:r>
        <w:rPr>
          <w:rFonts w:ascii="Arial" w:cs="Arial" w:eastAsia="Arial" w:hAnsi="Arial"/>
          <w:sz w:val="16"/>
          <w:szCs w:val="16"/>
          <w:u w:val="single" w:color="auto"/>
          <w:color w:val="auto"/>
        </w:rPr>
        <w:t>Agreement</w:t>
      </w:r>
      <w:r>
        <w:rPr>
          <w:rFonts w:ascii="Arial" w:cs="Arial" w:eastAsia="Arial" w:hAnsi="Arial"/>
          <w:sz w:val="16"/>
          <w:szCs w:val="16"/>
          <w:color w:val="auto"/>
        </w:rPr>
        <w:t>”), and in connection with the termination of my employment, the Company and I agree to the following, including a general release as specified below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47" w:lineRule="exact"/>
        <w:rPr>
          <w:sz w:val="20"/>
          <w:szCs w:val="20"/>
          <w:color w:val="auto"/>
        </w:rPr>
      </w:pPr>
    </w:p>
    <w:p>
      <w:pPr>
        <w:ind w:right="20" w:firstLine="885"/>
        <w:spacing w:after="0" w:line="286" w:lineRule="auto"/>
        <w:tabs>
          <w:tab w:leader="none" w:pos="119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causes of action, and liabilities up through the date of my execution of the Release (except with respect to Termination Benefits under the Agreement and any other rights that I have accrued under the employee benefit plans and equity award plans of the Company). The claims subject to this release include, but are not limited to, those relating to my employment with Company and/or any predecessor to the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74" w:lineRule="exact"/>
        <w:rPr>
          <w:rFonts w:ascii="Arial" w:cs="Arial" w:eastAsia="Arial" w:hAnsi="Arial"/>
          <w:sz w:val="16"/>
          <w:szCs w:val="16"/>
          <w:color w:val="auto"/>
        </w:rPr>
      </w:pPr>
    </w:p>
    <w:p>
      <w:pPr>
        <w:ind w:right="140" w:firstLine="885"/>
        <w:spacing w:after="0" w:line="277" w:lineRule="auto"/>
        <w:tabs>
          <w:tab w:leader="none" w:pos="119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parties agree to apply California law in interpreting the Release. Accordingly, I further waive any rights under Section 1542 of the Civil Code of the State of California or any similar state statute. Section 1542 states:</w:t>
      </w:r>
    </w:p>
    <w:p>
      <w:pPr>
        <w:spacing w:after="0" w:line="58" w:lineRule="exact"/>
        <w:rPr>
          <w:sz w:val="20"/>
          <w:szCs w:val="20"/>
          <w:color w:val="auto"/>
        </w:rPr>
      </w:pPr>
    </w:p>
    <w:p>
      <w:pPr>
        <w:ind w:left="880" w:right="260"/>
        <w:spacing w:after="0" w:line="347"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to him or her, must have materially affected his or her settlement with the debtor.”</w:t>
      </w:r>
    </w:p>
    <w:p>
      <w:pPr>
        <w:spacing w:after="0" w:line="12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This Release does not extend to, and has no effect upon, (a) any benefits that have previously accrued, and to which I have become vested or otherwise entitled to, under any agreement, employee benefit plan, program or policy sponsored or maintained by the Company; (b) my right to indemnification and/or contribution, advancement or payment of related expenses by the Company under any written indemnification or other agreement between the parties; (c) my right to continued coverage by the Company’s director’s and officer’s insurance, other insurance policies of the Company, COBRA or any similar state law; (d) any claims for breach of this Release or the Agreement; (e) any claims that may not be released by private agreement; and (f) any claims arising after the date I sign the Release.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52" w:name="page553"/>
    <w:bookmarkEnd w:id="552"/>
    <w:p>
      <w:pPr>
        <w:ind w:firstLine="885"/>
        <w:spacing w:after="0" w:line="287" w:lineRule="auto"/>
        <w:tabs>
          <w:tab w:leader="none" w:pos="1196"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 (a) my rights under applicable workers’ compensation laws; (b) my right, if any, to seek state disability or unemployment benefits; (c) my right to indemnity under California Labor Code section 2802 or other applicable state-law right to indemnity; (d) my right to file a charge or complaint with a government agency such as but not limited to the Equal Employment Opportunity Commission, the National Labor Relations Board, the Department of Labor, the California Department of Fair Employment and Housing, or other applicable state agency; and (e) my right to communicate or cooperate with any governmental agency and to receive awards from or by a government agency for providing information.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72" w:lineRule="exact"/>
        <w:rPr>
          <w:rFonts w:ascii="Arial" w:cs="Arial" w:eastAsia="Arial" w:hAnsi="Arial"/>
          <w:sz w:val="16"/>
          <w:szCs w:val="16"/>
          <w:color w:val="auto"/>
        </w:rPr>
      </w:pPr>
    </w:p>
    <w:p>
      <w:pPr>
        <w:jc w:val="both"/>
        <w:ind w:right="20" w:firstLine="885"/>
        <w:spacing w:after="0" w:line="264" w:lineRule="auto"/>
        <w:tabs>
          <w:tab w:leader="none" w:pos="119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paid time off, less applicable withholdings and deductions, earned through my termination date.</w:t>
      </w:r>
    </w:p>
    <w:p>
      <w:pPr>
        <w:spacing w:after="0" w:line="181" w:lineRule="exact"/>
        <w:rPr>
          <w:rFonts w:ascii="Arial" w:cs="Arial" w:eastAsia="Arial" w:hAnsi="Arial"/>
          <w:sz w:val="18"/>
          <w:szCs w:val="18"/>
          <w:color w:val="auto"/>
        </w:rPr>
      </w:pPr>
    </w:p>
    <w:p>
      <w:pPr>
        <w:ind w:right="20" w:firstLine="885"/>
        <w:spacing w:after="0" w:line="291" w:lineRule="auto"/>
        <w:tabs>
          <w:tab w:leader="none" w:pos="119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67" w:lineRule="exact"/>
        <w:rPr>
          <w:rFonts w:ascii="Arial" w:cs="Arial" w:eastAsia="Arial" w:hAnsi="Arial"/>
          <w:sz w:val="16"/>
          <w:szCs w:val="16"/>
          <w:color w:val="auto"/>
        </w:rPr>
      </w:pPr>
    </w:p>
    <w:p>
      <w:pPr>
        <w:ind w:right="60" w:firstLine="885"/>
        <w:spacing w:after="0" w:line="277" w:lineRule="auto"/>
        <w:tabs>
          <w:tab w:leader="none" w:pos="119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70" w:lineRule="exact"/>
        <w:rPr>
          <w:rFonts w:ascii="Arial" w:cs="Arial" w:eastAsia="Arial" w:hAnsi="Arial"/>
          <w:sz w:val="18"/>
          <w:szCs w:val="18"/>
          <w:color w:val="auto"/>
        </w:rPr>
      </w:pPr>
    </w:p>
    <w:p>
      <w:pPr>
        <w:ind w:firstLine="885"/>
        <w:spacing w:after="0" w:line="293" w:lineRule="auto"/>
        <w:tabs>
          <w:tab w:leader="none" w:pos="119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Agreement shall prohibit me from reporting or disclosing information under the terms of the Company’s Reporting Suspected Violations of Law Policy or such similar policy as the Company may have in effect from time to time.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553" w:name="page554"/>
    <w:bookmarkEnd w:id="553"/>
    <w:p>
      <w:pPr>
        <w:ind w:right="540" w:firstLine="885"/>
        <w:spacing w:after="0" w:line="277" w:lineRule="auto"/>
        <w:tabs>
          <w:tab w:leader="none" w:pos="1196"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and agree that the Release will not be construed at any time as an admission of liability or wrongdoing by either the Company Releasees or me.</w:t>
      </w:r>
    </w:p>
    <w:p>
      <w:pPr>
        <w:spacing w:after="0" w:line="170" w:lineRule="exact"/>
        <w:rPr>
          <w:rFonts w:ascii="Arial" w:cs="Arial" w:eastAsia="Arial" w:hAnsi="Arial"/>
          <w:sz w:val="18"/>
          <w:szCs w:val="18"/>
          <w:color w:val="auto"/>
        </w:rPr>
      </w:pPr>
    </w:p>
    <w:p>
      <w:pPr>
        <w:ind w:firstLine="885"/>
        <w:spacing w:after="0" w:line="257" w:lineRule="auto"/>
        <w:tabs>
          <w:tab w:leader="none" w:pos="119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the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88" w:lineRule="exact"/>
        <w:rPr>
          <w:rFonts w:ascii="Arial" w:cs="Arial" w:eastAsia="Arial" w:hAnsi="Arial"/>
          <w:sz w:val="18"/>
          <w:szCs w:val="18"/>
          <w:color w:val="auto"/>
        </w:rPr>
      </w:pPr>
    </w:p>
    <w:p>
      <w:pPr>
        <w:ind w:right="360" w:firstLine="885"/>
        <w:spacing w:after="0" w:line="342" w:lineRule="auto"/>
        <w:tabs>
          <w:tab w:leader="none" w:pos="127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Any controversy or claim arising out of or relating this Release, its enforcement or interpretation, or because of an alleged breach, default or misrepresentation in connection with any of its provisions, will be submitted to arbitration consistent with the terms of the Agreement.</w:t>
      </w:r>
    </w:p>
    <w:p>
      <w:pPr>
        <w:spacing w:after="0" w:line="123" w:lineRule="exact"/>
        <w:rPr>
          <w:rFonts w:ascii="Arial" w:cs="Arial" w:eastAsia="Arial" w:hAnsi="Arial"/>
          <w:sz w:val="16"/>
          <w:szCs w:val="16"/>
          <w:color w:val="auto"/>
        </w:rPr>
      </w:pPr>
    </w:p>
    <w:p>
      <w:pPr>
        <w:ind w:right="20" w:firstLine="885"/>
        <w:spacing w:after="0" w:line="269" w:lineRule="auto"/>
        <w:tabs>
          <w:tab w:leader="none" w:pos="127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left="1280" w:hanging="395"/>
        <w:spacing w:after="0"/>
        <w:tabs>
          <w:tab w:leader="none" w:pos="12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As provided in the Older Workers Benefit Protection Act, I am hereby advised and agree that:</w:t>
      </w:r>
    </w:p>
    <w:p>
      <w:pPr>
        <w:spacing w:after="0" w:line="117" w:lineRule="exact"/>
        <w:rPr>
          <w:rFonts w:ascii="Arial" w:cs="Arial" w:eastAsia="Arial" w:hAnsi="Arial"/>
          <w:sz w:val="18"/>
          <w:szCs w:val="18"/>
          <w:color w:val="auto"/>
        </w:rPr>
      </w:pPr>
    </w:p>
    <w:p>
      <w:pPr>
        <w:ind w:right="120" w:firstLine="1436"/>
        <w:spacing w:after="0" w:line="257" w:lineRule="auto"/>
        <w:tabs>
          <w:tab w:leader="none" w:pos="181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 have had at least twenty-one (21) calendar days in which to consider whether to execute the Release, no one hurried me into executing the Release during that period and no one coerced me into executing the Release. If I signed this Release prior to the expiration of the twenty-one (21) day period, I did so voluntarily and waive the balance of the twenty-one (21) day period. I understand that the offer of the Termination Benefits and the Release will expire on the twenty-second (22nd) calendar day after my employment termination date if I have not accepted it by that time.</w:t>
      </w:r>
    </w:p>
    <w:p>
      <w:pPr>
        <w:spacing w:after="0" w:line="188" w:lineRule="exact"/>
        <w:rPr>
          <w:rFonts w:ascii="Arial" w:cs="Arial" w:eastAsia="Arial" w:hAnsi="Arial"/>
          <w:sz w:val="18"/>
          <w:szCs w:val="18"/>
          <w:color w:val="auto"/>
        </w:rPr>
      </w:pPr>
    </w:p>
    <w:p>
      <w:pPr>
        <w:ind w:left="1820" w:hanging="384"/>
        <w:spacing w:after="0"/>
        <w:tabs>
          <w:tab w:leader="none" w:pos="18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 am hereby advised to consult with a lawyer before signing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This Release provides for consideration in addition to any amount I am otherwise entitled to receive without signing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554" w:name="page555"/>
    <w:bookmarkEnd w:id="554"/>
    <w:p>
      <w:pPr>
        <w:ind w:left="1760" w:hanging="384"/>
        <w:spacing w:after="0"/>
        <w:tabs>
          <w:tab w:leader="none" w:pos="17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Release does not release any claims arising out of events occurring after I sign this Release</w:t>
      </w:r>
    </w:p>
    <w:p>
      <w:pPr>
        <w:spacing w:after="0" w:line="225" w:lineRule="exact"/>
        <w:rPr>
          <w:rFonts w:ascii="Arial" w:cs="Arial" w:eastAsia="Arial" w:hAnsi="Arial"/>
          <w:sz w:val="18"/>
          <w:szCs w:val="18"/>
          <w:color w:val="auto"/>
        </w:rPr>
      </w:pPr>
    </w:p>
    <w:p>
      <w:pPr>
        <w:ind w:left="-60" w:right="200" w:firstLine="1436"/>
        <w:spacing w:after="0" w:line="257" w:lineRule="auto"/>
        <w:tabs>
          <w:tab w:leader="none" w:pos="175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 may revoke this Agreement within the seven (7) day period following the date on which I signed this Release. I understand that if I revoke this release, the Company will not be obligated to provide the Termination Benefits.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and have not timely revoked it. I understand that the Termination Benefits will become available to me at such time after the Release Effective Date.</w:t>
      </w:r>
    </w:p>
    <w:p>
      <w:pPr>
        <w:spacing w:after="0" w:line="188" w:lineRule="exact"/>
        <w:rPr>
          <w:rFonts w:ascii="Arial" w:cs="Arial" w:eastAsia="Arial" w:hAnsi="Arial"/>
          <w:sz w:val="18"/>
          <w:szCs w:val="18"/>
          <w:color w:val="auto"/>
        </w:rPr>
      </w:pPr>
    </w:p>
    <w:p>
      <w:pPr>
        <w:ind w:left="-60" w:right="20" w:firstLine="885"/>
        <w:spacing w:after="0" w:line="272" w:lineRule="auto"/>
        <w:tabs>
          <w:tab w:leader="none" w:pos="122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Agreement, confidential information and invention assignment agreement, and any stock, stock option and/or stock purchase agreements between Company and me. Once effective and enforceable, this Release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left="-60" w:firstLine="885"/>
        <w:spacing w:after="0" w:line="255" w:lineRule="auto"/>
        <w:tabs>
          <w:tab w:leader="none" w:pos="122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 that I have obtained sufficient information to intelligently exercise my own judgment regarding the terms of the Release before executing the Release.</w:t>
      </w:r>
    </w:p>
    <w:p>
      <w:pPr>
        <w:spacing w:after="0" w:line="193" w:lineRule="exact"/>
        <w:rPr>
          <w:rFonts w:ascii="Arial" w:cs="Arial" w:eastAsia="Arial" w:hAnsi="Arial"/>
          <w:sz w:val="18"/>
          <w:szCs w:val="18"/>
          <w:color w:val="auto"/>
        </w:rPr>
      </w:pPr>
    </w:p>
    <w:p>
      <w:pPr>
        <w:ind w:left="-60" w:right="460" w:firstLine="885"/>
        <w:spacing w:after="0" w:line="277" w:lineRule="auto"/>
        <w:tabs>
          <w:tab w:leader="none" w:pos="122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Agreement.</w:t>
      </w:r>
    </w:p>
    <w:p>
      <w:pPr>
        <w:spacing w:after="0" w:line="170" w:lineRule="exact"/>
        <w:rPr>
          <w:rFonts w:ascii="Arial" w:cs="Arial" w:eastAsia="Arial" w:hAnsi="Arial"/>
          <w:sz w:val="18"/>
          <w:szCs w:val="18"/>
          <w:color w:val="auto"/>
        </w:rPr>
      </w:pPr>
    </w:p>
    <w:p>
      <w:pPr>
        <w:ind w:left="-60" w:right="260" w:firstLine="885"/>
        <w:spacing w:after="0" w:line="277" w:lineRule="auto"/>
        <w:tabs>
          <w:tab w:leader="none" w:pos="122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left="-60" w:right="80" w:firstLine="885"/>
        <w:spacing w:after="0" w:line="277" w:lineRule="auto"/>
        <w:tabs>
          <w:tab w:leader="none" w:pos="122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500" w:top="274" w:right="479" w:bottom="1440" w:gutter="0" w:footer="0" w:header="0"/>
        </w:sectPr>
      </w:pPr>
    </w:p>
    <w:bookmarkStart w:id="555" w:name="page556"/>
    <w:bookmarkEnd w:id="555"/>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135" w:lineRule="exact"/>
        <w:rPr>
          <w:sz w:val="20"/>
          <w:szCs w:val="20"/>
          <w:color w:val="auto"/>
        </w:rPr>
      </w:pPr>
    </w:p>
    <w:p>
      <w:pPr>
        <w:ind w:left="6620"/>
        <w:spacing w:after="0"/>
        <w:tabs>
          <w:tab w:leader="none" w:pos="8020" w:val="left"/>
          <w:tab w:leader="none" w:pos="888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440" w:top="270" w:right="699" w:bottom="1440" w:gutter="0" w:footer="0" w:header="0"/>
        </w:sectPr>
      </w:pPr>
    </w:p>
    <w:bookmarkStart w:id="556" w:name="page557"/>
    <w:bookmarkEnd w:id="556"/>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3" w:right="1440" w:bottom="1440" w:gutter="0" w:footer="0" w:header="0"/>
        </w:sectPr>
      </w:pPr>
    </w:p>
    <w:bookmarkStart w:id="557" w:name="page558"/>
    <w:bookmarkEnd w:id="5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the Company’s parent, Gossamer Bio, Inc.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Parent’s subsidiaries, and any other entity in which I am asked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provide services for, and each of their respective successors and assigns), which is a material part of the consideration for my employment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continued employment by the Company:</w:t>
      </w:r>
    </w:p>
    <w:p>
      <w:pPr>
        <w:spacing w:after="0" w:line="207" w:lineRule="exact"/>
        <w:rPr>
          <w:sz w:val="20"/>
          <w:szCs w:val="20"/>
          <w:color w:val="auto"/>
        </w:rPr>
      </w:pPr>
    </w:p>
    <w:p>
      <w:pPr>
        <w:ind w:left="760" w:hanging="316"/>
        <w:spacing w:after="0"/>
        <w:tabs>
          <w:tab w:leader="none" w:pos="760" w:val="left"/>
        </w:tabs>
        <w:numPr>
          <w:ilvl w:val="0"/>
          <w:numId w:val="388"/>
        </w:numPr>
        <w:rPr>
          <w:rFonts w:ascii="Arial" w:cs="Arial" w:eastAsia="Arial" w:hAnsi="Arial"/>
          <w:sz w:val="17"/>
          <w:szCs w:val="17"/>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w:t>
      </w:r>
    </w:p>
    <w:p>
      <w:pPr>
        <w:spacing w:after="0" w:line="38"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Company 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77" w:lineRule="exact"/>
        <w:rPr>
          <w:rFonts w:ascii="Arial" w:cs="Arial" w:eastAsia="Arial" w:hAnsi="Arial"/>
          <w:sz w:val="17"/>
          <w:szCs w:val="17"/>
          <w:color w:val="auto"/>
        </w:rPr>
      </w:pPr>
    </w:p>
    <w:p>
      <w:pPr>
        <w:ind w:right="460" w:firstLine="444"/>
        <w:spacing w:after="0" w:line="282" w:lineRule="auto"/>
        <w:tabs>
          <w:tab w:leader="none" w:pos="756"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I hereby agree as follows:</w:t>
      </w:r>
    </w:p>
    <w:p>
      <w:pPr>
        <w:spacing w:after="0" w:line="161" w:lineRule="exact"/>
        <w:rPr>
          <w:rFonts w:ascii="Arial" w:cs="Arial" w:eastAsia="Arial" w:hAnsi="Arial"/>
          <w:sz w:val="18"/>
          <w:szCs w:val="18"/>
          <w:color w:val="auto"/>
        </w:rPr>
      </w:pPr>
    </w:p>
    <w:p>
      <w:pPr>
        <w:jc w:val="both"/>
        <w:ind w:right="280" w:firstLine="885"/>
        <w:spacing w:after="0" w:line="266" w:lineRule="auto"/>
        <w:tabs>
          <w:tab w:leader="none" w:pos="1261" w:val="left"/>
        </w:tabs>
        <w:numPr>
          <w:ilvl w:val="1"/>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trust and will not use or disclose any Proprietary Information or anything relating to it without the written consent of the Company, except as may be necessary in the ordinary course of performing my duties to the Company.</w:t>
      </w:r>
    </w:p>
    <w:p>
      <w:pPr>
        <w:spacing w:after="0" w:line="176" w:lineRule="exact"/>
        <w:rPr>
          <w:rFonts w:ascii="Arial" w:cs="Arial" w:eastAsia="Arial" w:hAnsi="Arial"/>
          <w:sz w:val="18"/>
          <w:szCs w:val="18"/>
          <w:color w:val="auto"/>
        </w:rPr>
      </w:pPr>
    </w:p>
    <w:p>
      <w:pPr>
        <w:ind w:right="40" w:firstLine="885"/>
        <w:spacing w:after="0" w:line="255" w:lineRule="auto"/>
        <w:tabs>
          <w:tab w:leader="none" w:pos="1271" w:val="left"/>
        </w:tabs>
        <w:numPr>
          <w:ilvl w:val="1"/>
          <w:numId w:val="388"/>
        </w:numPr>
        <w:rPr>
          <w:rFonts w:ascii="Arial" w:cs="Arial" w:eastAsia="Arial" w:hAnsi="Arial"/>
          <w:sz w:val="18"/>
          <w:szCs w:val="18"/>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69" w:right="459" w:bottom="1440" w:gutter="0" w:footer="0" w:header="0"/>
        </w:sectPr>
      </w:pPr>
    </w:p>
    <w:bookmarkStart w:id="558" w:name="page559"/>
    <w:bookmarkEnd w:id="558"/>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166" w:lineRule="exact"/>
        <w:rPr>
          <w:sz w:val="20"/>
          <w:szCs w:val="20"/>
          <w:color w:val="auto"/>
        </w:rPr>
      </w:pPr>
    </w:p>
    <w:p>
      <w:pPr>
        <w:jc w:val="both"/>
        <w:ind w:right="80" w:firstLine="885"/>
        <w:spacing w:after="0" w:line="261" w:lineRule="auto"/>
        <w:tabs>
          <w:tab w:leader="none" w:pos="1261" w:val="left"/>
        </w:tabs>
        <w:numPr>
          <w:ilvl w:val="1"/>
          <w:numId w:val="389"/>
        </w:numPr>
        <w:rPr>
          <w:rFonts w:ascii="Arial" w:cs="Arial" w:eastAsia="Arial" w:hAnsi="Arial"/>
          <w:sz w:val="18"/>
          <w:szCs w:val="18"/>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return 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rFonts w:ascii="Arial" w:cs="Arial" w:eastAsia="Arial" w:hAnsi="Arial"/>
          <w:sz w:val="18"/>
          <w:szCs w:val="18"/>
          <w:color w:val="auto"/>
        </w:rPr>
      </w:pPr>
    </w:p>
    <w:p>
      <w:pPr>
        <w:ind w:right="100" w:firstLine="885"/>
        <w:spacing w:after="0" w:line="289" w:lineRule="auto"/>
        <w:tabs>
          <w:tab w:leader="none" w:pos="1271"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 xml:space="preserve">Disclosure of Inventions. </w:t>
      </w:r>
      <w:r>
        <w:rPr>
          <w:rFonts w:ascii="Arial" w:cs="Arial" w:eastAsia="Arial" w:hAnsi="Arial"/>
          <w:sz w:val="16"/>
          <w:szCs w:val="16"/>
          <w:color w:val="auto"/>
        </w:rPr>
        <w:t>I will promptly disclose to the Company, or any persons designated by it, all Inventions made or conceived</w:t>
      </w:r>
      <w:r>
        <w:rPr>
          <w:rFonts w:ascii="Arial" w:cs="Arial" w:eastAsia="Arial" w:hAnsi="Arial"/>
          <w:sz w:val="16"/>
          <w:szCs w:val="16"/>
          <w:b w:val="1"/>
          <w:bCs w:val="1"/>
          <w:color w:val="auto"/>
        </w:rPr>
        <w:t xml:space="preserve"> </w:t>
      </w:r>
      <w:r>
        <w:rPr>
          <w:rFonts w:ascii="Arial" w:cs="Arial" w:eastAsia="Arial" w:hAnsi="Arial"/>
          <w:sz w:val="16"/>
          <w:szCs w:val="16"/>
          <w:color w:val="auto"/>
        </w:rPr>
        <w:t>or 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w:t>
      </w:r>
    </w:p>
    <w:p>
      <w:pPr>
        <w:spacing w:after="0" w:line="1"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rFonts w:ascii="Arial" w:cs="Arial" w:eastAsia="Arial" w:hAnsi="Arial"/>
          <w:sz w:val="16"/>
          <w:szCs w:val="16"/>
          <w:color w:val="auto"/>
        </w:rPr>
      </w:pPr>
    </w:p>
    <w:p>
      <w:pPr>
        <w:ind w:right="60" w:firstLine="885"/>
        <w:spacing w:after="0" w:line="285" w:lineRule="auto"/>
        <w:tabs>
          <w:tab w:leader="none" w:pos="1261"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3" w:lineRule="exact"/>
        <w:rPr>
          <w:rFonts w:ascii="Arial" w:cs="Arial" w:eastAsia="Arial" w:hAnsi="Arial"/>
          <w:sz w:val="16"/>
          <w:szCs w:val="16"/>
          <w:color w:val="auto"/>
        </w:rPr>
      </w:pPr>
    </w:p>
    <w:p>
      <w:pPr>
        <w:jc w:val="both"/>
        <w:ind w:firstLine="4"/>
        <w:spacing w:after="0" w:line="273" w:lineRule="auto"/>
        <w:tabs>
          <w:tab w:leader="none" w:pos="245"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2" w:lineRule="exact"/>
        <w:rPr>
          <w:rFonts w:ascii="Arial" w:cs="Arial" w:eastAsia="Arial" w:hAnsi="Arial"/>
          <w:sz w:val="17"/>
          <w:szCs w:val="17"/>
          <w:color w:val="auto"/>
        </w:rPr>
      </w:pPr>
    </w:p>
    <w:p>
      <w:pPr>
        <w:ind w:right="60" w:firstLine="885"/>
        <w:spacing w:after="0" w:line="295" w:lineRule="auto"/>
        <w:tabs>
          <w:tab w:leader="none" w:pos="1241" w:val="left"/>
        </w:tabs>
        <w:numPr>
          <w:ilvl w:val="1"/>
          <w:numId w:val="390"/>
        </w:numPr>
        <w:rPr>
          <w:rFonts w:ascii="Arial" w:cs="Arial" w:eastAsia="Arial" w:hAnsi="Arial"/>
          <w:sz w:val="16"/>
          <w:szCs w:val="16"/>
          <w:color w:val="auto"/>
        </w:rPr>
      </w:pPr>
      <w:r>
        <w:rPr>
          <w:rFonts w:ascii="Arial" w:cs="Arial" w:eastAsia="Arial" w:hAnsi="Arial"/>
          <w:sz w:val="16"/>
          <w:szCs w:val="16"/>
          <w:b w:val="1"/>
          <w:bCs w:val="1"/>
          <w:color w:val="auto"/>
        </w:rPr>
        <w:t xml:space="preserve">Assignment of Moral Rights. </w:t>
      </w:r>
      <w:r>
        <w:rPr>
          <w:rFonts w:ascii="Arial" w:cs="Arial" w:eastAsia="Arial" w:hAnsi="Arial"/>
          <w:sz w:val="16"/>
          <w:szCs w:val="16"/>
          <w:color w:val="auto"/>
        </w:rPr>
        <w:t>In addition to the foregoing assignment of Inventions to the Company, I hereby irrevocably transfer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55" w:lineRule="exact"/>
        <w:rPr>
          <w:rFonts w:ascii="Arial" w:cs="Arial" w:eastAsia="Arial" w:hAnsi="Arial"/>
          <w:sz w:val="16"/>
          <w:szCs w:val="16"/>
          <w:color w:val="auto"/>
        </w:rPr>
      </w:pPr>
    </w:p>
    <w:p>
      <w:pPr>
        <w:ind w:right="540" w:firstLine="885"/>
        <w:spacing w:after="0" w:line="347" w:lineRule="auto"/>
        <w:tabs>
          <w:tab w:leader="none" w:pos="1271" w:val="left"/>
        </w:tabs>
        <w:numPr>
          <w:ilvl w:val="1"/>
          <w:numId w:val="390"/>
        </w:numPr>
        <w:rPr>
          <w:rFonts w:ascii="Arial" w:cs="Arial" w:eastAsia="Arial" w:hAnsi="Arial"/>
          <w:sz w:val="16"/>
          <w:szCs w:val="16"/>
          <w:color w:val="auto"/>
        </w:rPr>
      </w:pPr>
      <w:r>
        <w:rPr>
          <w:rFonts w:ascii="Arial" w:cs="Arial" w:eastAsia="Arial" w:hAnsi="Arial"/>
          <w:sz w:val="16"/>
          <w:szCs w:val="16"/>
          <w:b w:val="1"/>
          <w:bCs w:val="1"/>
          <w:color w:val="auto"/>
        </w:rPr>
        <w:t>Work for Hire</w:t>
      </w:r>
      <w:r>
        <w:rPr>
          <w:rFonts w:ascii="Arial" w:cs="Arial" w:eastAsia="Arial" w:hAnsi="Arial"/>
          <w:sz w:val="16"/>
          <w:szCs w:val="16"/>
          <w:color w:val="auto"/>
        </w:rPr>
        <w:t>. I acknowledge and agree that any copyrightable works prepared by me within the scope of my employment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“works for hire” under the Copyright Act and that the Company will be considered the author and owner of such copyrightable works.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559" w:name="page560"/>
    <w:bookmarkEnd w:id="559"/>
    <w:p>
      <w:pPr>
        <w:ind w:firstLine="885"/>
        <w:spacing w:after="0" w:line="272" w:lineRule="auto"/>
        <w:tabs>
          <w:tab w:leader="none" w:pos="1271"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rFonts w:ascii="Arial" w:cs="Arial" w:eastAsia="Arial" w:hAnsi="Arial"/>
          <w:sz w:val="17"/>
          <w:szCs w:val="17"/>
          <w:color w:val="auto"/>
        </w:rPr>
      </w:pPr>
    </w:p>
    <w:p>
      <w:pPr>
        <w:ind w:right="20" w:firstLine="885"/>
        <w:spacing w:after="0" w:line="272" w:lineRule="auto"/>
        <w:tabs>
          <w:tab w:leader="none" w:pos="1231"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desirable 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rFonts w:ascii="Arial" w:cs="Arial" w:eastAsia="Arial" w:hAnsi="Arial"/>
          <w:sz w:val="17"/>
          <w:szCs w:val="17"/>
          <w:color w:val="auto"/>
        </w:rPr>
      </w:pPr>
    </w:p>
    <w:p>
      <w:pPr>
        <w:ind w:firstLine="885"/>
        <w:spacing w:after="0" w:line="266" w:lineRule="auto"/>
        <w:tabs>
          <w:tab w:leader="none" w:pos="1231"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rFonts w:ascii="Arial" w:cs="Arial" w:eastAsia="Arial" w:hAnsi="Arial"/>
          <w:sz w:val="18"/>
          <w:szCs w:val="18"/>
          <w:color w:val="auto"/>
        </w:rPr>
      </w:pPr>
    </w:p>
    <w:p>
      <w:pPr>
        <w:ind w:firstLine="885"/>
        <w:spacing w:after="0" w:line="255" w:lineRule="auto"/>
        <w:tabs>
          <w:tab w:leader="none" w:pos="1271"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rFonts w:ascii="Arial" w:cs="Arial" w:eastAsia="Arial" w:hAnsi="Arial"/>
          <w:sz w:val="18"/>
          <w:szCs w:val="18"/>
          <w:color w:val="auto"/>
        </w:rPr>
      </w:pPr>
    </w:p>
    <w:p>
      <w:pPr>
        <w:ind w:right="100" w:firstLine="885"/>
        <w:spacing w:after="0" w:line="256" w:lineRule="auto"/>
        <w:tabs>
          <w:tab w:leader="none" w:pos="1231"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or 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560" w:name="page561"/>
    <w:bookmarkEnd w:id="560"/>
    <w:p>
      <w:pPr>
        <w:ind w:left="-60" w:firstLine="885"/>
        <w:spacing w:after="0" w:line="261" w:lineRule="auto"/>
        <w:tabs>
          <w:tab w:leader="none" w:pos="1261"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Conflicting Obligations. </w:t>
      </w:r>
      <w:r>
        <w:rPr>
          <w:rFonts w:ascii="Arial" w:cs="Arial" w:eastAsia="Arial" w:hAnsi="Arial"/>
          <w:sz w:val="18"/>
          <w:szCs w:val="18"/>
          <w:color w:val="auto"/>
        </w:rPr>
        <w:t>I represent that my performance of all the terms of this Agreement will not breach any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keep in confidence proprietary information acquired by me in confidence or in trust prior to my employment with the Company. I have not entered into, and I agree I will not enter into, any agreement either written or oral in conflict with this Agreement or in conflict with my employment with the Company.</w:t>
      </w:r>
    </w:p>
    <w:p>
      <w:pPr>
        <w:spacing w:after="0" w:line="180" w:lineRule="exact"/>
        <w:rPr>
          <w:rFonts w:ascii="Arial" w:cs="Arial" w:eastAsia="Arial" w:hAnsi="Arial"/>
          <w:sz w:val="18"/>
          <w:szCs w:val="18"/>
          <w:color w:val="auto"/>
        </w:rPr>
      </w:pPr>
    </w:p>
    <w:p>
      <w:pPr>
        <w:ind w:left="-60" w:firstLine="885"/>
        <w:spacing w:after="0" w:line="255" w:lineRule="auto"/>
        <w:tabs>
          <w:tab w:leader="none" w:pos="1211"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rFonts w:ascii="Arial" w:cs="Arial" w:eastAsia="Arial" w:hAnsi="Arial"/>
          <w:sz w:val="18"/>
          <w:szCs w:val="18"/>
          <w:color w:val="auto"/>
        </w:rPr>
      </w:pPr>
    </w:p>
    <w:p>
      <w:pPr>
        <w:ind w:left="-60" w:right="160" w:firstLine="885"/>
        <w:spacing w:after="0" w:line="282" w:lineRule="auto"/>
        <w:tabs>
          <w:tab w:leader="none" w:pos="1211" w:val="left"/>
        </w:tabs>
        <w:numPr>
          <w:ilvl w:val="1"/>
          <w:numId w:val="392"/>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161" w:lineRule="exact"/>
        <w:rPr>
          <w:rFonts w:ascii="Arial" w:cs="Arial" w:eastAsia="Arial" w:hAnsi="Arial"/>
          <w:sz w:val="18"/>
          <w:szCs w:val="18"/>
          <w:color w:val="auto"/>
        </w:rPr>
      </w:pPr>
    </w:p>
    <w:p>
      <w:pPr>
        <w:ind w:left="700" w:hanging="316"/>
        <w:spacing w:after="0"/>
        <w:tabs>
          <w:tab w:leader="none" w:pos="70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0" w:firstLine="885"/>
        <w:spacing w:after="0" w:line="266" w:lineRule="auto"/>
        <w:tabs>
          <w:tab w:leader="none" w:pos="1201"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ind w:left="-60" w:firstLine="885"/>
        <w:spacing w:after="0" w:line="281" w:lineRule="auto"/>
        <w:tabs>
          <w:tab w:leader="none" w:pos="1211" w:val="left"/>
        </w:tabs>
        <w:numPr>
          <w:ilvl w:val="1"/>
          <w:numId w:val="393"/>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4" w:lineRule="exact"/>
        <w:rPr>
          <w:rFonts w:ascii="Arial" w:cs="Arial" w:eastAsia="Arial" w:hAnsi="Arial"/>
          <w:sz w:val="17"/>
          <w:szCs w:val="17"/>
          <w:color w:val="auto"/>
        </w:rPr>
      </w:pPr>
    </w:p>
    <w:p>
      <w:pPr>
        <w:ind w:left="-60" w:right="20" w:firstLine="885"/>
        <w:spacing w:after="0" w:line="282" w:lineRule="auto"/>
        <w:tabs>
          <w:tab w:leader="none" w:pos="1201"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any successor in interest or other assignee.</w:t>
      </w:r>
    </w:p>
    <w:p>
      <w:pPr>
        <w:spacing w:after="0" w:line="161" w:lineRule="exact"/>
        <w:rPr>
          <w:rFonts w:ascii="Arial" w:cs="Arial" w:eastAsia="Arial" w:hAnsi="Arial"/>
          <w:sz w:val="18"/>
          <w:szCs w:val="18"/>
          <w:color w:val="auto"/>
        </w:rPr>
      </w:pPr>
    </w:p>
    <w:p>
      <w:pPr>
        <w:ind w:left="-60" w:right="160" w:firstLine="885"/>
        <w:spacing w:after="0" w:line="261" w:lineRule="auto"/>
        <w:tabs>
          <w:tab w:leader="none" w:pos="1211"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rFonts w:ascii="Arial" w:cs="Arial" w:eastAsia="Arial" w:hAnsi="Arial"/>
          <w:sz w:val="18"/>
          <w:szCs w:val="18"/>
          <w:color w:val="auto"/>
        </w:rPr>
      </w:pPr>
    </w:p>
    <w:p>
      <w:pPr>
        <w:jc w:val="both"/>
        <w:ind w:left="-60" w:right="80" w:firstLine="885"/>
        <w:spacing w:after="0" w:line="266" w:lineRule="auto"/>
        <w:tabs>
          <w:tab w:leader="none" w:pos="1201"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rFonts w:ascii="Arial" w:cs="Arial" w:eastAsia="Arial" w:hAnsi="Arial"/>
          <w:sz w:val="18"/>
          <w:szCs w:val="18"/>
          <w:color w:val="auto"/>
        </w:rPr>
      </w:pPr>
    </w:p>
    <w:p>
      <w:pPr>
        <w:ind w:left="-60" w:right="420" w:firstLine="885"/>
        <w:spacing w:after="0" w:line="282" w:lineRule="auto"/>
        <w:tabs>
          <w:tab w:leader="none" w:pos="1181" w:val="left"/>
        </w:tabs>
        <w:numPr>
          <w:ilvl w:val="1"/>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for convenience only and do not constitute any part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500" w:top="269" w:right="499" w:bottom="1440" w:gutter="0" w:footer="0" w:header="0"/>
        </w:sectPr>
      </w:pPr>
    </w:p>
    <w:bookmarkStart w:id="561" w:name="page562"/>
    <w:bookmarkEnd w:id="561"/>
    <w:p>
      <w:pPr>
        <w:jc w:val="both"/>
        <w:ind w:left="-100" w:right="60" w:firstLine="885"/>
        <w:spacing w:after="0" w:line="261" w:lineRule="auto"/>
        <w:tabs>
          <w:tab w:leader="none" w:pos="1171"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 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80" w:lineRule="exact"/>
        <w:rPr>
          <w:rFonts w:ascii="Arial" w:cs="Arial" w:eastAsia="Arial" w:hAnsi="Arial"/>
          <w:sz w:val="18"/>
          <w:szCs w:val="18"/>
          <w:color w:val="auto"/>
        </w:rPr>
      </w:pPr>
    </w:p>
    <w:p>
      <w:pPr>
        <w:ind w:left="-100" w:firstLine="885"/>
        <w:spacing w:after="0" w:line="261" w:lineRule="auto"/>
        <w:tabs>
          <w:tab w:leader="none" w:pos="1171"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rFonts w:ascii="Arial" w:cs="Arial" w:eastAsia="Arial" w:hAnsi="Arial"/>
          <w:sz w:val="18"/>
          <w:szCs w:val="18"/>
          <w:color w:val="auto"/>
        </w:rPr>
      </w:pPr>
    </w:p>
    <w:p>
      <w:pPr>
        <w:ind w:left="-100" w:right="60" w:firstLine="885"/>
        <w:spacing w:after="0" w:line="282" w:lineRule="auto"/>
        <w:tabs>
          <w:tab w:leader="none" w:pos="1131"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540" w:top="270" w:right="539"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5/7/18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Bryan Giraudo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Bryan Giraudo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Waage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Christian Waage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EVP &amp; General Counsel</w:t>
            </w:r>
          </w:p>
        </w:tc>
      </w:tr>
    </w:tbl>
    <w:p>
      <w:pPr>
        <w:spacing w:after="0" w:line="202"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P</w:t>
      </w:r>
      <w:r>
        <w:rPr>
          <w:rFonts w:ascii="Arial" w:cs="Arial" w:eastAsia="Arial" w:hAnsi="Arial"/>
          <w:sz w:val="14"/>
          <w:szCs w:val="14"/>
          <w:color w:val="auto"/>
        </w:rPr>
        <w:t>ROPRIETARY</w:t>
      </w:r>
      <w:r>
        <w:rPr>
          <w:rFonts w:ascii="Arial" w:cs="Arial" w:eastAsia="Arial" w:hAnsi="Arial"/>
          <w:sz w:val="17"/>
          <w:szCs w:val="17"/>
          <w:color w:val="auto"/>
        </w:rPr>
        <w:t xml:space="preserve"> I</w:t>
      </w:r>
      <w:r>
        <w:rPr>
          <w:rFonts w:ascii="Arial" w:cs="Arial" w:eastAsia="Arial" w:hAnsi="Arial"/>
          <w:sz w:val="14"/>
          <w:szCs w:val="14"/>
          <w:color w:val="auto"/>
        </w:rPr>
        <w:t>NFORMATION AND</w:t>
      </w:r>
      <w:r>
        <w:rPr>
          <w:rFonts w:ascii="Arial" w:cs="Arial" w:eastAsia="Arial" w:hAnsi="Arial"/>
          <w:sz w:val="17"/>
          <w:szCs w:val="17"/>
          <w:color w:val="auto"/>
        </w:rPr>
        <w:t xml:space="preserve"> I</w:t>
      </w:r>
      <w:r>
        <w:rPr>
          <w:rFonts w:ascii="Arial" w:cs="Arial" w:eastAsia="Arial" w:hAnsi="Arial"/>
          <w:sz w:val="14"/>
          <w:szCs w:val="14"/>
          <w:color w:val="auto"/>
        </w:rPr>
        <w:t>NVENTIONS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3" w:right="1440" w:bottom="1440" w:gutter="0" w:footer="0" w:header="0"/>
        </w:sectPr>
      </w:pPr>
    </w:p>
    <w:bookmarkStart w:id="563" w:name="page564"/>
    <w:bookmarkEnd w:id="563"/>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ind w:left="-4" w:right="200" w:firstLine="444"/>
        <w:spacing w:after="0" w:line="286" w:lineRule="auto"/>
        <w:tabs>
          <w:tab w:leader="none" w:pos="80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4" w:val="left"/>
        </w:tabs>
        <w:numPr>
          <w:ilvl w:val="1"/>
          <w:numId w:val="396"/>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96"/>
          </w:cols>
          <w:pgMar w:left="444" w:top="270" w:right="459" w:bottom="1440" w:gutter="0" w:footer="0" w:header="0"/>
        </w:sectPr>
      </w:pPr>
    </w:p>
    <w:bookmarkStart w:id="564" w:name="page565"/>
    <w:bookmarkEnd w:id="564"/>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4"/>
        <w:spacing w:after="0" w:line="258" w:lineRule="auto"/>
        <w:tabs>
          <w:tab w:leader="none" w:pos="752"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214" w:lineRule="exact"/>
        <w:rPr>
          <w:rFonts w:ascii="Arial" w:cs="Arial" w:eastAsia="Arial" w:hAnsi="Arial"/>
          <w:sz w:val="18"/>
          <w:szCs w:val="18"/>
          <w:b w:val="1"/>
          <w:bCs w:val="1"/>
          <w:color w:val="auto"/>
        </w:rPr>
      </w:pPr>
    </w:p>
    <w:p>
      <w:pPr>
        <w:ind w:left="440" w:hanging="436"/>
        <w:spacing w:after="0"/>
        <w:tabs>
          <w:tab w:leader="none" w:pos="440" w:val="left"/>
        </w:tabs>
        <w:numPr>
          <w:ilvl w:val="0"/>
          <w:numId w:val="397"/>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52" w:lineRule="exact"/>
        <w:rPr>
          <w:sz w:val="20"/>
          <w:szCs w:val="20"/>
          <w:color w:val="auto"/>
        </w:rPr>
      </w:pPr>
    </w:p>
    <w:p>
      <w:pPr>
        <w:ind w:left="440" w:hanging="436"/>
        <w:spacing w:after="0"/>
        <w:tabs>
          <w:tab w:leader="none" w:pos="440" w:val="left"/>
        </w:tabs>
        <w:numPr>
          <w:ilvl w:val="0"/>
          <w:numId w:val="398"/>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44" w:lineRule="exact"/>
        <w:rPr>
          <w:sz w:val="20"/>
          <w:szCs w:val="20"/>
          <w:color w:val="auto"/>
        </w:rPr>
      </w:pPr>
    </w:p>
    <w:p>
      <w:pPr>
        <w:ind w:left="1320"/>
        <w:spacing w:after="0"/>
        <w:tabs>
          <w:tab w:leader="none" w:pos="7340" w:val="left"/>
          <w:tab w:leader="none" w:pos="8840" w:val="left"/>
        </w:tabs>
        <w:rPr>
          <w:sz w:val="20"/>
          <w:szCs w:val="20"/>
          <w:color w:val="auto"/>
        </w:rPr>
      </w:pPr>
      <w:r>
        <w:rPr>
          <w:rFonts w:ascii="Arial" w:cs="Arial" w:eastAsia="Arial" w:hAnsi="Arial"/>
          <w:sz w:val="14"/>
          <w:szCs w:val="14"/>
          <w:b w:val="1"/>
          <w:bCs w:val="1"/>
          <w:u w:val="single" w:color="auto"/>
          <w:color w:val="auto"/>
        </w:rPr>
        <w:t>Invention Description</w:t>
      </w:r>
      <w:r>
        <w:rPr>
          <w:sz w:val="20"/>
          <w:szCs w:val="20"/>
          <w:color w:val="auto"/>
        </w:rPr>
        <w:tab/>
      </w:r>
      <w:r>
        <w:rPr>
          <w:rFonts w:ascii="Arial" w:cs="Arial" w:eastAsia="Arial" w:hAnsi="Arial"/>
          <w:sz w:val="14"/>
          <w:szCs w:val="14"/>
          <w:b w:val="1"/>
          <w:bCs w:val="1"/>
          <w:u w:val="single" w:color="auto"/>
          <w:color w:val="auto"/>
        </w:rPr>
        <w:t>Patent No.</w:t>
      </w:r>
      <w:r>
        <w:rPr>
          <w:sz w:val="20"/>
          <w:szCs w:val="20"/>
          <w:color w:val="auto"/>
        </w:rPr>
        <w:tab/>
      </w:r>
      <w:r>
        <w:rPr>
          <w:rFonts w:ascii="Arial" w:cs="Arial" w:eastAsia="Arial" w:hAnsi="Arial"/>
          <w:sz w:val="12"/>
          <w:szCs w:val="12"/>
          <w:b w:val="1"/>
          <w:bCs w:val="1"/>
          <w:u w:val="single" w:color="auto"/>
          <w:color w:val="auto"/>
        </w:rPr>
        <w:t>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hanging="436"/>
        <w:spacing w:after="0"/>
        <w:tabs>
          <w:tab w:leader="none" w:pos="440" w:val="left"/>
        </w:tabs>
        <w:numPr>
          <w:ilvl w:val="0"/>
          <w:numId w:val="399"/>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right="460" w:firstLine="444"/>
        <w:spacing w:after="0" w:line="277" w:lineRule="auto"/>
        <w:tabs>
          <w:tab w:leader="none" w:pos="756"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6997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537845</wp:posOffset>
            </wp:positionV>
            <wp:extent cx="6997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734695</wp:posOffset>
            </wp:positionV>
            <wp:extent cx="6997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436"/>
        <w:spacing w:after="0"/>
        <w:tabs>
          <w:tab w:leader="none" w:pos="440" w:val="left"/>
        </w:tabs>
        <w:numPr>
          <w:ilvl w:val="0"/>
          <w:numId w:val="400"/>
        </w:numPr>
        <w:rPr>
          <w:rFonts w:ascii="MS PGothic" w:cs="MS PGothic" w:eastAsia="MS PGothic" w:hAnsi="MS PGothic"/>
          <w:sz w:val="18"/>
          <w:szCs w:val="18"/>
          <w:color w:val="auto"/>
        </w:rPr>
      </w:pPr>
      <w:r>
        <w:rPr>
          <w:rFonts w:ascii="Arial" w:cs="Arial" w:eastAsia="Arial" w:hAnsi="Arial"/>
          <w:sz w:val="18"/>
          <w:szCs w:val="18"/>
          <w:color w:val="auto"/>
        </w:rPr>
        <w:t>No materials or documents.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Bryan Giraudo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Bryan Giraudo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40" w:top="270" w:right="639" w:bottom="1440" w:gutter="0" w:footer="0" w:header="0"/>
        </w:sectPr>
      </w:pPr>
    </w:p>
    <w:bookmarkStart w:id="565" w:name="page566"/>
    <w:bookmarkEnd w:id="56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Christian Waage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Gossamer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Christian:</w:t>
      </w:r>
    </w:p>
    <w:p>
      <w:pPr>
        <w:spacing w:after="0" w:line="11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continuing employment with Gossamer Bio, Inc. (“</w:t>
      </w:r>
      <w:r>
        <w:rPr>
          <w:rFonts w:ascii="Arial" w:cs="Arial" w:eastAsia="Arial" w:hAnsi="Arial"/>
          <w:sz w:val="18"/>
          <w:szCs w:val="18"/>
          <w:u w:val="single" w:color="auto"/>
          <w:color w:val="auto"/>
        </w:rPr>
        <w:t>Parent</w:t>
      </w:r>
      <w:r>
        <w:rPr>
          <w:rFonts w:ascii="Arial" w:cs="Arial" w:eastAsia="Arial" w:hAnsi="Arial"/>
          <w:sz w:val="18"/>
          <w:szCs w:val="18"/>
          <w:color w:val="auto"/>
        </w:rPr>
        <w:t>”) and, effective January 1, 2019, with Gossamer Bio Services, Inc., a wholly-owned subsidiary of Parent (“</w:t>
      </w:r>
      <w:r>
        <w:rPr>
          <w:rFonts w:ascii="Arial" w:cs="Arial" w:eastAsia="Arial" w:hAnsi="Arial"/>
          <w:sz w:val="18"/>
          <w:szCs w:val="18"/>
          <w:u w:val="single" w:color="auto"/>
          <w:color w:val="auto"/>
        </w:rPr>
        <w:t>Gossamer Services</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Company</w:t>
      </w:r>
      <w:r>
        <w:rPr>
          <w:rFonts w:ascii="Arial" w:cs="Arial" w:eastAsia="Arial" w:hAnsi="Arial"/>
          <w:sz w:val="18"/>
          <w:szCs w:val="18"/>
          <w:color w:val="auto"/>
        </w:rPr>
        <w:t>”). This Agreement is effective as of December 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0"/>
          <w:szCs w:val="20"/>
          <w:color w:val="auto"/>
        </w:rPr>
      </w:pPr>
    </w:p>
    <w:p>
      <w:pPr>
        <w:ind w:left="760" w:hanging="316"/>
        <w:spacing w:after="0"/>
        <w:tabs>
          <w:tab w:leader="none" w:pos="7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Title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5"/>
        <w:spacing w:after="0" w:line="276" w:lineRule="auto"/>
        <w:tabs>
          <w:tab w:leader="none" w:pos="1261"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You will be employed by the Company, on a full-time basis, as its Executive Vice President and General Counsel and to serve as an officer with that same position of Parent, working out of the Company’s headquarters located in San Diego, California. You shall have all the duties, responsibilities and authority commensurate with these positions, subject to the supervision of, and reporting directly to, the Chief Executive Officer of the Company (the “</w:t>
      </w:r>
      <w:r>
        <w:rPr>
          <w:rFonts w:ascii="Arial" w:cs="Arial" w:eastAsia="Arial" w:hAnsi="Arial"/>
          <w:sz w:val="17"/>
          <w:szCs w:val="17"/>
          <w:u w:val="single" w:color="auto"/>
          <w:color w:val="auto"/>
        </w:rPr>
        <w:t>Supervising Officer</w:t>
      </w:r>
      <w:r>
        <w:rPr>
          <w:rFonts w:ascii="Arial" w:cs="Arial" w:eastAsia="Arial" w:hAnsi="Arial"/>
          <w:sz w:val="17"/>
          <w:szCs w:val="17"/>
          <w:color w:val="auto"/>
        </w:rPr>
        <w:t>”). For the avoidance of doubt, all references in this Agreement to your “employment with the Company” shall include your employment with the Company and any of its affiliates and subsidiaries, as applicable.</w:t>
      </w:r>
    </w:p>
    <w:p>
      <w:pPr>
        <w:spacing w:after="0" w:line="172" w:lineRule="exact"/>
        <w:rPr>
          <w:rFonts w:ascii="Arial" w:cs="Arial" w:eastAsia="Arial" w:hAnsi="Arial"/>
          <w:sz w:val="17"/>
          <w:szCs w:val="17"/>
          <w:color w:val="auto"/>
        </w:rPr>
      </w:pPr>
    </w:p>
    <w:p>
      <w:pPr>
        <w:ind w:right="20" w:firstLine="885"/>
        <w:spacing w:after="0" w:line="270" w:lineRule="auto"/>
        <w:tabs>
          <w:tab w:leader="none" w:pos="1271"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Time Commitment; Outside Activities</w:t>
      </w:r>
      <w:r>
        <w:rPr>
          <w:rFonts w:ascii="Arial" w:cs="Arial" w:eastAsia="Arial" w:hAnsi="Arial"/>
          <w:sz w:val="17"/>
          <w:szCs w:val="17"/>
          <w:color w:val="auto"/>
        </w:rPr>
        <w:t xml:space="preserve">. You agree to perform the duties and responsibilities of your positions, and such other duties and responsibilities as shall from time to time be mutually agreed upon between you and the Supervising Officer. You agree that, while employed by the Company, you will devote substantially all of your 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it is agreed that you may participate in outside charitable, civic, educational, professional, community or industry activities to the extent such activities do not individually or in the aggregate interfere with your duties and responsibilities to the Company or create an actual or potential conflict of interest with the Company’s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your service on any outside boards (whether for profit or non-profit) shall require the prior consent of the Supervising Officer. You agree to abide by the rules, regulations, instructions, personnel practices and policies of the Company, as adopted and amended from time to time by the Company.</w:t>
      </w:r>
    </w:p>
    <w:p>
      <w:pPr>
        <w:spacing w:after="0" w:line="181" w:lineRule="exact"/>
        <w:rPr>
          <w:rFonts w:ascii="Arial" w:cs="Arial" w:eastAsia="Arial" w:hAnsi="Arial"/>
          <w:sz w:val="17"/>
          <w:szCs w:val="17"/>
          <w:color w:val="auto"/>
        </w:rPr>
      </w:pPr>
    </w:p>
    <w:p>
      <w:pPr>
        <w:ind w:right="420" w:firstLine="885"/>
        <w:spacing w:after="0" w:line="264" w:lineRule="auto"/>
        <w:tabs>
          <w:tab w:leader="none" w:pos="1261"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Transfer of Employment to Gossamer Services</w:t>
      </w:r>
      <w:r>
        <w:rPr>
          <w:rFonts w:ascii="Arial" w:cs="Arial" w:eastAsia="Arial" w:hAnsi="Arial"/>
          <w:sz w:val="18"/>
          <w:szCs w:val="18"/>
          <w:color w:val="auto"/>
        </w:rPr>
        <w:t>. Effective January 1, 2019, the Company will undertake an internal reorganization pursuant to which the employment of all employees will be transferred from Parent to Gossamer Services. As a result, effective January 1, 2019, Gossamer Services will be your employer of record. There will be no break in service as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66" w:name="page567"/>
    <w:bookmarkEnd w:id="56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this transfer of employment. You will continue to work in your same position, with the same terms and conditions of employment, and with the same Supervising Officer, as is currently in effect. In addition, you will continue to participate in substantially the same employee benefit plans that you participated in prior to the transfer, with no immediate changes in benefits or coverage (unless you elect any such changes during open enrollment for 2019). Subject to your elections, all applicable benefits withholdings and elections will continue following the transfer of your employment. Except as described in Section 2(e) below, all other terms and conditions related to your employment will be assigned to Gossamer Services and will remain in full force and effect after the transfer of your employment.</w:t>
      </w:r>
    </w:p>
    <w:p>
      <w:pPr>
        <w:spacing w:after="0" w:line="193" w:lineRule="exact"/>
        <w:rPr>
          <w:sz w:val="20"/>
          <w:szCs w:val="20"/>
          <w:color w:val="auto"/>
        </w:rPr>
      </w:pPr>
    </w:p>
    <w:p>
      <w:pPr>
        <w:ind w:left="760" w:hanging="316"/>
        <w:spacing w:after="0"/>
        <w:tabs>
          <w:tab w:leader="none" w:pos="76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885"/>
        <w:spacing w:after="0" w:line="259" w:lineRule="auto"/>
        <w:tabs>
          <w:tab w:leader="none" w:pos="1261"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receive an annual base salary of $370,000, payable in accordance with the normal payroll practices of the Company in effect from time to time. Your performance will be reviewed by the Compensation Committee of the Board of Directors of Parent (the “</w:t>
      </w:r>
      <w:r>
        <w:rPr>
          <w:rFonts w:ascii="Arial" w:cs="Arial" w:eastAsia="Arial" w:hAnsi="Arial"/>
          <w:sz w:val="18"/>
          <w:szCs w:val="18"/>
          <w:u w:val="single" w:color="auto"/>
          <w:color w:val="auto"/>
        </w:rPr>
        <w:t>Board</w:t>
      </w:r>
      <w:r>
        <w:rPr>
          <w:rFonts w:ascii="Arial" w:cs="Arial" w:eastAsia="Arial" w:hAnsi="Arial"/>
          <w:sz w:val="18"/>
          <w:szCs w:val="18"/>
          <w:color w:val="auto"/>
        </w:rPr>
        <w:t>”) or the Supervising Officer on an annual basis in conjunction with an annual salary review. Effective upon the completion of the IPO (as defined below), your annual base salary shall be increased to $390,000.</w:t>
      </w:r>
    </w:p>
    <w:p>
      <w:pPr>
        <w:spacing w:after="0" w:line="186" w:lineRule="exact"/>
        <w:rPr>
          <w:rFonts w:ascii="Arial" w:cs="Arial" w:eastAsia="Arial" w:hAnsi="Arial"/>
          <w:sz w:val="18"/>
          <w:szCs w:val="18"/>
          <w:color w:val="auto"/>
        </w:rPr>
      </w:pPr>
    </w:p>
    <w:p>
      <w:pPr>
        <w:ind w:right="400" w:firstLine="885"/>
        <w:spacing w:after="0" w:line="297" w:lineRule="auto"/>
        <w:tabs>
          <w:tab w:leader="none" w:pos="1271" w:val="left"/>
        </w:tabs>
        <w:numPr>
          <w:ilvl w:val="1"/>
          <w:numId w:val="402"/>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Commencing with calendar year 2018, you will be eligible to receive an annual cash incentive bonus with a target amount equal to 40% of your then-current annual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Your bonus in respect of 2018, and any future bonuses, will be subject to the terms of the applicable bonus plan developed and approved by the Board or the Compensation Committee of the Board. Any bonus awarded will be paid on or before March 15 of the calendar year immediately following the year for which the bonus was awarded, subject to your employment at the end of the calendar year for which the bonus is due, except as otherwise expressly provided for herein.</w:t>
      </w:r>
    </w:p>
    <w:p>
      <w:pPr>
        <w:spacing w:after="0" w:line="158" w:lineRule="exact"/>
        <w:rPr>
          <w:rFonts w:ascii="Arial" w:cs="Arial" w:eastAsia="Arial" w:hAnsi="Arial"/>
          <w:sz w:val="16"/>
          <w:szCs w:val="16"/>
          <w:color w:val="auto"/>
        </w:rPr>
      </w:pPr>
    </w:p>
    <w:p>
      <w:pPr>
        <w:jc w:val="both"/>
        <w:ind w:right="300" w:firstLine="885"/>
        <w:spacing w:after="0" w:line="264" w:lineRule="auto"/>
        <w:tabs>
          <w:tab w:leader="none" w:pos="1261"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w:t>
      </w:r>
    </w:p>
    <w:p>
      <w:pPr>
        <w:spacing w:after="0" w:line="181" w:lineRule="exact"/>
        <w:rPr>
          <w:rFonts w:ascii="Arial" w:cs="Arial" w:eastAsia="Arial" w:hAnsi="Arial"/>
          <w:sz w:val="18"/>
          <w:szCs w:val="18"/>
          <w:color w:val="auto"/>
        </w:rPr>
      </w:pPr>
    </w:p>
    <w:p>
      <w:pPr>
        <w:ind w:right="100" w:firstLine="885"/>
        <w:spacing w:after="0" w:line="308" w:lineRule="auto"/>
        <w:tabs>
          <w:tab w:leader="none" w:pos="1271"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 The Company will reimburse you for all reasonable business expenses incurred by you in the performance of your duties, subject to the Company’s expense reimbursement policies applicable to senior executives in effect from time to time.</w:t>
      </w:r>
    </w:p>
    <w:p>
      <w:pPr>
        <w:spacing w:after="0" w:line="146" w:lineRule="exact"/>
        <w:rPr>
          <w:rFonts w:ascii="Arial" w:cs="Arial" w:eastAsia="Arial" w:hAnsi="Arial"/>
          <w:sz w:val="17"/>
          <w:szCs w:val="17"/>
          <w:color w:val="auto"/>
        </w:rPr>
      </w:pPr>
    </w:p>
    <w:p>
      <w:pPr>
        <w:ind w:right="100" w:firstLine="885"/>
        <w:spacing w:after="0" w:line="254" w:lineRule="auto"/>
        <w:tabs>
          <w:tab w:leader="none" w:pos="1261"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You will be entitled to paid time off in accordance with the policies of the Company. In connection with your transfer of employment to Gossamer Services effective January 1, 2019, you may be entitled to receive payment of any accrued, unused paid time off that you have accrued with Parent. However, if you receive a payout of all accrued, unused paid time off, please understand you will have no paid time off available to you immediately after the transfer of your employment. In order to avoid this result, Parent and Gossamer Services have arranged to rollover your accrued, unused paid time off to Gossamer Services. If you do not want to rollover your accrued, unused paid time off to the Company, please check the “</w:t>
      </w:r>
      <w:r>
        <w:rPr>
          <w:rFonts w:ascii="Arial" w:cs="Arial" w:eastAsia="Arial" w:hAnsi="Arial"/>
          <w:sz w:val="18"/>
          <w:szCs w:val="18"/>
          <w:i w:val="1"/>
          <w:iCs w:val="1"/>
          <w:color w:val="auto"/>
        </w:rPr>
        <w:t>No Rollover</w:t>
      </w:r>
      <w:r>
        <w:rPr>
          <w:rFonts w:ascii="Arial" w:cs="Arial" w:eastAsia="Arial" w:hAnsi="Arial"/>
          <w:sz w:val="18"/>
          <w:szCs w:val="18"/>
          <w:color w:val="auto"/>
        </w:rPr>
        <w:t>” box below the signature line below. If you do want to rollover your accrued, unused paid time off, and have it available for use with the Company, please check the “</w:t>
      </w:r>
      <w:r>
        <w:rPr>
          <w:rFonts w:ascii="Arial" w:cs="Arial" w:eastAsia="Arial" w:hAnsi="Arial"/>
          <w:sz w:val="18"/>
          <w:szCs w:val="18"/>
          <w:i w:val="1"/>
          <w:iCs w:val="1"/>
          <w:color w:val="auto"/>
        </w:rPr>
        <w:t>Rollover PTO</w:t>
      </w:r>
      <w:r>
        <w:rPr>
          <w:rFonts w:ascii="Arial" w:cs="Arial" w:eastAsia="Arial" w:hAnsi="Arial"/>
          <w:sz w:val="18"/>
          <w:szCs w:val="18"/>
          <w:color w:val="auto"/>
        </w:rPr>
        <w:t>” box below the signature line below. Gossamer Services’ paid time off policy will be the same as the policy currently in effect at Parent.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67" w:name="page568"/>
    <w:bookmarkEnd w:id="567"/>
    <w:p>
      <w:pPr>
        <w:ind w:left="740" w:hanging="316"/>
        <w:spacing w:after="0"/>
        <w:tabs>
          <w:tab w:leader="none" w:pos="7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At-Will Employment;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885"/>
        <w:spacing w:after="0" w:line="291" w:lineRule="auto"/>
        <w:tabs>
          <w:tab w:leader="none" w:pos="1241"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At-Will Employment; Notice of Resignation</w:t>
      </w:r>
      <w:r>
        <w:rPr>
          <w:rFonts w:ascii="Arial" w:cs="Arial" w:eastAsia="Arial" w:hAnsi="Arial"/>
          <w:sz w:val="16"/>
          <w:szCs w:val="16"/>
          <w:color w:val="auto"/>
        </w:rPr>
        <w:t>. This Agreement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an executive officer of the Company, which expressly states the intention to modify the at-will nature of your employment. Similarly, nothing in this Agreement shall be construed as an agreement, either express or implied, to pay you any compensation or grant you any benefit beyond the end of your employment with the Company, except as otherwise explicitly set forth herein.</w:t>
      </w:r>
    </w:p>
    <w:p>
      <w:pPr>
        <w:spacing w:after="0" w:line="167" w:lineRule="exact"/>
        <w:rPr>
          <w:rFonts w:ascii="Arial" w:cs="Arial" w:eastAsia="Arial" w:hAnsi="Arial"/>
          <w:sz w:val="16"/>
          <w:szCs w:val="16"/>
          <w:color w:val="auto"/>
        </w:rPr>
      </w:pPr>
    </w:p>
    <w:p>
      <w:pPr>
        <w:ind w:left="-20" w:right="220" w:firstLine="885"/>
        <w:spacing w:after="0" w:line="264" w:lineRule="auto"/>
        <w:tabs>
          <w:tab w:leader="none" w:pos="1251"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In the event your employment with the Company ever terminates, on your last day of employment, you will receive your accrued but unpaid base salary and all accrued but unused paid time off through the last day of your employment, in accordance with the Company’s then-current payroll policies and practices (the “</w:t>
      </w:r>
      <w:r>
        <w:rPr>
          <w:rFonts w:ascii="Arial" w:cs="Arial" w:eastAsia="Arial" w:hAnsi="Arial"/>
          <w:sz w:val="18"/>
          <w:szCs w:val="18"/>
          <w:u w:val="single" w:color="auto"/>
          <w:color w:val="auto"/>
        </w:rPr>
        <w:t>Termination 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 w:firstLine="885"/>
        <w:spacing w:after="0" w:line="268" w:lineRule="auto"/>
        <w:tabs>
          <w:tab w:leader="none" w:pos="1241" w:val="left"/>
        </w:tabs>
        <w:numPr>
          <w:ilvl w:val="1"/>
          <w:numId w:val="40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Prior to a Change in Control or More Than 12 Months Following a Change in Control</w:t>
      </w:r>
      <w:r>
        <w:rPr>
          <w:rFonts w:ascii="Arial" w:cs="Arial" w:eastAsia="Arial" w:hAnsi="Arial"/>
          <w:sz w:val="17"/>
          <w:szCs w:val="17"/>
          <w:color w:val="auto"/>
        </w:rPr>
        <w:t>. Without otherwise limiting the “at-will” nature of your employment, in the event your employment is terminated at any time by the Company (or any of its subsidiaries or affiliates, as applicable, or any of their respective successors or assigns) without Cause (as defined below) (excluding by reason of your death and Disability (as defined below)) or by you for Good Reason in each case prior to a Change in Control (as defined below) or more than twelve (12) months following a Change in Control, then, in addition to the Termination Payment, the Company shall provide the following payments and benefits (“</w:t>
      </w:r>
      <w:r>
        <w:rPr>
          <w:rFonts w:ascii="Arial" w:cs="Arial" w:eastAsia="Arial" w:hAnsi="Arial"/>
          <w:sz w:val="17"/>
          <w:szCs w:val="17"/>
          <w:u w:val="single" w:color="auto"/>
          <w:color w:val="auto"/>
        </w:rPr>
        <w:t>Severance Benefits</w:t>
      </w:r>
      <w:r>
        <w:rPr>
          <w:rFonts w:ascii="Arial" w:cs="Arial" w:eastAsia="Arial" w:hAnsi="Arial"/>
          <w:sz w:val="17"/>
          <w:szCs w:val="17"/>
          <w:color w:val="auto"/>
        </w:rPr>
        <w:t>”): (i) continued payment of your base salary at the then-current rate per pay period for a period of nine (9) months following your termination date, in accordance with the Company’s then-current payroll policies and practices; and (ii) provided you timely elect and remain eligible for coverage pursuant to Part 6 of Title I of ERISA, or similar state law (collectively, “</w:t>
      </w:r>
      <w:r>
        <w:rPr>
          <w:rFonts w:ascii="Arial" w:cs="Arial" w:eastAsia="Arial" w:hAnsi="Arial"/>
          <w:sz w:val="17"/>
          <w:szCs w:val="17"/>
          <w:u w:val="single" w:color="auto"/>
          <w:color w:val="auto"/>
        </w:rPr>
        <w:t>COBRA</w:t>
      </w:r>
      <w:r>
        <w:rPr>
          <w:rFonts w:ascii="Arial" w:cs="Arial" w:eastAsia="Arial" w:hAnsi="Arial"/>
          <w:sz w:val="17"/>
          <w:szCs w:val="17"/>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nine (9) months following such date and (y) the date you become eligible for coverage under a subsequent employer’s medical plan.</w:t>
      </w:r>
    </w:p>
    <w:p>
      <w:pPr>
        <w:spacing w:after="0" w:line="187" w:lineRule="exact"/>
        <w:rPr>
          <w:rFonts w:ascii="Arial" w:cs="Arial" w:eastAsia="Arial" w:hAnsi="Arial"/>
          <w:sz w:val="17"/>
          <w:szCs w:val="17"/>
          <w:color w:val="auto"/>
        </w:rPr>
      </w:pPr>
    </w:p>
    <w:p>
      <w:pPr>
        <w:jc w:val="both"/>
        <w:ind w:left="-20" w:right="320" w:firstLine="885"/>
        <w:spacing w:after="0" w:line="259" w:lineRule="auto"/>
        <w:tabs>
          <w:tab w:leader="none" w:pos="1251"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 Within 12 Months Following a Change in Control</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without Cause (excluding by reason of your death and Disability) or by you for Good Reason, in each case on or within twelve (12) months after a Change in Control, then,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3" w:right="459" w:bottom="1440" w:gutter="0" w:footer="0" w:header="0"/>
        </w:sectPr>
      </w:pPr>
    </w:p>
    <w:bookmarkStart w:id="568" w:name="page569"/>
    <w:bookmarkEnd w:id="568"/>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to the Termination Payment, the Company shall provide the following payments and benefits (“</w:t>
      </w:r>
      <w:r>
        <w:rPr>
          <w:rFonts w:ascii="Arial" w:cs="Arial" w:eastAsia="Arial" w:hAnsi="Arial"/>
          <w:sz w:val="16"/>
          <w:szCs w:val="16"/>
          <w:u w:val="single" w:color="auto"/>
          <w:color w:val="auto"/>
        </w:rPr>
        <w:t>Change in Control Severance Benefits</w:t>
      </w:r>
      <w:r>
        <w:rPr>
          <w:rFonts w:ascii="Arial" w:cs="Arial" w:eastAsia="Arial" w:hAnsi="Arial"/>
          <w:sz w:val="16"/>
          <w:szCs w:val="16"/>
          <w:color w:val="auto"/>
        </w:rPr>
        <w:t>”): (i) continued payment of your base salary at the then-current rate per pay period for a period of twelve (12) months following your termination date, in accordance with the Company’s then-current payroll policies and practices; (ii) payment of your Target Bonus for the calendar year during which your date of termination occurs, on the Payment Date;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w:t>
      </w:r>
    </w:p>
    <w:p>
      <w:pPr>
        <w:spacing w:after="0" w:line="7" w:lineRule="exact"/>
        <w:rPr>
          <w:sz w:val="20"/>
          <w:szCs w:val="20"/>
          <w:color w:val="auto"/>
        </w:rPr>
      </w:pPr>
    </w:p>
    <w:p>
      <w:pPr>
        <w:ind w:right="80" w:firstLine="4"/>
        <w:spacing w:after="0" w:line="255" w:lineRule="auto"/>
        <w:tabs>
          <w:tab w:leader="none" w:pos="25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twelve (12) 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90" w:lineRule="exact"/>
        <w:rPr>
          <w:rFonts w:ascii="Arial" w:cs="Arial" w:eastAsia="Arial" w:hAnsi="Arial"/>
          <w:sz w:val="18"/>
          <w:szCs w:val="18"/>
          <w:color w:val="auto"/>
        </w:rPr>
      </w:pPr>
    </w:p>
    <w:p>
      <w:pPr>
        <w:ind w:right="80" w:firstLine="885"/>
        <w:spacing w:after="0" w:line="255" w:lineRule="auto"/>
        <w:tabs>
          <w:tab w:leader="none" w:pos="1261"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by reason of your death or Disability, then, in addition to the Termination Payment, the Company shall provide that the greater of (i) fifty percent (50%) of the unvested portion of any equity awards then held by you immediately prior to such termination or (ii) the portion of such equity awards that would have otherwise vested in the nine (9) month period following the date of such termination of employment, shall vest and shall no longer be subject to restrictions or forfeiture on the date of such termination (“</w:t>
      </w:r>
      <w:r>
        <w:rPr>
          <w:rFonts w:ascii="Arial" w:cs="Arial" w:eastAsia="Arial" w:hAnsi="Arial"/>
          <w:sz w:val="18"/>
          <w:szCs w:val="18"/>
          <w:u w:val="single" w:color="auto"/>
          <w:color w:val="auto"/>
        </w:rPr>
        <w:t>Qualified Accelerated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firstLine="885"/>
        <w:spacing w:after="0" w:line="255" w:lineRule="auto"/>
        <w:tabs>
          <w:tab w:leader="none" w:pos="1241"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8"/>
          <w:szCs w:val="18"/>
          <w:u w:val="single" w:color="auto"/>
          <w:color w:val="auto"/>
        </w:rPr>
        <w:t>Termination Benefits</w:t>
      </w:r>
      <w:r>
        <w:rPr>
          <w:rFonts w:ascii="Arial" w:cs="Arial" w:eastAsia="Arial" w:hAnsi="Arial"/>
          <w:sz w:val="18"/>
          <w:szCs w:val="18"/>
          <w:color w:val="auto"/>
        </w:rPr>
        <w:t xml:space="preserve">”) unless, within sixty (60) 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to such form to help ensure enforceability under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any revocation period thereunder has lapsed without exercise by you (or your legal representatives) of such revocation right.</w:t>
      </w:r>
    </w:p>
    <w:p>
      <w:pPr>
        <w:spacing w:after="0" w:line="193" w:lineRule="exact"/>
        <w:rPr>
          <w:rFonts w:ascii="Arial" w:cs="Arial" w:eastAsia="Arial" w:hAnsi="Arial"/>
          <w:sz w:val="18"/>
          <w:szCs w:val="18"/>
          <w:color w:val="auto"/>
        </w:rPr>
      </w:pPr>
    </w:p>
    <w:p>
      <w:pPr>
        <w:jc w:val="both"/>
        <w:ind w:right="100" w:firstLine="885"/>
        <w:spacing w:after="0" w:line="259" w:lineRule="auto"/>
        <w:tabs>
          <w:tab w:leader="none" w:pos="1271"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The Termination Benefits shall be paid or provided or shall commence on the first payroll period following the date the Release becomes effective (the “</w:t>
      </w:r>
      <w:r>
        <w:rPr>
          <w:rFonts w:ascii="Arial" w:cs="Arial" w:eastAsia="Arial" w:hAnsi="Arial"/>
          <w:sz w:val="18"/>
          <w:szCs w:val="18"/>
          <w:u w:val="single" w:color="auto"/>
          <w:color w:val="auto"/>
        </w:rPr>
        <w:t>Payment Date</w:t>
      </w:r>
      <w:r>
        <w:rPr>
          <w:rFonts w:ascii="Arial" w:cs="Arial" w:eastAsia="Arial" w:hAnsi="Arial"/>
          <w:sz w:val="18"/>
          <w:szCs w:val="18"/>
          <w:color w:val="auto"/>
        </w:rPr>
        <w:t>”) and the first payment shall include all accrued amounts from the date of termination, provided that if the period during which you may deliver the Release required hereunder spans two (2) calendar years, the Payment Date shall be no earlier than January 1 of the second calendar year.</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36"/>
        <w:spacing w:after="0" w:line="308" w:lineRule="auto"/>
        <w:tabs>
          <w:tab w:leader="none" w:pos="1783" w:val="left"/>
        </w:tabs>
        <w:numPr>
          <w:ilvl w:val="2"/>
          <w:numId w:val="404"/>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have the meaning set forth in the Gossamer Bio, Inc. 2017 Equity Incentive Plan, as in effect on the Effective Date (the “</w:t>
      </w:r>
      <w:r>
        <w:rPr>
          <w:rFonts w:ascii="Arial" w:cs="Arial" w:eastAsia="Arial" w:hAnsi="Arial"/>
          <w:sz w:val="17"/>
          <w:szCs w:val="17"/>
          <w:u w:val="single" w:color="auto"/>
          <w:color w:val="auto"/>
        </w:rPr>
        <w:t>Equity Plan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effective on the date on which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69" w:name="page570"/>
    <w:bookmarkEnd w:id="569"/>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Registration Statement on Form S-1 filed with respect to the Company’s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becomes effective, “Change in Control” shall have the meaning set forth in the equity plan adopted by Parent in connection with the IPO.</w:t>
      </w:r>
    </w:p>
    <w:p>
      <w:pPr>
        <w:spacing w:after="0" w:line="170" w:lineRule="exact"/>
        <w:rPr>
          <w:sz w:val="20"/>
          <w:szCs w:val="20"/>
          <w:color w:val="auto"/>
        </w:rPr>
      </w:pPr>
    </w:p>
    <w:p>
      <w:pPr>
        <w:ind w:firstLine="1436"/>
        <w:spacing w:after="0" w:line="286" w:lineRule="auto"/>
        <w:tabs>
          <w:tab w:leader="none" w:pos="1823" w:val="left"/>
        </w:tabs>
        <w:numPr>
          <w:ilvl w:val="2"/>
          <w:numId w:val="40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means: (A) a willful and material act of dishonesty by you in connection with the performance of your duties as an employee of the Company; (B) your conviction of, or plea of guilty or nolo contendere to, a felony, or any crime involving fraud or embezzlement that the Board reasonably determines has had or is reasonably likely to have a materially detrimental effect on the Company’s reputation or business; (C) your gross misconduct in the performance of your duties as an employee of the Company; (D) your willful and material unauthorized use or disclosure of any proprietary information or trade secrets of the Company or any other party to whom you owe an obligation of nondisclosure as a result of your relationship with the Company; (E) your willful and material breach of any obligations under any written agreement or written covenant with the Company; or (F) your continued willful and substantial failure to perform your material employment duties that are lawfully assigned to you in good faith by your reporting superior (other than as a result of your death or Disability) after written 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no act or failure to act on your part shall be considered “willful” unless it is done or omitted to be done by you in bad faith and without reasonable belief that the act or failure to act was in the best interest of the Company.</w:t>
      </w:r>
    </w:p>
    <w:p>
      <w:pPr>
        <w:spacing w:after="0" w:line="174" w:lineRule="exact"/>
        <w:rPr>
          <w:rFonts w:ascii="Arial" w:cs="Arial" w:eastAsia="Arial" w:hAnsi="Arial"/>
          <w:sz w:val="16"/>
          <w:szCs w:val="16"/>
          <w:color w:val="auto"/>
        </w:rPr>
      </w:pPr>
    </w:p>
    <w:p>
      <w:pPr>
        <w:ind w:right="280" w:firstLine="1436"/>
        <w:spacing w:after="0" w:line="288" w:lineRule="auto"/>
        <w:tabs>
          <w:tab w:leader="none" w:pos="1873" w:val="left"/>
        </w:tabs>
        <w:numPr>
          <w:ilvl w:val="2"/>
          <w:numId w:val="40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(A) a material reduction in your base salary or target annual bonus; (B) a material diminution of your title, duties, responsibilities or reporting lines; (C) a material change in the principal geographic location at which you must perform services, more than fifty (50) miles from the Company’s head office;</w:t>
      </w:r>
    </w:p>
    <w:p>
      <w:pPr>
        <w:ind w:right="260" w:firstLine="4"/>
        <w:spacing w:after="0" w:line="254" w:lineRule="auto"/>
        <w:tabs>
          <w:tab w:leader="none" w:pos="29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material breach by the Company of this Agreement.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89" w:lineRule="exact"/>
        <w:rPr>
          <w:rFonts w:ascii="Arial" w:cs="Arial" w:eastAsia="Arial" w:hAnsi="Arial"/>
          <w:sz w:val="18"/>
          <w:szCs w:val="18"/>
          <w:color w:val="auto"/>
        </w:rPr>
      </w:pPr>
    </w:p>
    <w:p>
      <w:pPr>
        <w:ind w:right="180" w:firstLine="1436"/>
        <w:spacing w:after="0" w:line="277" w:lineRule="auto"/>
        <w:tabs>
          <w:tab w:leader="none" w:pos="1863" w:val="left"/>
        </w:tabs>
        <w:numPr>
          <w:ilvl w:val="2"/>
          <w:numId w:val="40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within the meaning of Section 22(e)(3) of the Code, as it may be amended from time to time.</w:t>
      </w:r>
    </w:p>
    <w:p>
      <w:pPr>
        <w:spacing w:after="0" w:line="170" w:lineRule="exact"/>
        <w:rPr>
          <w:rFonts w:ascii="Arial" w:cs="Arial" w:eastAsia="Arial" w:hAnsi="Arial"/>
          <w:sz w:val="18"/>
          <w:szCs w:val="18"/>
          <w:color w:val="auto"/>
        </w:rPr>
      </w:pPr>
    </w:p>
    <w:p>
      <w:pPr>
        <w:ind w:right="300" w:firstLine="885"/>
        <w:spacing w:after="0" w:line="259" w:lineRule="auto"/>
        <w:tabs>
          <w:tab w:leader="none" w:pos="1231"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Any severance payments to you under this Agreement shall begin only after the date of your “separation from service” within the meaning of Internal Revenue Code Section 409A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determined as set forth below, which occurs on or after date of the termination of your employment, and shall be subject to the following provisions:</w:t>
      </w:r>
    </w:p>
    <w:p>
      <w:pPr>
        <w:spacing w:after="0" w:line="78" w:lineRule="exact"/>
        <w:rPr>
          <w:rFonts w:ascii="Arial" w:cs="Arial" w:eastAsia="Arial" w:hAnsi="Arial"/>
          <w:sz w:val="18"/>
          <w:szCs w:val="18"/>
          <w:color w:val="auto"/>
        </w:rPr>
      </w:pPr>
    </w:p>
    <w:p>
      <w:pPr>
        <w:ind w:right="20" w:firstLine="1436"/>
        <w:spacing w:after="0" w:line="308" w:lineRule="auto"/>
        <w:tabs>
          <w:tab w:leader="none" w:pos="1779" w:val="left"/>
        </w:tabs>
        <w:numPr>
          <w:ilvl w:val="2"/>
          <w:numId w:val="407"/>
        </w:numPr>
        <w:rPr>
          <w:rFonts w:ascii="Arial" w:cs="Arial" w:eastAsia="Arial" w:hAnsi="Arial"/>
          <w:sz w:val="17"/>
          <w:szCs w:val="17"/>
          <w:color w:val="auto"/>
        </w:rPr>
      </w:pPr>
      <w:r>
        <w:rPr>
          <w:rFonts w:ascii="Arial" w:cs="Arial" w:eastAsia="Arial" w:hAnsi="Arial"/>
          <w:sz w:val="17"/>
          <w:szCs w:val="17"/>
          <w:color w:val="auto"/>
        </w:rPr>
        <w:t>The intent of the parties is that payments and benefits under this Agreement comply with, or be exempt from Section 409A and, accordingly, to the maximum extent permitted, this Agreement shall be interpreted to be in compliance therewith. For purposes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70" w:name="page571"/>
    <w:bookmarkEnd w:id="570"/>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Section 409A, your right to receive any installment payments pursuant to this Agreement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1" w:lineRule="exact"/>
        <w:rPr>
          <w:sz w:val="20"/>
          <w:szCs w:val="20"/>
          <w:color w:val="auto"/>
        </w:rPr>
      </w:pPr>
    </w:p>
    <w:p>
      <w:pPr>
        <w:ind w:right="40" w:firstLine="1436"/>
        <w:spacing w:after="0" w:line="308" w:lineRule="auto"/>
        <w:tabs>
          <w:tab w:leader="none" w:pos="1833" w:val="left"/>
        </w:tabs>
        <w:numPr>
          <w:ilvl w:val="1"/>
          <w:numId w:val="408"/>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of the severance payments shall be made on the dates and terms set forth in this Agreement.</w:t>
      </w:r>
    </w:p>
    <w:p>
      <w:pPr>
        <w:spacing w:after="0" w:line="146" w:lineRule="exact"/>
        <w:rPr>
          <w:rFonts w:ascii="Arial" w:cs="Arial" w:eastAsia="Arial" w:hAnsi="Arial"/>
          <w:sz w:val="17"/>
          <w:szCs w:val="17"/>
          <w:color w:val="auto"/>
        </w:rPr>
      </w:pPr>
    </w:p>
    <w:p>
      <w:pPr>
        <w:ind w:left="1880" w:hanging="444"/>
        <w:spacing w:after="0"/>
        <w:tabs>
          <w:tab w:leader="none" w:pos="188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then:</w:t>
      </w:r>
    </w:p>
    <w:p>
      <w:pPr>
        <w:spacing w:after="0" w:line="102" w:lineRule="exact"/>
        <w:rPr>
          <w:rFonts w:ascii="Arial" w:cs="Arial" w:eastAsia="Arial" w:hAnsi="Arial"/>
          <w:sz w:val="16"/>
          <w:szCs w:val="16"/>
          <w:color w:val="auto"/>
        </w:rPr>
      </w:pPr>
    </w:p>
    <w:p>
      <w:pPr>
        <w:jc w:val="both"/>
        <w:ind w:right="20" w:firstLine="1877"/>
        <w:spacing w:after="0" w:line="259" w:lineRule="auto"/>
        <w:tabs>
          <w:tab w:leader="none" w:pos="2303" w:val="left"/>
        </w:tabs>
        <w:numPr>
          <w:ilvl w:val="2"/>
          <w:numId w:val="408"/>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Agreement,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 shall be paid on the dates and terms set forth in this Agreement; and</w:t>
      </w:r>
    </w:p>
    <w:p>
      <w:pPr>
        <w:spacing w:after="0" w:line="186" w:lineRule="exact"/>
        <w:rPr>
          <w:rFonts w:ascii="Arial" w:cs="Arial" w:eastAsia="Arial" w:hAnsi="Arial"/>
          <w:sz w:val="18"/>
          <w:szCs w:val="18"/>
          <w:color w:val="auto"/>
        </w:rPr>
      </w:pPr>
    </w:p>
    <w:p>
      <w:pPr>
        <w:ind w:right="240" w:firstLine="1877"/>
        <w:spacing w:after="0" w:line="291" w:lineRule="auto"/>
        <w:tabs>
          <w:tab w:leader="none" w:pos="2293" w:val="left"/>
        </w:tabs>
        <w:numPr>
          <w:ilvl w:val="2"/>
          <w:numId w:val="408"/>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(iii)(A) above and that would, absent this clause (B), be paid within the six-month period following your “separation from service” from the Company shall not be paid until the date that is six</w:t>
      </w:r>
    </w:p>
    <w:p>
      <w:pPr>
        <w:ind w:firstLine="4"/>
        <w:spacing w:after="0" w:line="268" w:lineRule="auto"/>
        <w:tabs>
          <w:tab w:leader="none" w:pos="25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 xml:space="preserve">months and one (1) 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84" w:lineRule="exact"/>
        <w:rPr>
          <w:rFonts w:ascii="Arial" w:cs="Arial" w:eastAsia="Arial" w:hAnsi="Arial"/>
          <w:sz w:val="17"/>
          <w:szCs w:val="17"/>
          <w:color w:val="auto"/>
        </w:rPr>
      </w:pPr>
    </w:p>
    <w:p>
      <w:pPr>
        <w:ind w:right="60" w:firstLine="1436"/>
        <w:spacing w:after="0" w:line="312" w:lineRule="auto"/>
        <w:tabs>
          <w:tab w:leader="none" w:pos="1869" w:val="left"/>
        </w:tabs>
        <w:numPr>
          <w:ilvl w:val="1"/>
          <w:numId w:val="409"/>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140" w:firstLine="1436"/>
        <w:spacing w:after="0" w:line="288" w:lineRule="auto"/>
        <w:tabs>
          <w:tab w:leader="none" w:pos="1813" w:val="left"/>
        </w:tabs>
        <w:numPr>
          <w:ilvl w:val="1"/>
          <w:numId w:val="409"/>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(A) any reimbursement is for expenses incurred during your lifetime (or during a shorter period of time specified in this Agreement),</w:t>
      </w:r>
    </w:p>
    <w:p>
      <w:pPr>
        <w:ind w:right="100"/>
        <w:spacing w:after="0" w:line="277" w:lineRule="auto"/>
        <w:rPr>
          <w:rFonts w:ascii="Arial" w:cs="Arial" w:eastAsia="Arial" w:hAnsi="Arial"/>
          <w:sz w:val="16"/>
          <w:szCs w:val="16"/>
          <w:color w:val="auto"/>
        </w:rPr>
      </w:pPr>
      <w:r>
        <w:rPr>
          <w:rFonts w:ascii="Arial" w:cs="Arial" w:eastAsia="Arial" w:hAnsi="Arial"/>
          <w:sz w:val="17"/>
          <w:szCs w:val="17"/>
          <w:color w:val="auto"/>
        </w:rPr>
        <w:t>(B) the amount of expenses eligible for reimbursement during a calendar year may not affect the expenses eligible for reimbursement in 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71" w:name="page572"/>
    <w:bookmarkEnd w:id="571"/>
    <w:p>
      <w:pPr>
        <w:ind w:firstLine="1436"/>
        <w:spacing w:after="0" w:line="287" w:lineRule="auto"/>
        <w:tabs>
          <w:tab w:leader="none" w:pos="1873" w:val="left"/>
        </w:tabs>
        <w:numPr>
          <w:ilvl w:val="2"/>
          <w:numId w:val="4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other provision of this Agreement, the Company makes no representation or warranty and shall have no liability to you or to any other person if any provisions of this Agreement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Agreement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 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correction is consistent with the commercial intent of the parties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Company be obligated to incur any material cost in connection with its obligations under this sentence.</w:t>
      </w:r>
    </w:p>
    <w:p>
      <w:pPr>
        <w:spacing w:after="0" w:line="168" w:lineRule="exact"/>
        <w:rPr>
          <w:rFonts w:ascii="Arial" w:cs="Arial" w:eastAsia="Arial" w:hAnsi="Arial"/>
          <w:sz w:val="16"/>
          <w:szCs w:val="16"/>
          <w:color w:val="auto"/>
        </w:rPr>
      </w:pPr>
    </w:p>
    <w:p>
      <w:pPr>
        <w:ind w:right="100" w:firstLine="885"/>
        <w:spacing w:after="0" w:line="259" w:lineRule="auto"/>
        <w:tabs>
          <w:tab w:leader="none" w:pos="137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sz w:val="20"/>
          <w:szCs w:val="20"/>
          <w:color w:val="auto"/>
        </w:rPr>
      </w:pPr>
    </w:p>
    <w:p>
      <w:pPr>
        <w:ind w:right="20" w:firstLine="885"/>
        <w:spacing w:after="0" w:line="287" w:lineRule="auto"/>
        <w:tabs>
          <w:tab w:leader="none" w:pos="1261"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Best Pay Provision</w:t>
      </w:r>
      <w:r>
        <w:rPr>
          <w:rFonts w:ascii="Arial" w:cs="Arial" w:eastAsia="Arial" w:hAnsi="Arial"/>
          <w:sz w:val="16"/>
          <w:szCs w:val="16"/>
          <w:color w:val="auto"/>
        </w:rPr>
        <w:t>. Notwithstanding anything to the contrary contained in this Agreement, to the extent that any of the payments and benefits provided for under this Agreement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(i) constitute a “parachute payment” within the meaning of Section 280G of the Code and (ii) but for this paragraph, would be subject to the excise tax imposed by Section 4999 of the Code, then the Payments shall be reduced to the extent necessary so that no portion of such Payments retained by you shall be subject to excise tax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such reduction shall only occur if after taking into account the applicable federal, state and local income taxes and the excise tax imposed by Section 4999 of the Code, such reduction results in your receipt on an after-tax basis, of the greatest amount of benefits under this Agreement,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sentence shall not apply if, immediately before the change in ownership or control on which such Payment is contingent or otherwise relates, no stock in the Company is readily tradeable on an established securities market or otherwise (as determined in accordance with Treasury Reg. Section 1.280G-1 Q&amp;A 6). In the event of a determination that 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572" w:name="page573"/>
    <w:bookmarkEnd w:id="572"/>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to be reduced; second, cancellation of accelerated vesting of equity awards, which shall occur in the reverse order of the date of grant for such stock awards (i.e., the vesting of the most recently granted stock awards will be reduced first); and third, reduction of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154" w:lineRule="exact"/>
        <w:rPr>
          <w:sz w:val="20"/>
          <w:szCs w:val="20"/>
          <w:color w:val="auto"/>
        </w:rPr>
      </w:pPr>
    </w:p>
    <w:p>
      <w:pPr>
        <w:ind w:right="40" w:firstLine="885"/>
        <w:spacing w:after="0" w:line="270" w:lineRule="auto"/>
        <w:tabs>
          <w:tab w:leader="none" w:pos="1271"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Notwithstanding the foregoing, if any Payments would not be subject to such excise tax if the stockholder approval requirements of Section 280G(b)(5) of the Code are satisfied, subject to your waiver of the rights to such Payments in accordance with Section 280G of the Code with respect to any portion of the Payments that would otherwise be subject to excise tax imposed by Section 4999 of the Code (before giving effect to any reduction in Payments contemplated in the two preceding sentences), the Company shall use its reasonable best efforts to cause such payments to be submitted for such approval prior to the event giving rise to such payments. To the extent the Company submits any payment or benefit payable to you under this Agreement or otherwise to the Company’s stockholders for approval in accordance with Treasury Reg.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 In no event shall you have any discretion with respect to the ordering of payment reductions.</w:t>
      </w:r>
    </w:p>
    <w:p>
      <w:pPr>
        <w:spacing w:after="0" w:line="177" w:lineRule="exact"/>
        <w:rPr>
          <w:rFonts w:ascii="Arial" w:cs="Arial" w:eastAsia="Arial" w:hAnsi="Arial"/>
          <w:sz w:val="17"/>
          <w:szCs w:val="17"/>
          <w:color w:val="auto"/>
        </w:rPr>
      </w:pPr>
    </w:p>
    <w:p>
      <w:pPr>
        <w:ind w:firstLine="885"/>
        <w:spacing w:after="0" w:line="287" w:lineRule="auto"/>
        <w:tabs>
          <w:tab w:leader="none" w:pos="1261"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Unless you and the Company otherwise agree in writing, any determination required under this paragraph shall be made in writing by the Company’s independent public accountants immediately preceding the change in ownership or control on which such Payments are contingent or otherwise relate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you and the Company for all purposes. For purposes of making the calculations required by this Section 4, the Accountants may make reasonable assumptions and approximations concerning applicable taxes and may rely in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Company shall bear all costs the Accountants may reasonably incur in connection with any calculations contemplated by this paragraph. If the limitation set forth in Section 4(a) is applied to reduce an amount payable to you, and the Internal Revenue Service successfully asserts that, despite the reduction, you have nonetheless received payments which are in excess of the maximum amount that could have been paid to you without being subjected to any excise tax, then, unless it would be unlawful for the Company to make such a loan or similar extension of credit to you, you may repay such excess amount to the Company as though such amount constitutes a loan to you made at the date of payment of such excess amount, bearing interest at 120% of the applicable federal rate (as determined under Section 1274(d) of the Code in respect of such loan).</w:t>
      </w:r>
    </w:p>
    <w:p>
      <w:pPr>
        <w:spacing w:after="0" w:line="168" w:lineRule="exact"/>
        <w:rPr>
          <w:rFonts w:ascii="Arial" w:cs="Arial" w:eastAsia="Arial" w:hAnsi="Arial"/>
          <w:sz w:val="16"/>
          <w:szCs w:val="16"/>
          <w:color w:val="auto"/>
        </w:rPr>
      </w:pPr>
    </w:p>
    <w:p>
      <w:pPr>
        <w:ind w:left="760" w:hanging="316"/>
        <w:spacing w:after="0"/>
        <w:tabs>
          <w:tab w:leader="none" w:pos="76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64" w:lineRule="auto"/>
        <w:tabs>
          <w:tab w:leader="none" w:pos="1261"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No Other Agreements</w:t>
      </w:r>
      <w:r>
        <w:rPr>
          <w:rFonts w:ascii="Arial" w:cs="Arial" w:eastAsia="Arial" w:hAnsi="Arial"/>
          <w:sz w:val="18"/>
          <w:szCs w:val="18"/>
          <w:color w:val="auto"/>
        </w:rPr>
        <w:t>. You represent that you are not bound by any employment contract, restrictive covenant or other restriction preventing you from entering into employment with or carrying out your responsibilities for the Company, or which is in any way inconsistent with the terms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573" w:name="page574"/>
    <w:bookmarkEnd w:id="573"/>
    <w:p>
      <w:pPr>
        <w:ind w:left="-40" w:right="40" w:firstLine="885"/>
        <w:spacing w:after="0" w:line="277" w:lineRule="auto"/>
        <w:tabs>
          <w:tab w:leader="none" w:pos="1231"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PIIA</w:t>
      </w:r>
      <w:r>
        <w:rPr>
          <w:rFonts w:ascii="Arial" w:cs="Arial" w:eastAsia="Arial" w:hAnsi="Arial"/>
          <w:sz w:val="18"/>
          <w:szCs w:val="18"/>
          <w:color w:val="auto"/>
        </w:rPr>
        <w:t xml:space="preserve">. You have previously executed the Company’s Proprietary Information and Inventions Assignment Agreement,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PIIA</w:t>
      </w:r>
      <w:r>
        <w:rPr>
          <w:rFonts w:ascii="Arial" w:cs="Arial" w:eastAsia="Arial" w:hAnsi="Arial"/>
          <w:sz w:val="18"/>
          <w:szCs w:val="18"/>
          <w:color w:val="auto"/>
        </w:rPr>
        <w:t>”), and you hereby reaffirm your agreements and obligations thereunder.</w:t>
      </w:r>
    </w:p>
    <w:p>
      <w:pPr>
        <w:spacing w:after="0" w:line="170" w:lineRule="exact"/>
        <w:rPr>
          <w:rFonts w:ascii="Arial" w:cs="Arial" w:eastAsia="Arial" w:hAnsi="Arial"/>
          <w:sz w:val="18"/>
          <w:szCs w:val="18"/>
          <w:color w:val="auto"/>
        </w:rPr>
      </w:pPr>
    </w:p>
    <w:p>
      <w:pPr>
        <w:ind w:left="-40" w:firstLine="885"/>
        <w:spacing w:after="0" w:line="253" w:lineRule="auto"/>
        <w:tabs>
          <w:tab w:leader="none" w:pos="1221"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Defend Trade Secrets Act Notice of Immunity Rights</w:t>
      </w:r>
      <w:r>
        <w:rPr>
          <w:rFonts w:ascii="Arial" w:cs="Arial" w:eastAsia="Arial" w:hAnsi="Arial"/>
          <w:sz w:val="18"/>
          <w:szCs w:val="18"/>
          <w:color w:val="auto"/>
        </w:rPr>
        <w:t>.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Proprietary Information (as defined in the PIIA)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Proprietary Information that is made in a complaint or other document filed in a lawsuit or other proceeding, if such filing is made under seal; and (iii) if you file a lawsuit for retaliation by the Company for reporting a suspected violation of law, you may disclose the Proprietary Information to your attorney and use the Proprietary Information in the court proceeding, if you file any document containing the Proprietary Information under seal, and do not disclose the Proprietary Information, except pursuant to court order.</w:t>
      </w:r>
    </w:p>
    <w:p>
      <w:pPr>
        <w:spacing w:after="0" w:line="197" w:lineRule="exact"/>
        <w:rPr>
          <w:rFonts w:ascii="Arial" w:cs="Arial" w:eastAsia="Arial" w:hAnsi="Arial"/>
          <w:sz w:val="18"/>
          <w:szCs w:val="18"/>
          <w:color w:val="auto"/>
        </w:rPr>
      </w:pPr>
    </w:p>
    <w:p>
      <w:pPr>
        <w:ind w:left="-40" w:right="80" w:firstLine="444"/>
        <w:spacing w:after="0" w:line="273" w:lineRule="auto"/>
        <w:tabs>
          <w:tab w:leader="none" w:pos="716"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rFonts w:ascii="Arial" w:cs="Arial" w:eastAsia="Arial" w:hAnsi="Arial"/>
          <w:sz w:val="17"/>
          <w:szCs w:val="17"/>
          <w:color w:val="auto"/>
        </w:rPr>
      </w:pPr>
    </w:p>
    <w:p>
      <w:pPr>
        <w:ind w:left="-40" w:firstLine="444"/>
        <w:spacing w:after="0" w:line="269" w:lineRule="auto"/>
        <w:tabs>
          <w:tab w:leader="none" w:pos="716"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Entire Agreement; Miscellaneous</w:t>
      </w:r>
      <w:r>
        <w:rPr>
          <w:rFonts w:ascii="Arial" w:cs="Arial" w:eastAsia="Arial" w:hAnsi="Arial"/>
          <w:sz w:val="17"/>
          <w:szCs w:val="17"/>
          <w:color w:val="auto"/>
        </w:rPr>
        <w:t>. This Agreement, together with any documents relating to the Company equity held by you, any stock grant notices or stock agreements referenced herein and the PIIA, constitutes the entire agreement and understanding between the parties as to the subject matter herein and supersedes all prior or contemporaneous agreements whether written or oral. The terms of this Agreement may only be modified in a specific writing signed by you and an authorized representative of the Company. The invalidity or unenforceability of any provision or provisions of this Agreement will not affect the validity or enforceability of any other provision hereof, which will remain in full force and effect. The terms in this Agreement may only be modified in writing and signed by you and an executive officer of the Company. In the event of any conflict between any of the terms in this Agreement and the terms of any other agreement between you and the Company, the terms of this Agreement will control. This Agreement may be executed in any number of counterparts, all of which taken together shall constitute one instrument. Execution and delivery of this Agreement by facsimile or other electronic signature is legal, valid and binding for all purposes. This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4" w:right="459" w:bottom="1440" w:gutter="0" w:footer="0" w:header="0"/>
        </w:sectPr>
      </w:pPr>
    </w:p>
    <w:bookmarkStart w:id="574" w:name="page575"/>
    <w:bookmarkEnd w:id="574"/>
    <w:p>
      <w:pPr>
        <w:ind w:left="-40" w:right="80" w:firstLine="444"/>
        <w:spacing w:after="0" w:line="277" w:lineRule="auto"/>
        <w:tabs>
          <w:tab w:leader="none" w:pos="716"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Your employment and this Agreement will be governed by the laws of the State of California, without reference to conflicts of laws principles which would result in the application of the law of any other jurisdiction.</w:t>
      </w:r>
    </w:p>
    <w:p>
      <w:pPr>
        <w:spacing w:after="0" w:line="170" w:lineRule="exact"/>
        <w:rPr>
          <w:rFonts w:ascii="Arial" w:cs="Arial" w:eastAsia="Arial" w:hAnsi="Arial"/>
          <w:sz w:val="18"/>
          <w:szCs w:val="18"/>
          <w:color w:val="auto"/>
        </w:rPr>
      </w:pPr>
    </w:p>
    <w:p>
      <w:pPr>
        <w:ind w:left="-40" w:firstLine="444"/>
        <w:spacing w:after="0" w:line="267" w:lineRule="auto"/>
        <w:tabs>
          <w:tab w:leader="none" w:pos="716"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aid in the rapid and economical resolution of any disputes that may arise in the course of the employment relationship, you and the Company agree that any and all disputes, claims, or demands in any way arising out of or relating to the terms of this Agreement, Company equity held by you,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7"/>
          <w:szCs w:val="17"/>
          <w:u w:val="single" w:color="auto"/>
          <w:color w:val="auto"/>
        </w:rPr>
        <w:t>JAMS Rules</w:t>
      </w:r>
      <w:r>
        <w:rPr>
          <w:rFonts w:ascii="Arial" w:cs="Arial" w:eastAsia="Arial" w:hAnsi="Arial"/>
          <w:sz w:val="17"/>
          <w:szCs w:val="17"/>
          <w:color w:val="auto"/>
        </w:rPr>
        <w:t xml:space="preserve">”) and the Federal Arbitration Act, 9 U.S.C. Sec. 1, et seq. A copy of the JAMS rules may be found on the JAMS website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and will be provided to you by the Company upon request. BY AGREEING TO THIS ARBITRATION PROCEDURE, YOU AND THE COMPANY WAIVE THE RIGHT TO RESOLVE ANY SUCH DISPUTE, CLAIM OR DEMAND 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w:t>
      </w:r>
    </w:p>
    <w:p>
      <w:pPr>
        <w:spacing w:after="0" w:line="187" w:lineRule="exact"/>
        <w:rPr>
          <w:rFonts w:ascii="Arial" w:cs="Arial" w:eastAsia="Arial" w:hAnsi="Arial"/>
          <w:sz w:val="17"/>
          <w:szCs w:val="17"/>
          <w:color w:val="auto"/>
        </w:rPr>
      </w:pPr>
    </w:p>
    <w:p>
      <w:pPr>
        <w:ind w:left="-40" w:right="100" w:firstLine="444"/>
        <w:spacing w:after="0" w:line="277" w:lineRule="auto"/>
        <w:tabs>
          <w:tab w:leader="none" w:pos="806"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Withholding and other Deductions</w:t>
      </w:r>
      <w:r>
        <w:rPr>
          <w:rFonts w:ascii="Arial" w:cs="Arial" w:eastAsia="Arial" w:hAnsi="Arial"/>
          <w:sz w:val="18"/>
          <w:szCs w:val="18"/>
          <w:color w:val="auto"/>
        </w:rPr>
        <w:t>. All compensation payable to you hereunder shall be subject to such deductions as the Company is from time to time required to make pursuant to law, governmental regulation or order.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3" w:right="479" w:bottom="1440" w:gutter="0" w:footer="0" w:header="0"/>
        </w:sectPr>
      </w:pPr>
    </w:p>
    <w:bookmarkStart w:id="575" w:name="page576"/>
    <w:bookmarkEnd w:id="5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acknowledge your acceptance of the terms of this Agreement by returning a signed copy of this Agreement.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/s/ Christian Waage</w:t>
            </w:r>
          </w:p>
        </w:tc>
        <w:tc>
          <w:tcPr>
            <w:tcW w:w="2780" w:type="dxa"/>
            <w:vAlign w:val="bottom"/>
            <w:gridSpan w:val="2"/>
          </w:tcPr>
          <w:p>
            <w:pPr>
              <w:ind w:left="660"/>
              <w:spacing w:after="0"/>
              <w:rPr>
                <w:sz w:val="20"/>
                <w:szCs w:val="20"/>
                <w:color w:val="auto"/>
              </w:rPr>
            </w:pPr>
            <w:r>
              <w:rPr>
                <w:rFonts w:ascii="Arial" w:cs="Arial" w:eastAsia="Arial" w:hAnsi="Arial"/>
                <w:sz w:val="18"/>
                <w:szCs w:val="18"/>
                <w:color w:val="auto"/>
              </w:rPr>
              <w:t>Date: December 4, 2018</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Christian Waage</w:t>
            </w:r>
          </w:p>
        </w:tc>
        <w:tc>
          <w:tcPr>
            <w:tcW w:w="108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bl>
    <w:p>
      <w:pPr>
        <w:spacing w:after="0" w:line="102" w:lineRule="exact"/>
        <w:rPr>
          <w:sz w:val="20"/>
          <w:szCs w:val="20"/>
          <w:color w:val="auto"/>
        </w:rPr>
      </w:pPr>
    </w:p>
    <w:p>
      <w:pPr>
        <w:ind w:left="440" w:right="60" w:hanging="436"/>
        <w:spacing w:after="0" w:line="282" w:lineRule="auto"/>
        <w:tabs>
          <w:tab w:leader="none" w:pos="440" w:val="left"/>
        </w:tabs>
        <w:numPr>
          <w:ilvl w:val="0"/>
          <w:numId w:val="419"/>
        </w:numPr>
        <w:rPr>
          <w:rFonts w:ascii="MS PGothic" w:cs="MS PGothic" w:eastAsia="MS PGothic" w:hAnsi="MS PGothic"/>
          <w:sz w:val="18"/>
          <w:szCs w:val="18"/>
          <w:color w:val="auto"/>
        </w:rPr>
      </w:pPr>
      <w:r>
        <w:rPr>
          <w:rFonts w:ascii="Arial" w:cs="Arial" w:eastAsia="Arial" w:hAnsi="Arial"/>
          <w:sz w:val="18"/>
          <w:szCs w:val="18"/>
          <w:b w:val="1"/>
          <w:bCs w:val="1"/>
          <w:color w:val="auto"/>
        </w:rPr>
        <w:t>Rollover PTO</w:t>
      </w:r>
      <w:r>
        <w:rPr>
          <w:rFonts w:ascii="Arial" w:cs="Arial" w:eastAsia="Arial" w:hAnsi="Arial"/>
          <w:sz w:val="18"/>
          <w:szCs w:val="18"/>
          <w:color w:val="auto"/>
        </w:rPr>
        <w:t>. I want to rollover my accrued, unused paid time off, and to have it available for use with the Company following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my employment.</w:t>
      </w:r>
    </w:p>
    <w:p>
      <w:pPr>
        <w:spacing w:after="0" w:line="67" w:lineRule="exact"/>
        <w:rPr>
          <w:sz w:val="20"/>
          <w:szCs w:val="20"/>
          <w:color w:val="auto"/>
        </w:rPr>
      </w:pPr>
    </w:p>
    <w:p>
      <w:pPr>
        <w:ind w:left="440" w:hanging="436"/>
        <w:spacing w:after="0" w:line="313" w:lineRule="auto"/>
        <w:tabs>
          <w:tab w:leader="none" w:pos="440" w:val="left"/>
        </w:tabs>
        <w:numPr>
          <w:ilvl w:val="0"/>
          <w:numId w:val="420"/>
        </w:numPr>
        <w:rPr>
          <w:rFonts w:ascii="MS PGothic" w:cs="MS PGothic" w:eastAsia="MS PGothic" w:hAnsi="MS PGothic"/>
          <w:sz w:val="17"/>
          <w:szCs w:val="17"/>
          <w:color w:val="auto"/>
        </w:rPr>
      </w:pPr>
      <w:r>
        <w:rPr>
          <w:rFonts w:ascii="Arial" w:cs="Arial" w:eastAsia="Arial" w:hAnsi="Arial"/>
          <w:sz w:val="17"/>
          <w:szCs w:val="17"/>
          <w:b w:val="1"/>
          <w:bCs w:val="1"/>
          <w:color w:val="auto"/>
        </w:rPr>
        <w:t>No Rollover</w:t>
      </w:r>
      <w:r>
        <w:rPr>
          <w:rFonts w:ascii="Arial" w:cs="Arial" w:eastAsia="Arial" w:hAnsi="Arial"/>
          <w:sz w:val="17"/>
          <w:szCs w:val="17"/>
          <w:color w:val="auto"/>
        </w:rPr>
        <w:t>. I do not want to rollover my accrued, unused paid time off, and understand that I will receive a payout of my accrued, unused paid</w:t>
      </w:r>
      <w:r>
        <w:rPr>
          <w:rFonts w:ascii="Arial" w:cs="Arial" w:eastAsia="Arial" w:hAnsi="Arial"/>
          <w:sz w:val="17"/>
          <w:szCs w:val="17"/>
          <w:b w:val="1"/>
          <w:bCs w:val="1"/>
          <w:color w:val="auto"/>
        </w:rPr>
        <w:t xml:space="preserve"> </w:t>
      </w:r>
      <w:r>
        <w:rPr>
          <w:rFonts w:ascii="Arial" w:cs="Arial" w:eastAsia="Arial" w:hAnsi="Arial"/>
          <w:sz w:val="17"/>
          <w:szCs w:val="17"/>
          <w:color w:val="auto"/>
        </w:rPr>
        <w:t>time off and I will not have any paid time off available immediately following the transfer of my employment to the Company.</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440" w:top="274" w:right="619" w:bottom="1440" w:gutter="0" w:footer="0" w:header="0"/>
        </w:sectPr>
      </w:pPr>
    </w:p>
    <w:bookmarkStart w:id="576" w:name="page577"/>
    <w:bookmarkEnd w:id="57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 consideration of the Termination Benefits (as defined in the Agreement) provided and to be provided to me by Gossamer Bio, Inc., or any affiliate or successor thereof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my Agreement with Company dated December 4, 2018 (the “</w:t>
      </w:r>
      <w:r>
        <w:rPr>
          <w:rFonts w:ascii="Arial" w:cs="Arial" w:eastAsia="Arial" w:hAnsi="Arial"/>
          <w:sz w:val="16"/>
          <w:szCs w:val="16"/>
          <w:u w:val="single" w:color="auto"/>
          <w:color w:val="auto"/>
        </w:rPr>
        <w:t>Agreement</w:t>
      </w:r>
      <w:r>
        <w:rPr>
          <w:rFonts w:ascii="Arial" w:cs="Arial" w:eastAsia="Arial" w:hAnsi="Arial"/>
          <w:sz w:val="16"/>
          <w:szCs w:val="16"/>
          <w:color w:val="auto"/>
        </w:rPr>
        <w:t>”), and in connection with the termination of my employment, the Company and I agree to the following, including a general release as specified below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47" w:lineRule="exact"/>
        <w:rPr>
          <w:sz w:val="20"/>
          <w:szCs w:val="20"/>
          <w:color w:val="auto"/>
        </w:rPr>
      </w:pPr>
    </w:p>
    <w:p>
      <w:pPr>
        <w:ind w:right="20" w:firstLine="885"/>
        <w:spacing w:after="0" w:line="286" w:lineRule="auto"/>
        <w:tabs>
          <w:tab w:leader="none" w:pos="119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causes of action, and liabilities up through the date of my execution of the Release (except with respect to Termination Benefits under the Agreement and any other rights that I have accrued under the employee benefit plans and equity award plans of the Company). The claims subject to this release include, but are not limited to, those relating to my employment with Company and/or any predecessor to the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74" w:lineRule="exact"/>
        <w:rPr>
          <w:rFonts w:ascii="Arial" w:cs="Arial" w:eastAsia="Arial" w:hAnsi="Arial"/>
          <w:sz w:val="16"/>
          <w:szCs w:val="16"/>
          <w:color w:val="auto"/>
        </w:rPr>
      </w:pPr>
    </w:p>
    <w:p>
      <w:pPr>
        <w:ind w:right="140" w:firstLine="885"/>
        <w:spacing w:after="0" w:line="277" w:lineRule="auto"/>
        <w:tabs>
          <w:tab w:leader="none" w:pos="119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parties agree to apply California law in interpreting the Release. Accordingly, I further waive any rights under Section 1542 of the Civil Code of the State of California or any similar state statute. Section 1542 states:</w:t>
      </w:r>
    </w:p>
    <w:p>
      <w:pPr>
        <w:spacing w:after="0" w:line="58" w:lineRule="exact"/>
        <w:rPr>
          <w:sz w:val="20"/>
          <w:szCs w:val="20"/>
          <w:color w:val="auto"/>
        </w:rPr>
      </w:pPr>
    </w:p>
    <w:p>
      <w:pPr>
        <w:ind w:left="880" w:right="260"/>
        <w:spacing w:after="0" w:line="347"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to him or her, must have materially affected his or her settlement with the debtor.”</w:t>
      </w:r>
    </w:p>
    <w:p>
      <w:pPr>
        <w:spacing w:after="0" w:line="12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This Release does not extend to, and has no effect upon, (a) any benefits that have previously accrued, and to which I have become vested or otherwise entitled to, under any agreement, employee benefit plan, program or policy sponsored or maintained by the Company; (b) my right to indemnification and/or contribution, advancement or payment of related expenses by the Company under any written indemnification or other agreement between the parties; (c) my right to continued coverage by the Company’s director’s and officer’s insurance, other insurance policies of the Company, COBRA or any similar state law; (d) any claims for breach of this Release or the Agreement; (e) any claims that may not be released by private agreement; and (f) any claims arising after the date I sign the Release.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3" w:right="439" w:bottom="1440" w:gutter="0" w:footer="0" w:header="0"/>
        </w:sectPr>
      </w:pPr>
    </w:p>
    <w:bookmarkStart w:id="577" w:name="page578"/>
    <w:bookmarkEnd w:id="577"/>
    <w:p>
      <w:pPr>
        <w:ind w:firstLine="885"/>
        <w:spacing w:after="0" w:line="287" w:lineRule="auto"/>
        <w:tabs>
          <w:tab w:leader="none" w:pos="1196" w:val="left"/>
        </w:tabs>
        <w:numPr>
          <w:ilvl w:val="0"/>
          <w:numId w:val="4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 (a) my rights under applicable workers’ compensation laws; (b) my right, if any, to seek state disability or unemployment benefits; (c) my right to indemnity under California Labor Code section 2802 or other applicable state-law right to indemnity; (d) my right to file a charge or complaint with a government agency such as but not limited to the Equal Employment Opportunity Commission, the National Labor Relations Board, the Department of Labor, the California Department of Fair Employment and Housing, or other applicable state agency; and (e) my right to communicate or cooperate with any governmental agency and to receive awards from or by a government agency for providing information.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72" w:lineRule="exact"/>
        <w:rPr>
          <w:rFonts w:ascii="Arial" w:cs="Arial" w:eastAsia="Arial" w:hAnsi="Arial"/>
          <w:sz w:val="16"/>
          <w:szCs w:val="16"/>
          <w:color w:val="auto"/>
        </w:rPr>
      </w:pPr>
    </w:p>
    <w:p>
      <w:pPr>
        <w:jc w:val="both"/>
        <w:ind w:right="20" w:firstLine="885"/>
        <w:spacing w:after="0" w:line="264" w:lineRule="auto"/>
        <w:tabs>
          <w:tab w:leader="none" w:pos="119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paid time off, less applicable withholdings and deductions, earned through my termination date.</w:t>
      </w:r>
    </w:p>
    <w:p>
      <w:pPr>
        <w:spacing w:after="0" w:line="181" w:lineRule="exact"/>
        <w:rPr>
          <w:rFonts w:ascii="Arial" w:cs="Arial" w:eastAsia="Arial" w:hAnsi="Arial"/>
          <w:sz w:val="18"/>
          <w:szCs w:val="18"/>
          <w:color w:val="auto"/>
        </w:rPr>
      </w:pPr>
    </w:p>
    <w:p>
      <w:pPr>
        <w:ind w:right="20" w:firstLine="885"/>
        <w:spacing w:after="0" w:line="291" w:lineRule="auto"/>
        <w:tabs>
          <w:tab w:leader="none" w:pos="119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67" w:lineRule="exact"/>
        <w:rPr>
          <w:rFonts w:ascii="Arial" w:cs="Arial" w:eastAsia="Arial" w:hAnsi="Arial"/>
          <w:sz w:val="16"/>
          <w:szCs w:val="16"/>
          <w:color w:val="auto"/>
        </w:rPr>
      </w:pPr>
    </w:p>
    <w:p>
      <w:pPr>
        <w:ind w:right="60" w:firstLine="885"/>
        <w:spacing w:after="0" w:line="277" w:lineRule="auto"/>
        <w:tabs>
          <w:tab w:leader="none" w:pos="119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70" w:lineRule="exact"/>
        <w:rPr>
          <w:rFonts w:ascii="Arial" w:cs="Arial" w:eastAsia="Arial" w:hAnsi="Arial"/>
          <w:sz w:val="18"/>
          <w:szCs w:val="18"/>
          <w:color w:val="auto"/>
        </w:rPr>
      </w:pPr>
    </w:p>
    <w:p>
      <w:pPr>
        <w:ind w:firstLine="885"/>
        <w:spacing w:after="0" w:line="293" w:lineRule="auto"/>
        <w:tabs>
          <w:tab w:leader="none" w:pos="119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Agreement shall prohibit me from reporting or disclosing information under the terms of the Company’s Reporting Suspected Violations of Law Policy or such similar policy as the Company may have in effect from time to time.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578" w:name="page579"/>
    <w:bookmarkEnd w:id="578"/>
    <w:p>
      <w:pPr>
        <w:ind w:right="540" w:firstLine="885"/>
        <w:spacing w:after="0" w:line="277" w:lineRule="auto"/>
        <w:tabs>
          <w:tab w:leader="none" w:pos="1196"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and agree that the Release will not be construed at any time as an admission of liability or wrongdoing by either the Company Releasees or me.</w:t>
      </w:r>
    </w:p>
    <w:p>
      <w:pPr>
        <w:spacing w:after="0" w:line="170" w:lineRule="exact"/>
        <w:rPr>
          <w:rFonts w:ascii="Arial" w:cs="Arial" w:eastAsia="Arial" w:hAnsi="Arial"/>
          <w:sz w:val="18"/>
          <w:szCs w:val="18"/>
          <w:color w:val="auto"/>
        </w:rPr>
      </w:pPr>
    </w:p>
    <w:p>
      <w:pPr>
        <w:ind w:firstLine="885"/>
        <w:spacing w:after="0" w:line="257" w:lineRule="auto"/>
        <w:tabs>
          <w:tab w:leader="none" w:pos="119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the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88" w:lineRule="exact"/>
        <w:rPr>
          <w:rFonts w:ascii="Arial" w:cs="Arial" w:eastAsia="Arial" w:hAnsi="Arial"/>
          <w:sz w:val="18"/>
          <w:szCs w:val="18"/>
          <w:color w:val="auto"/>
        </w:rPr>
      </w:pPr>
    </w:p>
    <w:p>
      <w:pPr>
        <w:ind w:right="360" w:firstLine="885"/>
        <w:spacing w:after="0" w:line="342" w:lineRule="auto"/>
        <w:tabs>
          <w:tab w:leader="none" w:pos="127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Any controversy or claim arising out of or relating this Release, its enforcement or interpretation, or because of an alleged breach, default or misrepresentation in connection with any of its provisions, will be submitted to arbitration consistent with the terms of the Agreement.</w:t>
      </w:r>
    </w:p>
    <w:p>
      <w:pPr>
        <w:spacing w:after="0" w:line="123" w:lineRule="exact"/>
        <w:rPr>
          <w:rFonts w:ascii="Arial" w:cs="Arial" w:eastAsia="Arial" w:hAnsi="Arial"/>
          <w:sz w:val="16"/>
          <w:szCs w:val="16"/>
          <w:color w:val="auto"/>
        </w:rPr>
      </w:pPr>
    </w:p>
    <w:p>
      <w:pPr>
        <w:ind w:right="20" w:firstLine="885"/>
        <w:spacing w:after="0" w:line="269" w:lineRule="auto"/>
        <w:tabs>
          <w:tab w:leader="none" w:pos="127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left="1280" w:hanging="395"/>
        <w:spacing w:after="0"/>
        <w:tabs>
          <w:tab w:leader="none" w:pos="12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As provided in the Older Workers Benefit Protection Act, I am hereby advised and agree that:</w:t>
      </w:r>
    </w:p>
    <w:p>
      <w:pPr>
        <w:spacing w:after="0" w:line="117" w:lineRule="exact"/>
        <w:rPr>
          <w:rFonts w:ascii="Arial" w:cs="Arial" w:eastAsia="Arial" w:hAnsi="Arial"/>
          <w:sz w:val="18"/>
          <w:szCs w:val="18"/>
          <w:color w:val="auto"/>
        </w:rPr>
      </w:pPr>
    </w:p>
    <w:p>
      <w:pPr>
        <w:ind w:right="120" w:firstLine="1436"/>
        <w:spacing w:after="0" w:line="257" w:lineRule="auto"/>
        <w:tabs>
          <w:tab w:leader="none" w:pos="181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I have had at least twenty-one (21) calendar days in which to consider whether to execute the Release, no one hurried me into executing the Release during that period and no one coerced me into executing the Release. If I signed this Release prior to the expiration of the twenty-one (21) day period, I did so voluntarily and waive the balance of the twenty-one (21) day period. I understand that the offer of the Termination Benefits and the Release will expire on the twenty-second (22nd) calendar day after my employment termination date if I have not accepted it by that time.</w:t>
      </w:r>
    </w:p>
    <w:p>
      <w:pPr>
        <w:spacing w:after="0" w:line="188" w:lineRule="exact"/>
        <w:rPr>
          <w:rFonts w:ascii="Arial" w:cs="Arial" w:eastAsia="Arial" w:hAnsi="Arial"/>
          <w:sz w:val="18"/>
          <w:szCs w:val="18"/>
          <w:color w:val="auto"/>
        </w:rPr>
      </w:pPr>
    </w:p>
    <w:p>
      <w:pPr>
        <w:ind w:left="1820" w:hanging="384"/>
        <w:spacing w:after="0"/>
        <w:tabs>
          <w:tab w:leader="none" w:pos="18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I am hereby advised to consult with a lawyer before signing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This Release provides for consideration in addition to any amount I am otherwise entitled to receive without signing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579" w:name="page580"/>
    <w:bookmarkEnd w:id="579"/>
    <w:p>
      <w:pPr>
        <w:ind w:left="1760" w:hanging="384"/>
        <w:spacing w:after="0"/>
        <w:tabs>
          <w:tab w:leader="none" w:pos="17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does not release any claims arising out of events occurring after I sign this Release</w:t>
      </w:r>
    </w:p>
    <w:p>
      <w:pPr>
        <w:spacing w:after="0" w:line="225" w:lineRule="exact"/>
        <w:rPr>
          <w:rFonts w:ascii="Arial" w:cs="Arial" w:eastAsia="Arial" w:hAnsi="Arial"/>
          <w:sz w:val="18"/>
          <w:szCs w:val="18"/>
          <w:color w:val="auto"/>
        </w:rPr>
      </w:pPr>
    </w:p>
    <w:p>
      <w:pPr>
        <w:ind w:left="-60" w:right="200" w:firstLine="1436"/>
        <w:spacing w:after="0" w:line="257" w:lineRule="auto"/>
        <w:tabs>
          <w:tab w:leader="none" w:pos="175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I may revoke this Agreement within the seven (7) day period following the date on which I signed this Release. I understand that if I revoke this release, the Company will not be obligated to provide the Termination Benefits.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and have not timely revoked it. I understand that the Termination Benefits will become available to me at such time after the Release Effective Date.</w:t>
      </w:r>
    </w:p>
    <w:p>
      <w:pPr>
        <w:spacing w:after="0" w:line="188" w:lineRule="exact"/>
        <w:rPr>
          <w:rFonts w:ascii="Arial" w:cs="Arial" w:eastAsia="Arial" w:hAnsi="Arial"/>
          <w:sz w:val="18"/>
          <w:szCs w:val="18"/>
          <w:color w:val="auto"/>
        </w:rPr>
      </w:pPr>
    </w:p>
    <w:p>
      <w:pPr>
        <w:ind w:left="-60" w:right="20" w:firstLine="885"/>
        <w:spacing w:after="0" w:line="272" w:lineRule="auto"/>
        <w:tabs>
          <w:tab w:leader="none" w:pos="1226"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Agreement, confidential information and invention assignment agreement, and any stock, stock option and/or stock purchase agreements between Company and me. Once effective and enforceable, this Release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left="-60" w:firstLine="885"/>
        <w:spacing w:after="0" w:line="255" w:lineRule="auto"/>
        <w:tabs>
          <w:tab w:leader="none" w:pos="122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 that I have obtained sufficient information to intelligently exercise my own judgment regarding the terms of the Release before executing the Release.</w:t>
      </w:r>
    </w:p>
    <w:p>
      <w:pPr>
        <w:spacing w:after="0" w:line="193" w:lineRule="exact"/>
        <w:rPr>
          <w:rFonts w:ascii="Arial" w:cs="Arial" w:eastAsia="Arial" w:hAnsi="Arial"/>
          <w:sz w:val="18"/>
          <w:szCs w:val="18"/>
          <w:color w:val="auto"/>
        </w:rPr>
      </w:pPr>
    </w:p>
    <w:p>
      <w:pPr>
        <w:ind w:left="-60" w:right="460" w:firstLine="885"/>
        <w:spacing w:after="0" w:line="277" w:lineRule="auto"/>
        <w:tabs>
          <w:tab w:leader="none" w:pos="122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Agreement.</w:t>
      </w:r>
    </w:p>
    <w:p>
      <w:pPr>
        <w:spacing w:after="0" w:line="170" w:lineRule="exact"/>
        <w:rPr>
          <w:rFonts w:ascii="Arial" w:cs="Arial" w:eastAsia="Arial" w:hAnsi="Arial"/>
          <w:sz w:val="18"/>
          <w:szCs w:val="18"/>
          <w:color w:val="auto"/>
        </w:rPr>
      </w:pPr>
    </w:p>
    <w:p>
      <w:pPr>
        <w:ind w:left="-60" w:right="260" w:firstLine="885"/>
        <w:spacing w:after="0" w:line="277" w:lineRule="auto"/>
        <w:tabs>
          <w:tab w:leader="none" w:pos="122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left="-60" w:right="80" w:firstLine="885"/>
        <w:spacing w:after="0" w:line="277" w:lineRule="auto"/>
        <w:tabs>
          <w:tab w:leader="none" w:pos="122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500" w:top="274" w:right="479" w:bottom="1440" w:gutter="0" w:footer="0" w:header="0"/>
        </w:sectPr>
      </w:pPr>
    </w:p>
    <w:bookmarkStart w:id="580" w:name="page581"/>
    <w:bookmarkEnd w:id="58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256" w:lineRule="exact"/>
        <w:rPr>
          <w:sz w:val="20"/>
          <w:szCs w:val="20"/>
          <w:color w:val="auto"/>
        </w:rPr>
      </w:pPr>
    </w:p>
    <w:p>
      <w:pPr>
        <w:ind w:left="6620"/>
        <w:spacing w:after="0"/>
        <w:tabs>
          <w:tab w:leader="none" w:pos="7980" w:val="left"/>
          <w:tab w:leader="none" w:pos="938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279590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440" w:top="269" w:right="699" w:bottom="1440" w:gutter="0" w:footer="0" w:header="0"/>
        </w:sectPr>
      </w:pPr>
    </w:p>
    <w:bookmarkStart w:id="581" w:name="page582"/>
    <w:bookmarkEnd w:id="58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4" w:right="1440" w:bottom="1440" w:gutter="0" w:footer="0" w:header="0"/>
        </w:sectPr>
      </w:pPr>
    </w:p>
    <w:bookmarkStart w:id="582" w:name="page583"/>
    <w:bookmarkEnd w:id="5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the Company’s parent, Gossamer Bio, Inc.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Parent’s subsidiaries, and any other entity in which I am asked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provide services for, and each of their respective successors and assigns), which is a material part of the consideration for my employment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continued employment by the Company:</w:t>
      </w:r>
    </w:p>
    <w:p>
      <w:pPr>
        <w:spacing w:after="0" w:line="207" w:lineRule="exact"/>
        <w:rPr>
          <w:sz w:val="20"/>
          <w:szCs w:val="20"/>
          <w:color w:val="auto"/>
        </w:rPr>
      </w:pPr>
    </w:p>
    <w:p>
      <w:pPr>
        <w:ind w:left="760" w:hanging="316"/>
        <w:spacing w:after="0"/>
        <w:tabs>
          <w:tab w:leader="none" w:pos="760" w:val="left"/>
        </w:tabs>
        <w:numPr>
          <w:ilvl w:val="0"/>
          <w:numId w:val="426"/>
        </w:numPr>
        <w:rPr>
          <w:rFonts w:ascii="Arial" w:cs="Arial" w:eastAsia="Arial" w:hAnsi="Arial"/>
          <w:sz w:val="17"/>
          <w:szCs w:val="17"/>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w:t>
      </w:r>
    </w:p>
    <w:p>
      <w:pPr>
        <w:spacing w:after="0" w:line="38"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Company 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77" w:lineRule="exact"/>
        <w:rPr>
          <w:rFonts w:ascii="Arial" w:cs="Arial" w:eastAsia="Arial" w:hAnsi="Arial"/>
          <w:sz w:val="17"/>
          <w:szCs w:val="17"/>
          <w:color w:val="auto"/>
        </w:rPr>
      </w:pPr>
    </w:p>
    <w:p>
      <w:pPr>
        <w:ind w:right="460" w:firstLine="444"/>
        <w:spacing w:after="0" w:line="282" w:lineRule="auto"/>
        <w:tabs>
          <w:tab w:leader="none" w:pos="756"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I hereby agree as follows:</w:t>
      </w:r>
    </w:p>
    <w:p>
      <w:pPr>
        <w:spacing w:after="0" w:line="161" w:lineRule="exact"/>
        <w:rPr>
          <w:rFonts w:ascii="Arial" w:cs="Arial" w:eastAsia="Arial" w:hAnsi="Arial"/>
          <w:sz w:val="18"/>
          <w:szCs w:val="18"/>
          <w:color w:val="auto"/>
        </w:rPr>
      </w:pPr>
    </w:p>
    <w:p>
      <w:pPr>
        <w:jc w:val="both"/>
        <w:ind w:right="280" w:firstLine="885"/>
        <w:spacing w:after="0" w:line="266" w:lineRule="auto"/>
        <w:tabs>
          <w:tab w:leader="none" w:pos="1261" w:val="left"/>
        </w:tabs>
        <w:numPr>
          <w:ilvl w:val="1"/>
          <w:numId w:val="426"/>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trust and will not use or disclose any Proprietary Information or anything relating to it without the written consent of the Company, except as may be necessary in the ordinary course of performing my duties to the Company.</w:t>
      </w:r>
    </w:p>
    <w:p>
      <w:pPr>
        <w:spacing w:after="0" w:line="176" w:lineRule="exact"/>
        <w:rPr>
          <w:rFonts w:ascii="Arial" w:cs="Arial" w:eastAsia="Arial" w:hAnsi="Arial"/>
          <w:sz w:val="18"/>
          <w:szCs w:val="18"/>
          <w:color w:val="auto"/>
        </w:rPr>
      </w:pPr>
    </w:p>
    <w:p>
      <w:pPr>
        <w:ind w:right="40" w:firstLine="885"/>
        <w:spacing w:after="0" w:line="255" w:lineRule="auto"/>
        <w:tabs>
          <w:tab w:leader="none" w:pos="1271" w:val="left"/>
        </w:tabs>
        <w:numPr>
          <w:ilvl w:val="1"/>
          <w:numId w:val="426"/>
        </w:numPr>
        <w:rPr>
          <w:rFonts w:ascii="Arial" w:cs="Arial" w:eastAsia="Arial" w:hAnsi="Arial"/>
          <w:sz w:val="18"/>
          <w:szCs w:val="18"/>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583" w:name="page584"/>
    <w:bookmarkEnd w:id="583"/>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166" w:lineRule="exact"/>
        <w:rPr>
          <w:sz w:val="20"/>
          <w:szCs w:val="20"/>
          <w:color w:val="auto"/>
        </w:rPr>
      </w:pPr>
    </w:p>
    <w:p>
      <w:pPr>
        <w:jc w:val="both"/>
        <w:ind w:right="80" w:firstLine="885"/>
        <w:spacing w:after="0" w:line="261" w:lineRule="auto"/>
        <w:tabs>
          <w:tab w:leader="none" w:pos="1261"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return 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rFonts w:ascii="Arial" w:cs="Arial" w:eastAsia="Arial" w:hAnsi="Arial"/>
          <w:sz w:val="18"/>
          <w:szCs w:val="18"/>
          <w:color w:val="auto"/>
        </w:rPr>
      </w:pPr>
    </w:p>
    <w:p>
      <w:pPr>
        <w:ind w:right="100" w:firstLine="885"/>
        <w:spacing w:after="0" w:line="289" w:lineRule="auto"/>
        <w:tabs>
          <w:tab w:leader="none" w:pos="1271" w:val="left"/>
        </w:tabs>
        <w:numPr>
          <w:ilvl w:val="1"/>
          <w:numId w:val="427"/>
        </w:numPr>
        <w:rPr>
          <w:rFonts w:ascii="Arial" w:cs="Arial" w:eastAsia="Arial" w:hAnsi="Arial"/>
          <w:sz w:val="16"/>
          <w:szCs w:val="16"/>
          <w:color w:val="auto"/>
        </w:rPr>
      </w:pPr>
      <w:r>
        <w:rPr>
          <w:rFonts w:ascii="Arial" w:cs="Arial" w:eastAsia="Arial" w:hAnsi="Arial"/>
          <w:sz w:val="16"/>
          <w:szCs w:val="16"/>
          <w:b w:val="1"/>
          <w:bCs w:val="1"/>
          <w:color w:val="auto"/>
        </w:rPr>
        <w:t xml:space="preserve">Disclosure of Inventions. </w:t>
      </w:r>
      <w:r>
        <w:rPr>
          <w:rFonts w:ascii="Arial" w:cs="Arial" w:eastAsia="Arial" w:hAnsi="Arial"/>
          <w:sz w:val="16"/>
          <w:szCs w:val="16"/>
          <w:color w:val="auto"/>
        </w:rPr>
        <w:t>I will promptly disclose to the Company, or any persons designated by it, all Inventions made or conceived</w:t>
      </w:r>
      <w:r>
        <w:rPr>
          <w:rFonts w:ascii="Arial" w:cs="Arial" w:eastAsia="Arial" w:hAnsi="Arial"/>
          <w:sz w:val="16"/>
          <w:szCs w:val="16"/>
          <w:b w:val="1"/>
          <w:bCs w:val="1"/>
          <w:color w:val="auto"/>
        </w:rPr>
        <w:t xml:space="preserve"> </w:t>
      </w:r>
      <w:r>
        <w:rPr>
          <w:rFonts w:ascii="Arial" w:cs="Arial" w:eastAsia="Arial" w:hAnsi="Arial"/>
          <w:sz w:val="16"/>
          <w:szCs w:val="16"/>
          <w:color w:val="auto"/>
        </w:rPr>
        <w:t>or 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w:t>
      </w:r>
    </w:p>
    <w:p>
      <w:pPr>
        <w:spacing w:after="0" w:line="1"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rFonts w:ascii="Arial" w:cs="Arial" w:eastAsia="Arial" w:hAnsi="Arial"/>
          <w:sz w:val="16"/>
          <w:szCs w:val="16"/>
          <w:color w:val="auto"/>
        </w:rPr>
      </w:pPr>
    </w:p>
    <w:p>
      <w:pPr>
        <w:ind w:right="60" w:firstLine="885"/>
        <w:spacing w:after="0" w:line="285" w:lineRule="auto"/>
        <w:tabs>
          <w:tab w:leader="none" w:pos="1261" w:val="left"/>
        </w:tabs>
        <w:numPr>
          <w:ilvl w:val="1"/>
          <w:numId w:val="427"/>
        </w:numPr>
        <w:rPr>
          <w:rFonts w:ascii="Arial" w:cs="Arial" w:eastAsia="Arial" w:hAnsi="Arial"/>
          <w:sz w:val="16"/>
          <w:szCs w:val="16"/>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3" w:lineRule="exact"/>
        <w:rPr>
          <w:rFonts w:ascii="Arial" w:cs="Arial" w:eastAsia="Arial" w:hAnsi="Arial"/>
          <w:sz w:val="16"/>
          <w:szCs w:val="16"/>
          <w:color w:val="auto"/>
        </w:rPr>
      </w:pPr>
    </w:p>
    <w:p>
      <w:pPr>
        <w:jc w:val="both"/>
        <w:ind w:firstLine="4"/>
        <w:spacing w:after="0" w:line="273" w:lineRule="auto"/>
        <w:tabs>
          <w:tab w:leader="none" w:pos="245"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2" w:lineRule="exact"/>
        <w:rPr>
          <w:rFonts w:ascii="Arial" w:cs="Arial" w:eastAsia="Arial" w:hAnsi="Arial"/>
          <w:sz w:val="17"/>
          <w:szCs w:val="17"/>
          <w:color w:val="auto"/>
        </w:rPr>
      </w:pPr>
    </w:p>
    <w:p>
      <w:pPr>
        <w:ind w:right="60" w:firstLine="885"/>
        <w:spacing w:after="0" w:line="295" w:lineRule="auto"/>
        <w:tabs>
          <w:tab w:leader="none" w:pos="1241" w:val="left"/>
        </w:tabs>
        <w:numPr>
          <w:ilvl w:val="1"/>
          <w:numId w:val="428"/>
        </w:numPr>
        <w:rPr>
          <w:rFonts w:ascii="Arial" w:cs="Arial" w:eastAsia="Arial" w:hAnsi="Arial"/>
          <w:sz w:val="16"/>
          <w:szCs w:val="16"/>
          <w:color w:val="auto"/>
        </w:rPr>
      </w:pPr>
      <w:r>
        <w:rPr>
          <w:rFonts w:ascii="Arial" w:cs="Arial" w:eastAsia="Arial" w:hAnsi="Arial"/>
          <w:sz w:val="16"/>
          <w:szCs w:val="16"/>
          <w:b w:val="1"/>
          <w:bCs w:val="1"/>
          <w:color w:val="auto"/>
        </w:rPr>
        <w:t xml:space="preserve">Assignment of Moral Rights. </w:t>
      </w:r>
      <w:r>
        <w:rPr>
          <w:rFonts w:ascii="Arial" w:cs="Arial" w:eastAsia="Arial" w:hAnsi="Arial"/>
          <w:sz w:val="16"/>
          <w:szCs w:val="16"/>
          <w:color w:val="auto"/>
        </w:rPr>
        <w:t>In addition to the foregoing assignment of Inventions to the Company, I hereby irrevocably transfer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55" w:lineRule="exact"/>
        <w:rPr>
          <w:rFonts w:ascii="Arial" w:cs="Arial" w:eastAsia="Arial" w:hAnsi="Arial"/>
          <w:sz w:val="16"/>
          <w:szCs w:val="16"/>
          <w:color w:val="auto"/>
        </w:rPr>
      </w:pPr>
    </w:p>
    <w:p>
      <w:pPr>
        <w:ind w:right="540" w:firstLine="885"/>
        <w:spacing w:after="0" w:line="347" w:lineRule="auto"/>
        <w:tabs>
          <w:tab w:leader="none" w:pos="1271" w:val="left"/>
        </w:tabs>
        <w:numPr>
          <w:ilvl w:val="1"/>
          <w:numId w:val="428"/>
        </w:numPr>
        <w:rPr>
          <w:rFonts w:ascii="Arial" w:cs="Arial" w:eastAsia="Arial" w:hAnsi="Arial"/>
          <w:sz w:val="16"/>
          <w:szCs w:val="16"/>
          <w:color w:val="auto"/>
        </w:rPr>
      </w:pPr>
      <w:r>
        <w:rPr>
          <w:rFonts w:ascii="Arial" w:cs="Arial" w:eastAsia="Arial" w:hAnsi="Arial"/>
          <w:sz w:val="16"/>
          <w:szCs w:val="16"/>
          <w:b w:val="1"/>
          <w:bCs w:val="1"/>
          <w:color w:val="auto"/>
        </w:rPr>
        <w:t>Work for Hire</w:t>
      </w:r>
      <w:r>
        <w:rPr>
          <w:rFonts w:ascii="Arial" w:cs="Arial" w:eastAsia="Arial" w:hAnsi="Arial"/>
          <w:sz w:val="16"/>
          <w:szCs w:val="16"/>
          <w:color w:val="auto"/>
        </w:rPr>
        <w:t>. I acknowledge and agree that any copyrightable works prepared by me within the scope of my employment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“works for hire” under the Copyright Act and that the Company will be considered the author and owner of such copyrightable works.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584" w:name="page585"/>
    <w:bookmarkEnd w:id="584"/>
    <w:p>
      <w:pPr>
        <w:ind w:firstLine="885"/>
        <w:spacing w:after="0" w:line="272" w:lineRule="auto"/>
        <w:tabs>
          <w:tab w:leader="none" w:pos="1271" w:val="left"/>
        </w:tabs>
        <w:numPr>
          <w:ilvl w:val="0"/>
          <w:numId w:val="42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rFonts w:ascii="Arial" w:cs="Arial" w:eastAsia="Arial" w:hAnsi="Arial"/>
          <w:sz w:val="17"/>
          <w:szCs w:val="17"/>
          <w:color w:val="auto"/>
        </w:rPr>
      </w:pPr>
    </w:p>
    <w:p>
      <w:pPr>
        <w:ind w:right="20" w:firstLine="885"/>
        <w:spacing w:after="0" w:line="272" w:lineRule="auto"/>
        <w:tabs>
          <w:tab w:leader="none" w:pos="1231" w:val="left"/>
        </w:tabs>
        <w:numPr>
          <w:ilvl w:val="0"/>
          <w:numId w:val="429"/>
        </w:numPr>
        <w:rPr>
          <w:rFonts w:ascii="Arial" w:cs="Arial" w:eastAsia="Arial" w:hAnsi="Arial"/>
          <w:sz w:val="17"/>
          <w:szCs w:val="17"/>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desirable 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rFonts w:ascii="Arial" w:cs="Arial" w:eastAsia="Arial" w:hAnsi="Arial"/>
          <w:sz w:val="17"/>
          <w:szCs w:val="17"/>
          <w:color w:val="auto"/>
        </w:rPr>
      </w:pPr>
    </w:p>
    <w:p>
      <w:pPr>
        <w:ind w:firstLine="885"/>
        <w:spacing w:after="0" w:line="266" w:lineRule="auto"/>
        <w:tabs>
          <w:tab w:leader="none" w:pos="1231" w:val="left"/>
        </w:tabs>
        <w:numPr>
          <w:ilvl w:val="0"/>
          <w:numId w:val="429"/>
        </w:numPr>
        <w:rPr>
          <w:rFonts w:ascii="Arial" w:cs="Arial" w:eastAsia="Arial" w:hAnsi="Arial"/>
          <w:sz w:val="18"/>
          <w:szCs w:val="18"/>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rFonts w:ascii="Arial" w:cs="Arial" w:eastAsia="Arial" w:hAnsi="Arial"/>
          <w:sz w:val="18"/>
          <w:szCs w:val="18"/>
          <w:color w:val="auto"/>
        </w:rPr>
      </w:pPr>
    </w:p>
    <w:p>
      <w:pPr>
        <w:ind w:firstLine="885"/>
        <w:spacing w:after="0" w:line="255" w:lineRule="auto"/>
        <w:tabs>
          <w:tab w:leader="none" w:pos="1271" w:val="left"/>
        </w:tabs>
        <w:numPr>
          <w:ilvl w:val="0"/>
          <w:numId w:val="429"/>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rFonts w:ascii="Arial" w:cs="Arial" w:eastAsia="Arial" w:hAnsi="Arial"/>
          <w:sz w:val="18"/>
          <w:szCs w:val="18"/>
          <w:color w:val="auto"/>
        </w:rPr>
      </w:pPr>
    </w:p>
    <w:p>
      <w:pPr>
        <w:ind w:right="100" w:firstLine="885"/>
        <w:spacing w:after="0" w:line="256" w:lineRule="auto"/>
        <w:tabs>
          <w:tab w:leader="none" w:pos="1231" w:val="left"/>
        </w:tabs>
        <w:numPr>
          <w:ilvl w:val="0"/>
          <w:numId w:val="429"/>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or 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69" w:right="439" w:bottom="1440" w:gutter="0" w:footer="0" w:header="0"/>
        </w:sectPr>
      </w:pPr>
    </w:p>
    <w:bookmarkStart w:id="585" w:name="page586"/>
    <w:bookmarkEnd w:id="585"/>
    <w:p>
      <w:pPr>
        <w:ind w:left="-60" w:firstLine="885"/>
        <w:spacing w:after="0" w:line="261" w:lineRule="auto"/>
        <w:tabs>
          <w:tab w:leader="none" w:pos="1261" w:val="left"/>
        </w:tabs>
        <w:numPr>
          <w:ilvl w:val="1"/>
          <w:numId w:val="4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Conflicting Obligations. </w:t>
      </w:r>
      <w:r>
        <w:rPr>
          <w:rFonts w:ascii="Arial" w:cs="Arial" w:eastAsia="Arial" w:hAnsi="Arial"/>
          <w:sz w:val="18"/>
          <w:szCs w:val="18"/>
          <w:color w:val="auto"/>
        </w:rPr>
        <w:t>I represent that my performance of all the terms of this Agreement will not breach any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keep in confidence proprietary information acquired by me in confidence or in trust prior to my employment with the Company. I have not entered into, and I agree I will not enter into, any agreement either written or oral in conflict with this Agreement or in conflict with my employment with the Company.</w:t>
      </w:r>
    </w:p>
    <w:p>
      <w:pPr>
        <w:spacing w:after="0" w:line="180" w:lineRule="exact"/>
        <w:rPr>
          <w:rFonts w:ascii="Arial" w:cs="Arial" w:eastAsia="Arial" w:hAnsi="Arial"/>
          <w:sz w:val="18"/>
          <w:szCs w:val="18"/>
          <w:color w:val="auto"/>
        </w:rPr>
      </w:pPr>
    </w:p>
    <w:p>
      <w:pPr>
        <w:ind w:left="-60" w:firstLine="885"/>
        <w:spacing w:after="0" w:line="255" w:lineRule="auto"/>
        <w:tabs>
          <w:tab w:leader="none" w:pos="1211" w:val="left"/>
        </w:tabs>
        <w:numPr>
          <w:ilvl w:val="1"/>
          <w:numId w:val="430"/>
        </w:numPr>
        <w:rPr>
          <w:rFonts w:ascii="Arial" w:cs="Arial" w:eastAsia="Arial" w:hAnsi="Arial"/>
          <w:sz w:val="18"/>
          <w:szCs w:val="18"/>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rFonts w:ascii="Arial" w:cs="Arial" w:eastAsia="Arial" w:hAnsi="Arial"/>
          <w:sz w:val="18"/>
          <w:szCs w:val="18"/>
          <w:color w:val="auto"/>
        </w:rPr>
      </w:pPr>
    </w:p>
    <w:p>
      <w:pPr>
        <w:ind w:left="-60" w:right="160" w:firstLine="885"/>
        <w:spacing w:after="0" w:line="282" w:lineRule="auto"/>
        <w:tabs>
          <w:tab w:leader="none" w:pos="1211" w:val="left"/>
        </w:tabs>
        <w:numPr>
          <w:ilvl w:val="1"/>
          <w:numId w:val="430"/>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161" w:lineRule="exact"/>
        <w:rPr>
          <w:rFonts w:ascii="Arial" w:cs="Arial" w:eastAsia="Arial" w:hAnsi="Arial"/>
          <w:sz w:val="18"/>
          <w:szCs w:val="18"/>
          <w:color w:val="auto"/>
        </w:rPr>
      </w:pPr>
    </w:p>
    <w:p>
      <w:pPr>
        <w:ind w:left="700" w:hanging="316"/>
        <w:spacing w:after="0"/>
        <w:tabs>
          <w:tab w:leader="none" w:pos="700"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0" w:firstLine="885"/>
        <w:spacing w:after="0" w:line="266" w:lineRule="auto"/>
        <w:tabs>
          <w:tab w:leader="none" w:pos="1201" w:val="left"/>
        </w:tabs>
        <w:numPr>
          <w:ilvl w:val="1"/>
          <w:numId w:val="431"/>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ind w:left="-60" w:firstLine="885"/>
        <w:spacing w:after="0" w:line="281" w:lineRule="auto"/>
        <w:tabs>
          <w:tab w:leader="none" w:pos="1211" w:val="left"/>
        </w:tabs>
        <w:numPr>
          <w:ilvl w:val="1"/>
          <w:numId w:val="431"/>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4" w:lineRule="exact"/>
        <w:rPr>
          <w:rFonts w:ascii="Arial" w:cs="Arial" w:eastAsia="Arial" w:hAnsi="Arial"/>
          <w:sz w:val="17"/>
          <w:szCs w:val="17"/>
          <w:color w:val="auto"/>
        </w:rPr>
      </w:pPr>
    </w:p>
    <w:p>
      <w:pPr>
        <w:ind w:left="-60" w:right="20" w:firstLine="885"/>
        <w:spacing w:after="0" w:line="282" w:lineRule="auto"/>
        <w:tabs>
          <w:tab w:leader="none" w:pos="1201" w:val="left"/>
        </w:tabs>
        <w:numPr>
          <w:ilvl w:val="1"/>
          <w:numId w:val="431"/>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any successor in interest or other assignee.</w:t>
      </w:r>
    </w:p>
    <w:p>
      <w:pPr>
        <w:spacing w:after="0" w:line="161" w:lineRule="exact"/>
        <w:rPr>
          <w:rFonts w:ascii="Arial" w:cs="Arial" w:eastAsia="Arial" w:hAnsi="Arial"/>
          <w:sz w:val="18"/>
          <w:szCs w:val="18"/>
          <w:color w:val="auto"/>
        </w:rPr>
      </w:pPr>
    </w:p>
    <w:p>
      <w:pPr>
        <w:ind w:left="-60" w:right="160" w:firstLine="885"/>
        <w:spacing w:after="0" w:line="261" w:lineRule="auto"/>
        <w:tabs>
          <w:tab w:leader="none" w:pos="1211" w:val="left"/>
        </w:tabs>
        <w:numPr>
          <w:ilvl w:val="1"/>
          <w:numId w:val="431"/>
        </w:numPr>
        <w:rPr>
          <w:rFonts w:ascii="Arial" w:cs="Arial" w:eastAsia="Arial" w:hAnsi="Arial"/>
          <w:sz w:val="18"/>
          <w:szCs w:val="18"/>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rFonts w:ascii="Arial" w:cs="Arial" w:eastAsia="Arial" w:hAnsi="Arial"/>
          <w:sz w:val="18"/>
          <w:szCs w:val="18"/>
          <w:color w:val="auto"/>
        </w:rPr>
      </w:pPr>
    </w:p>
    <w:p>
      <w:pPr>
        <w:jc w:val="both"/>
        <w:ind w:left="-60" w:right="80" w:firstLine="885"/>
        <w:spacing w:after="0" w:line="266" w:lineRule="auto"/>
        <w:tabs>
          <w:tab w:leader="none" w:pos="1201" w:val="left"/>
        </w:tabs>
        <w:numPr>
          <w:ilvl w:val="1"/>
          <w:numId w:val="431"/>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rFonts w:ascii="Arial" w:cs="Arial" w:eastAsia="Arial" w:hAnsi="Arial"/>
          <w:sz w:val="18"/>
          <w:szCs w:val="18"/>
          <w:color w:val="auto"/>
        </w:rPr>
      </w:pPr>
    </w:p>
    <w:p>
      <w:pPr>
        <w:ind w:left="-60" w:right="420" w:firstLine="885"/>
        <w:spacing w:after="0" w:line="282" w:lineRule="auto"/>
        <w:tabs>
          <w:tab w:leader="none" w:pos="1181" w:val="left"/>
        </w:tabs>
        <w:numPr>
          <w:ilvl w:val="1"/>
          <w:numId w:val="431"/>
        </w:numPr>
        <w:rPr>
          <w:rFonts w:ascii="Arial" w:cs="Arial" w:eastAsia="Arial" w:hAnsi="Arial"/>
          <w:sz w:val="18"/>
          <w:szCs w:val="18"/>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for convenience only and do not constitute any part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500" w:top="270" w:right="499" w:bottom="1440" w:gutter="0" w:footer="0" w:header="0"/>
        </w:sectPr>
      </w:pPr>
    </w:p>
    <w:bookmarkStart w:id="586" w:name="page587"/>
    <w:bookmarkEnd w:id="586"/>
    <w:p>
      <w:pPr>
        <w:jc w:val="both"/>
        <w:ind w:left="-100" w:right="60" w:firstLine="885"/>
        <w:spacing w:after="0" w:line="261" w:lineRule="auto"/>
        <w:tabs>
          <w:tab w:leader="none" w:pos="1171"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 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80" w:lineRule="exact"/>
        <w:rPr>
          <w:rFonts w:ascii="Arial" w:cs="Arial" w:eastAsia="Arial" w:hAnsi="Arial"/>
          <w:sz w:val="18"/>
          <w:szCs w:val="18"/>
          <w:color w:val="auto"/>
        </w:rPr>
      </w:pPr>
    </w:p>
    <w:p>
      <w:pPr>
        <w:ind w:left="-100" w:firstLine="885"/>
        <w:spacing w:after="0" w:line="261" w:lineRule="auto"/>
        <w:tabs>
          <w:tab w:leader="none" w:pos="1171"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rFonts w:ascii="Arial" w:cs="Arial" w:eastAsia="Arial" w:hAnsi="Arial"/>
          <w:sz w:val="18"/>
          <w:szCs w:val="18"/>
          <w:color w:val="auto"/>
        </w:rPr>
      </w:pPr>
    </w:p>
    <w:p>
      <w:pPr>
        <w:ind w:left="-100" w:right="60" w:firstLine="885"/>
        <w:spacing w:after="0" w:line="282" w:lineRule="auto"/>
        <w:tabs>
          <w:tab w:leader="none" w:pos="1131"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540" w:top="270" w:right="5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1/19/18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Christian Waage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Howe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Jill Howe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VP, Finance</w:t>
            </w:r>
          </w:p>
        </w:tc>
      </w:tr>
    </w:tbl>
    <w:p>
      <w:pPr>
        <w:spacing w:after="0" w:line="202"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P</w:t>
      </w:r>
      <w:r>
        <w:rPr>
          <w:rFonts w:ascii="Arial" w:cs="Arial" w:eastAsia="Arial" w:hAnsi="Arial"/>
          <w:sz w:val="14"/>
          <w:szCs w:val="14"/>
          <w:color w:val="auto"/>
        </w:rPr>
        <w:t>ROPRIETARY</w:t>
      </w:r>
      <w:r>
        <w:rPr>
          <w:rFonts w:ascii="Arial" w:cs="Arial" w:eastAsia="Arial" w:hAnsi="Arial"/>
          <w:sz w:val="17"/>
          <w:szCs w:val="17"/>
          <w:color w:val="auto"/>
        </w:rPr>
        <w:t xml:space="preserve"> I</w:t>
      </w:r>
      <w:r>
        <w:rPr>
          <w:rFonts w:ascii="Arial" w:cs="Arial" w:eastAsia="Arial" w:hAnsi="Arial"/>
          <w:sz w:val="14"/>
          <w:szCs w:val="14"/>
          <w:color w:val="auto"/>
        </w:rPr>
        <w:t>NFORMATION AND</w:t>
      </w:r>
      <w:r>
        <w:rPr>
          <w:rFonts w:ascii="Arial" w:cs="Arial" w:eastAsia="Arial" w:hAnsi="Arial"/>
          <w:sz w:val="17"/>
          <w:szCs w:val="17"/>
          <w:color w:val="auto"/>
        </w:rPr>
        <w:t xml:space="preserve"> I</w:t>
      </w:r>
      <w:r>
        <w:rPr>
          <w:rFonts w:ascii="Arial" w:cs="Arial" w:eastAsia="Arial" w:hAnsi="Arial"/>
          <w:sz w:val="14"/>
          <w:szCs w:val="14"/>
          <w:color w:val="auto"/>
        </w:rPr>
        <w:t>NVENTIONS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3" w:right="1440" w:bottom="1440" w:gutter="0" w:footer="0" w:header="0"/>
        </w:sectPr>
      </w:pPr>
    </w:p>
    <w:bookmarkStart w:id="588" w:name="page589"/>
    <w:bookmarkEnd w:id="588"/>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ind w:left="-4" w:right="200" w:firstLine="444"/>
        <w:spacing w:after="0" w:line="286" w:lineRule="auto"/>
        <w:tabs>
          <w:tab w:leader="none" w:pos="807" w:val="left"/>
        </w:tabs>
        <w:numPr>
          <w:ilvl w:val="1"/>
          <w:numId w:val="433"/>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4" w:val="left"/>
        </w:tabs>
        <w:numPr>
          <w:ilvl w:val="1"/>
          <w:numId w:val="434"/>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96"/>
          </w:cols>
          <w:pgMar w:left="444" w:top="269" w:right="459" w:bottom="1440" w:gutter="0" w:footer="0" w:header="0"/>
        </w:sectPr>
      </w:pPr>
    </w:p>
    <w:bookmarkStart w:id="589" w:name="page590"/>
    <w:bookmarkEnd w:id="589"/>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4"/>
        <w:spacing w:after="0" w:line="258" w:lineRule="auto"/>
        <w:tabs>
          <w:tab w:leader="none" w:pos="752" w:val="left"/>
        </w:tabs>
        <w:numPr>
          <w:ilvl w:val="1"/>
          <w:numId w:val="435"/>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214" w:lineRule="exact"/>
        <w:rPr>
          <w:rFonts w:ascii="Arial" w:cs="Arial" w:eastAsia="Arial" w:hAnsi="Arial"/>
          <w:sz w:val="18"/>
          <w:szCs w:val="18"/>
          <w:b w:val="1"/>
          <w:bCs w:val="1"/>
          <w:color w:val="auto"/>
        </w:rPr>
      </w:pPr>
    </w:p>
    <w:p>
      <w:pPr>
        <w:ind w:left="440" w:hanging="436"/>
        <w:spacing w:after="0"/>
        <w:tabs>
          <w:tab w:leader="none" w:pos="440" w:val="left"/>
        </w:tabs>
        <w:numPr>
          <w:ilvl w:val="0"/>
          <w:numId w:val="435"/>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52" w:lineRule="exact"/>
        <w:rPr>
          <w:rFonts w:ascii="MS PGothic" w:cs="MS PGothic" w:eastAsia="MS PGothic" w:hAnsi="MS PGothic"/>
          <w:sz w:val="18"/>
          <w:szCs w:val="18"/>
          <w:color w:val="auto"/>
        </w:rPr>
      </w:pPr>
    </w:p>
    <w:p>
      <w:pPr>
        <w:ind w:left="440" w:hanging="436"/>
        <w:spacing w:after="0"/>
        <w:tabs>
          <w:tab w:leader="none" w:pos="440" w:val="left"/>
        </w:tabs>
        <w:numPr>
          <w:ilvl w:val="0"/>
          <w:numId w:val="435"/>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44" w:lineRule="exact"/>
        <w:rPr>
          <w:sz w:val="20"/>
          <w:szCs w:val="20"/>
          <w:color w:val="auto"/>
        </w:rPr>
      </w:pPr>
    </w:p>
    <w:p>
      <w:pPr>
        <w:ind w:left="1320"/>
        <w:spacing w:after="0"/>
        <w:tabs>
          <w:tab w:leader="none" w:pos="7340" w:val="left"/>
          <w:tab w:leader="none" w:pos="8840" w:val="left"/>
        </w:tabs>
        <w:rPr>
          <w:sz w:val="20"/>
          <w:szCs w:val="20"/>
          <w:color w:val="auto"/>
        </w:rPr>
      </w:pPr>
      <w:r>
        <w:rPr>
          <w:rFonts w:ascii="Arial" w:cs="Arial" w:eastAsia="Arial" w:hAnsi="Arial"/>
          <w:sz w:val="14"/>
          <w:szCs w:val="14"/>
          <w:b w:val="1"/>
          <w:bCs w:val="1"/>
          <w:u w:val="single" w:color="auto"/>
          <w:color w:val="auto"/>
        </w:rPr>
        <w:t>Invention Description</w:t>
      </w:r>
      <w:r>
        <w:rPr>
          <w:sz w:val="20"/>
          <w:szCs w:val="20"/>
          <w:color w:val="auto"/>
        </w:rPr>
        <w:tab/>
      </w:r>
      <w:r>
        <w:rPr>
          <w:rFonts w:ascii="Arial" w:cs="Arial" w:eastAsia="Arial" w:hAnsi="Arial"/>
          <w:sz w:val="14"/>
          <w:szCs w:val="14"/>
          <w:b w:val="1"/>
          <w:bCs w:val="1"/>
          <w:u w:val="single" w:color="auto"/>
          <w:color w:val="auto"/>
        </w:rPr>
        <w:t>Patent No.</w:t>
      </w:r>
      <w:r>
        <w:rPr>
          <w:sz w:val="20"/>
          <w:szCs w:val="20"/>
          <w:color w:val="auto"/>
        </w:rPr>
        <w:tab/>
      </w:r>
      <w:r>
        <w:rPr>
          <w:rFonts w:ascii="Arial" w:cs="Arial" w:eastAsia="Arial" w:hAnsi="Arial"/>
          <w:sz w:val="12"/>
          <w:szCs w:val="12"/>
          <w:b w:val="1"/>
          <w:bCs w:val="1"/>
          <w:u w:val="single" w:color="auto"/>
          <w:color w:val="auto"/>
        </w:rPr>
        <w:t>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hanging="436"/>
        <w:spacing w:after="0"/>
        <w:tabs>
          <w:tab w:leader="none" w:pos="440" w:val="left"/>
        </w:tabs>
        <w:numPr>
          <w:ilvl w:val="0"/>
          <w:numId w:val="436"/>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right="460" w:firstLine="444"/>
        <w:spacing w:after="0" w:line="277" w:lineRule="auto"/>
        <w:tabs>
          <w:tab w:leader="none" w:pos="756" w:val="left"/>
        </w:tabs>
        <w:numPr>
          <w:ilvl w:val="1"/>
          <w:numId w:val="436"/>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6997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537845</wp:posOffset>
            </wp:positionV>
            <wp:extent cx="6997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734695</wp:posOffset>
            </wp:positionV>
            <wp:extent cx="6997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436"/>
        <w:spacing w:after="0"/>
        <w:tabs>
          <w:tab w:leader="none" w:pos="440" w:val="left"/>
        </w:tabs>
        <w:numPr>
          <w:ilvl w:val="0"/>
          <w:numId w:val="437"/>
        </w:numPr>
        <w:rPr>
          <w:rFonts w:ascii="MS PGothic" w:cs="MS PGothic" w:eastAsia="MS PGothic" w:hAnsi="MS PGothic"/>
          <w:sz w:val="18"/>
          <w:szCs w:val="18"/>
          <w:color w:val="auto"/>
        </w:rPr>
      </w:pPr>
      <w:r>
        <w:rPr>
          <w:rFonts w:ascii="Arial" w:cs="Arial" w:eastAsia="Arial" w:hAnsi="Arial"/>
          <w:sz w:val="18"/>
          <w:szCs w:val="18"/>
          <w:color w:val="auto"/>
        </w:rPr>
        <w:t>No materials or documents.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40" w:top="270" w:right="6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Jakob Dupont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Gossamer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Jakob:</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continuing employment with Gossamer Bio, Inc. (“</w:t>
      </w:r>
      <w:r>
        <w:rPr>
          <w:rFonts w:ascii="Arial" w:cs="Arial" w:eastAsia="Arial" w:hAnsi="Arial"/>
          <w:sz w:val="18"/>
          <w:szCs w:val="18"/>
          <w:u w:val="single" w:color="auto"/>
          <w:color w:val="auto"/>
        </w:rPr>
        <w:t>Parent</w:t>
      </w:r>
      <w:r>
        <w:rPr>
          <w:rFonts w:ascii="Arial" w:cs="Arial" w:eastAsia="Arial" w:hAnsi="Arial"/>
          <w:sz w:val="18"/>
          <w:szCs w:val="18"/>
          <w:color w:val="auto"/>
        </w:rPr>
        <w:t>”) and, effective January 1, 2019, with Gossamer Bio Services, Inc., a wholly-owned subsidiary of Parent (“</w:t>
      </w:r>
      <w:r>
        <w:rPr>
          <w:rFonts w:ascii="Arial" w:cs="Arial" w:eastAsia="Arial" w:hAnsi="Arial"/>
          <w:sz w:val="18"/>
          <w:szCs w:val="18"/>
          <w:u w:val="single" w:color="auto"/>
          <w:color w:val="auto"/>
        </w:rPr>
        <w:t>Gossamer Services</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Company</w:t>
      </w:r>
      <w:r>
        <w:rPr>
          <w:rFonts w:ascii="Arial" w:cs="Arial" w:eastAsia="Arial" w:hAnsi="Arial"/>
          <w:sz w:val="18"/>
          <w:szCs w:val="18"/>
          <w:color w:val="auto"/>
        </w:rPr>
        <w:t>”). This Agreement is effective as of December 14,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0"/>
          <w:szCs w:val="20"/>
          <w:color w:val="auto"/>
        </w:rPr>
      </w:pPr>
    </w:p>
    <w:p>
      <w:pPr>
        <w:ind w:left="760" w:hanging="316"/>
        <w:spacing w:after="0"/>
        <w:tabs>
          <w:tab w:leader="none" w:pos="76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Title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76" w:lineRule="auto"/>
        <w:tabs>
          <w:tab w:leader="none" w:pos="1261"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You will be employed by the Company, on a full-time basis, as its Chief Medical Officer and to serve as an officer with that same position of Parent, working out of the Company’s headquarters located in San Diego, California. You shall have all the duties, responsibilities and authority commensurate with these positions, subject to the supervision of, and reporting directly to, the Chief Executive Officer of the Company (the “</w:t>
      </w:r>
      <w:r>
        <w:rPr>
          <w:rFonts w:ascii="Arial" w:cs="Arial" w:eastAsia="Arial" w:hAnsi="Arial"/>
          <w:sz w:val="17"/>
          <w:szCs w:val="17"/>
          <w:u w:val="single" w:color="auto"/>
          <w:color w:val="auto"/>
        </w:rPr>
        <w:t>Supervising Officer</w:t>
      </w:r>
      <w:r>
        <w:rPr>
          <w:rFonts w:ascii="Arial" w:cs="Arial" w:eastAsia="Arial" w:hAnsi="Arial"/>
          <w:sz w:val="17"/>
          <w:szCs w:val="17"/>
          <w:color w:val="auto"/>
        </w:rPr>
        <w:t>”). For the avoidance of doubt, all references in this Agreement to your “employment with the Company” shall include your employment with the Company and any of its affiliates and subsidiaries, as applicable.</w:t>
      </w:r>
    </w:p>
    <w:p>
      <w:pPr>
        <w:spacing w:after="0" w:line="172" w:lineRule="exact"/>
        <w:rPr>
          <w:rFonts w:ascii="Arial" w:cs="Arial" w:eastAsia="Arial" w:hAnsi="Arial"/>
          <w:sz w:val="17"/>
          <w:szCs w:val="17"/>
          <w:color w:val="auto"/>
        </w:rPr>
      </w:pPr>
    </w:p>
    <w:p>
      <w:pPr>
        <w:ind w:right="20" w:firstLine="885"/>
        <w:spacing w:after="0" w:line="270" w:lineRule="auto"/>
        <w:tabs>
          <w:tab w:leader="none" w:pos="1271"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Time Commitment; Outside Activities</w:t>
      </w:r>
      <w:r>
        <w:rPr>
          <w:rFonts w:ascii="Arial" w:cs="Arial" w:eastAsia="Arial" w:hAnsi="Arial"/>
          <w:sz w:val="17"/>
          <w:szCs w:val="17"/>
          <w:color w:val="auto"/>
        </w:rPr>
        <w:t xml:space="preserve">. You agree to perform the duties and responsibilities of your positions, and such other duties and responsibilities as shall from time to time be mutually agreed upon between you and the Supervising Officer. You agree that, while employed by the Company, you will devote substantially all of your 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it is agreed that you may participate in outside charitable, civic, educational, professional, community or industry activities to the extent such activities do not individually or in the aggregate interfere with your duties and responsibilities to the Company or create an actual or potential conflict of interest with the Company’s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your service on any outside boards (whether for profit or non-profit) shall require the prior consent of the Supervising Officer. You agree to abide by the rules, regulations, instructions, personnel practices and policies of the Company, as adopted and amended from time to time by the Company.</w:t>
      </w:r>
    </w:p>
    <w:p>
      <w:pPr>
        <w:spacing w:after="0" w:line="181" w:lineRule="exact"/>
        <w:rPr>
          <w:rFonts w:ascii="Arial" w:cs="Arial" w:eastAsia="Arial" w:hAnsi="Arial"/>
          <w:sz w:val="17"/>
          <w:szCs w:val="17"/>
          <w:color w:val="auto"/>
        </w:rPr>
      </w:pPr>
    </w:p>
    <w:p>
      <w:pPr>
        <w:ind w:right="420" w:firstLine="885"/>
        <w:spacing w:after="0" w:line="264" w:lineRule="auto"/>
        <w:tabs>
          <w:tab w:leader="none" w:pos="1261" w:val="left"/>
        </w:tabs>
        <w:numPr>
          <w:ilvl w:val="1"/>
          <w:numId w:val="438"/>
        </w:numPr>
        <w:rPr>
          <w:rFonts w:ascii="Arial" w:cs="Arial" w:eastAsia="Arial" w:hAnsi="Arial"/>
          <w:sz w:val="18"/>
          <w:szCs w:val="18"/>
          <w:color w:val="auto"/>
        </w:rPr>
      </w:pPr>
      <w:r>
        <w:rPr>
          <w:rFonts w:ascii="Arial" w:cs="Arial" w:eastAsia="Arial" w:hAnsi="Arial"/>
          <w:sz w:val="18"/>
          <w:szCs w:val="18"/>
          <w:u w:val="single" w:color="auto"/>
          <w:color w:val="auto"/>
        </w:rPr>
        <w:t>Transfer of Employment to Gossamer Services</w:t>
      </w:r>
      <w:r>
        <w:rPr>
          <w:rFonts w:ascii="Arial" w:cs="Arial" w:eastAsia="Arial" w:hAnsi="Arial"/>
          <w:sz w:val="18"/>
          <w:szCs w:val="18"/>
          <w:color w:val="auto"/>
        </w:rPr>
        <w:t>. Effective January 1, 2019, the Company will undertake an internal reorganization pursuant to which the employment of all employees will be transferred from Parent to Gossamer Services. As a result, effective January 1, 2019, Gossamer Services will be your employer of record. There will be no break in service as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91" w:name="page592"/>
    <w:bookmarkEnd w:id="59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this transfer of employment. You will continue to work in your same position, with the same terms and conditions of employment, and with the same Supervising Officer, as is currently in effect. In addition, you will continue to participate in substantially the same employee benefit plans that you participated in prior to the transfer, with no immediate changes in benefits or coverage (unless you elect any such changes during open enrollment for 2019). Subject to your elections, all applicable benefits withholdings and elections will continue following the transfer of your employment. Except as described in Section 2(e) below, all other terms and conditions related to your employment will be assigned to Gossamer Services and will remain in full force and effect after the transfer of your employment.</w:t>
      </w:r>
    </w:p>
    <w:p>
      <w:pPr>
        <w:spacing w:after="0" w:line="193" w:lineRule="exact"/>
        <w:rPr>
          <w:sz w:val="20"/>
          <w:szCs w:val="20"/>
          <w:color w:val="auto"/>
        </w:rPr>
      </w:pPr>
    </w:p>
    <w:p>
      <w:pPr>
        <w:ind w:left="760" w:hanging="316"/>
        <w:spacing w:after="0"/>
        <w:tabs>
          <w:tab w:leader="none" w:pos="76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885"/>
        <w:spacing w:after="0" w:line="264" w:lineRule="auto"/>
        <w:tabs>
          <w:tab w:leader="none" w:pos="1261"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receive an annual base salary of $440,000, payable in accordance with the normal payroll practices of the Company in effect from time to time. Your performance will be reviewed by the Compensation Committee of the Board of Directors of Parent (the “</w:t>
      </w:r>
      <w:r>
        <w:rPr>
          <w:rFonts w:ascii="Arial" w:cs="Arial" w:eastAsia="Arial" w:hAnsi="Arial"/>
          <w:sz w:val="18"/>
          <w:szCs w:val="18"/>
          <w:u w:val="single" w:color="auto"/>
          <w:color w:val="auto"/>
        </w:rPr>
        <w:t>Board</w:t>
      </w:r>
      <w:r>
        <w:rPr>
          <w:rFonts w:ascii="Arial" w:cs="Arial" w:eastAsia="Arial" w:hAnsi="Arial"/>
          <w:sz w:val="18"/>
          <w:szCs w:val="18"/>
          <w:color w:val="auto"/>
        </w:rPr>
        <w:t>”) or the Supervising Officer on an annual basis in conjunction with an annual salary review.</w:t>
      </w:r>
    </w:p>
    <w:p>
      <w:pPr>
        <w:spacing w:after="0" w:line="181" w:lineRule="exact"/>
        <w:rPr>
          <w:rFonts w:ascii="Arial" w:cs="Arial" w:eastAsia="Arial" w:hAnsi="Arial"/>
          <w:sz w:val="18"/>
          <w:szCs w:val="18"/>
          <w:color w:val="auto"/>
        </w:rPr>
      </w:pPr>
    </w:p>
    <w:p>
      <w:pPr>
        <w:ind w:right="400" w:firstLine="885"/>
        <w:spacing w:after="0" w:line="297" w:lineRule="auto"/>
        <w:tabs>
          <w:tab w:leader="none" w:pos="1271"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Commencing with calendar year 2019, you will be eligible to receive an annual cash incentive bonus with a target amount equal to 40% of your then-current annual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Your bonus in respect of 2019, and any future bonuses, will be subject to the terms of the applicable bonus plan developed and approved by the Board or the Compensation Committee of the Board. Any bonus awarded will be paid on or before March 15 of the calendar year immediately following the year for which the bonus was awarded, subject to your employment at the end of the calendar year for which the bonus is due, except as otherwise expressly provided for herein.</w:t>
      </w:r>
    </w:p>
    <w:p>
      <w:pPr>
        <w:spacing w:after="0" w:line="158" w:lineRule="exact"/>
        <w:rPr>
          <w:rFonts w:ascii="Arial" w:cs="Arial" w:eastAsia="Arial" w:hAnsi="Arial"/>
          <w:sz w:val="16"/>
          <w:szCs w:val="16"/>
          <w:color w:val="auto"/>
        </w:rPr>
      </w:pPr>
    </w:p>
    <w:p>
      <w:pPr>
        <w:jc w:val="both"/>
        <w:ind w:right="300" w:firstLine="885"/>
        <w:spacing w:after="0" w:line="264" w:lineRule="auto"/>
        <w:tabs>
          <w:tab w:leader="none" w:pos="1261"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w:t>
      </w:r>
    </w:p>
    <w:p>
      <w:pPr>
        <w:spacing w:after="0" w:line="181" w:lineRule="exact"/>
        <w:rPr>
          <w:rFonts w:ascii="Arial" w:cs="Arial" w:eastAsia="Arial" w:hAnsi="Arial"/>
          <w:sz w:val="18"/>
          <w:szCs w:val="18"/>
          <w:color w:val="auto"/>
        </w:rPr>
      </w:pPr>
    </w:p>
    <w:p>
      <w:pPr>
        <w:ind w:right="100" w:firstLine="885"/>
        <w:spacing w:after="0" w:line="308" w:lineRule="auto"/>
        <w:tabs>
          <w:tab w:leader="none" w:pos="1271" w:val="left"/>
        </w:tabs>
        <w:numPr>
          <w:ilvl w:val="1"/>
          <w:numId w:val="439"/>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 The Company will reimburse you for all reasonable business expenses incurred by you in the performance of your duties, subject to the Company’s expense reimbursement policies applicable to senior executives in effect from time to time.</w:t>
      </w:r>
    </w:p>
    <w:p>
      <w:pPr>
        <w:spacing w:after="0" w:line="146" w:lineRule="exact"/>
        <w:rPr>
          <w:rFonts w:ascii="Arial" w:cs="Arial" w:eastAsia="Arial" w:hAnsi="Arial"/>
          <w:sz w:val="17"/>
          <w:szCs w:val="17"/>
          <w:color w:val="auto"/>
        </w:rPr>
      </w:pPr>
    </w:p>
    <w:p>
      <w:pPr>
        <w:ind w:right="100" w:firstLine="885"/>
        <w:spacing w:after="0" w:line="254" w:lineRule="auto"/>
        <w:tabs>
          <w:tab w:leader="none" w:pos="1261"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You will be entitled to paid time off in accordance with the policies of the Company. In connection with your transfer of employment to Gossamer Services effective January 1, 2019, you may be entitled to receive payment of any accrued, unused paid time off that you have accrued with Parent. However, if you receive a payout of all accrued, unused paid time off, please understand you will have no paid time off available to you immediately after the transfer of your employment. In order to avoid this result, Parent and Gossamer Services have arranged to rollover your accrued, unused paid time off to Gossamer Services. If you do not want to rollover your accrued, unused paid time off to the Company, please check the “</w:t>
      </w:r>
      <w:r>
        <w:rPr>
          <w:rFonts w:ascii="Arial" w:cs="Arial" w:eastAsia="Arial" w:hAnsi="Arial"/>
          <w:sz w:val="18"/>
          <w:szCs w:val="18"/>
          <w:i w:val="1"/>
          <w:iCs w:val="1"/>
          <w:color w:val="auto"/>
        </w:rPr>
        <w:t>No Rollover</w:t>
      </w:r>
      <w:r>
        <w:rPr>
          <w:rFonts w:ascii="Arial" w:cs="Arial" w:eastAsia="Arial" w:hAnsi="Arial"/>
          <w:sz w:val="18"/>
          <w:szCs w:val="18"/>
          <w:color w:val="auto"/>
        </w:rPr>
        <w:t>” box below the signature line below. If you do want to rollover your accrued, unused paid time off, and have it available for use with the Company, please check the “</w:t>
      </w:r>
      <w:r>
        <w:rPr>
          <w:rFonts w:ascii="Arial" w:cs="Arial" w:eastAsia="Arial" w:hAnsi="Arial"/>
          <w:sz w:val="18"/>
          <w:szCs w:val="18"/>
          <w:i w:val="1"/>
          <w:iCs w:val="1"/>
          <w:color w:val="auto"/>
        </w:rPr>
        <w:t>Rollover PTO</w:t>
      </w:r>
      <w:r>
        <w:rPr>
          <w:rFonts w:ascii="Arial" w:cs="Arial" w:eastAsia="Arial" w:hAnsi="Arial"/>
          <w:sz w:val="18"/>
          <w:szCs w:val="18"/>
          <w:color w:val="auto"/>
        </w:rPr>
        <w:t>” box below the signature line below. Gossamer Services’ paid time off policy will be the same as the policy currently in effect at Parent.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92" w:name="page593"/>
    <w:bookmarkEnd w:id="592"/>
    <w:p>
      <w:pPr>
        <w:ind w:firstLine="885"/>
        <w:spacing w:after="0" w:line="276" w:lineRule="auto"/>
        <w:tabs>
          <w:tab w:leader="none" w:pos="1241" w:val="left"/>
        </w:tabs>
        <w:numPr>
          <w:ilvl w:val="1"/>
          <w:numId w:val="44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Sign-On Bonus</w:t>
      </w:r>
      <w:r>
        <w:rPr>
          <w:rFonts w:ascii="Arial" w:cs="Arial" w:eastAsia="Arial" w:hAnsi="Arial"/>
          <w:sz w:val="17"/>
          <w:szCs w:val="17"/>
          <w:color w:val="auto"/>
        </w:rPr>
        <w:t>. You will be provided with a sign-on bonus of $170,000. The sign-on bonus will be paid to you in two installments: 50% within ten (10) days of the Effective Date and the remaining amount six (6) months following the Effective Date. The sign-on bonus is subject to repayment in the event you voluntarily terminate your employment with the Company without Good Reason (as defined below) or if the Company terminates your employment for Cause (as defined below), in either event within the first year of your employment with the Company. Repayment of the sign-on bonus shall be forgiven on the first anniversary of your commencement of employment with the Company.</w:t>
      </w:r>
    </w:p>
    <w:p>
      <w:pPr>
        <w:spacing w:after="0" w:line="172" w:lineRule="exact"/>
        <w:rPr>
          <w:rFonts w:ascii="Arial" w:cs="Arial" w:eastAsia="Arial" w:hAnsi="Arial"/>
          <w:sz w:val="17"/>
          <w:szCs w:val="17"/>
          <w:color w:val="auto"/>
        </w:rPr>
      </w:pPr>
    </w:p>
    <w:p>
      <w:pPr>
        <w:ind w:firstLine="885"/>
        <w:spacing w:after="0" w:line="254" w:lineRule="auto"/>
        <w:tabs>
          <w:tab w:leader="none" w:pos="1271" w:val="left"/>
        </w:tabs>
        <w:numPr>
          <w:ilvl w:val="1"/>
          <w:numId w:val="440"/>
        </w:numPr>
        <w:rPr>
          <w:rFonts w:ascii="Arial" w:cs="Arial" w:eastAsia="Arial" w:hAnsi="Arial"/>
          <w:sz w:val="18"/>
          <w:szCs w:val="18"/>
          <w:color w:val="auto"/>
        </w:rPr>
      </w:pPr>
      <w:r>
        <w:rPr>
          <w:rFonts w:ascii="Arial" w:cs="Arial" w:eastAsia="Arial" w:hAnsi="Arial"/>
          <w:sz w:val="18"/>
          <w:szCs w:val="18"/>
          <w:u w:val="single" w:color="auto"/>
          <w:color w:val="auto"/>
        </w:rPr>
        <w:t>Commuting Allowance</w:t>
      </w:r>
      <w:r>
        <w:rPr>
          <w:rFonts w:ascii="Arial" w:cs="Arial" w:eastAsia="Arial" w:hAnsi="Arial"/>
          <w:sz w:val="18"/>
          <w:szCs w:val="18"/>
          <w:color w:val="auto"/>
        </w:rPr>
        <w:t>. To assist you in working with the team onsite in San Diego for up to the first twenty-four (24) months of your employment prior to initiation of the relocation benefits described in clause (h) below, the Company will provide you with a monthly payment of $4,800 to assist you with expenses related to commuting to San Diego for work, including flights, hotel and car rental. Should you establish housing through the relocation benefits, but not complete the full relocation during that 24-month period, the amount of the commuting allowance will be adjusted to $1,000 per month for the remainder of the 24-month period. Should you complete the full relocation process prior to the 24-month period, payments will be concluded at that time and no additional commuting allowance will be provided. The commuting allowance payments will be treated as taxable compensation and will be grossed up to compensate for income taxes, which tax gross-up shall be paid in accordance with Treasury Regulation Section 1.409A-3(i)(1)(v).</w:t>
      </w:r>
    </w:p>
    <w:p>
      <w:pPr>
        <w:spacing w:after="0" w:line="192" w:lineRule="exact"/>
        <w:rPr>
          <w:rFonts w:ascii="Arial" w:cs="Arial" w:eastAsia="Arial" w:hAnsi="Arial"/>
          <w:sz w:val="18"/>
          <w:szCs w:val="18"/>
          <w:color w:val="auto"/>
        </w:rPr>
      </w:pPr>
    </w:p>
    <w:p>
      <w:pPr>
        <w:ind w:firstLine="885"/>
        <w:spacing w:after="0" w:line="290" w:lineRule="auto"/>
        <w:tabs>
          <w:tab w:leader="none" w:pos="1271" w:val="left"/>
        </w:tabs>
        <w:numPr>
          <w:ilvl w:val="1"/>
          <w:numId w:val="440"/>
        </w:numPr>
        <w:rPr>
          <w:rFonts w:ascii="Arial" w:cs="Arial" w:eastAsia="Arial" w:hAnsi="Arial"/>
          <w:sz w:val="16"/>
          <w:szCs w:val="16"/>
          <w:color w:val="auto"/>
        </w:rPr>
      </w:pPr>
      <w:r>
        <w:rPr>
          <w:rFonts w:ascii="Arial" w:cs="Arial" w:eastAsia="Arial" w:hAnsi="Arial"/>
          <w:sz w:val="16"/>
          <w:szCs w:val="16"/>
          <w:u w:val="single" w:color="auto"/>
          <w:color w:val="auto"/>
        </w:rPr>
        <w:t>Relocation Benefits</w:t>
      </w:r>
      <w:r>
        <w:rPr>
          <w:rFonts w:ascii="Arial" w:cs="Arial" w:eastAsia="Arial" w:hAnsi="Arial"/>
          <w:sz w:val="16"/>
          <w:szCs w:val="16"/>
          <w:color w:val="auto"/>
        </w:rPr>
        <w:t>. To assist you with expenses associated with relocation to the San Diego area, you will be provided with relocation benefits up to a maximum of $150,000 should you initiate the relocation by your second anniversary of employment. The amounts paid to you in connection with relocation will be paid and treated as taxable compensation and will be subject to any withholding tax and payroll deductions required by law. Relocation payments will be grossed up to compensate for income taxes, which tax gross-up shall be paid in accordance with Treasury Regulation Section 1.409A-3(i)(1)(v). The Company can provide you with a relocation company to assist in this process. The relocation amounts (and any related tax gross-up) are subject to repayment in the event you voluntarily terminate your employment with the Company without Good Reason or if the Company terminates your employment for Cause, in accordance with the terms of the separate Relocation Agreement delivered herewith (the “</w:t>
      </w:r>
      <w:r>
        <w:rPr>
          <w:rFonts w:ascii="Arial" w:cs="Arial" w:eastAsia="Arial" w:hAnsi="Arial"/>
          <w:sz w:val="16"/>
          <w:szCs w:val="16"/>
          <w:u w:val="single" w:color="auto"/>
          <w:color w:val="auto"/>
        </w:rPr>
        <w:t>Relocation Agreement</w:t>
      </w:r>
      <w:r>
        <w:rPr>
          <w:rFonts w:ascii="Arial" w:cs="Arial" w:eastAsia="Arial" w:hAnsi="Arial"/>
          <w:sz w:val="16"/>
          <w:szCs w:val="16"/>
          <w:color w:val="auto"/>
        </w:rPr>
        <w:t>”). The terms of your relocation benefits shall otherwise be defined and governed by the Relocation Agreement.</w:t>
      </w:r>
    </w:p>
    <w:p>
      <w:pPr>
        <w:spacing w:after="0" w:line="166" w:lineRule="exact"/>
        <w:rPr>
          <w:rFonts w:ascii="Arial" w:cs="Arial" w:eastAsia="Arial" w:hAnsi="Arial"/>
          <w:sz w:val="16"/>
          <w:szCs w:val="16"/>
          <w:color w:val="auto"/>
        </w:rPr>
      </w:pPr>
    </w:p>
    <w:p>
      <w:pPr>
        <w:ind w:left="760" w:hanging="316"/>
        <w:spacing w:after="0"/>
        <w:tabs>
          <w:tab w:leader="none" w:pos="76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At-Will Employment;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5"/>
        <w:spacing w:after="0" w:line="291" w:lineRule="auto"/>
        <w:tabs>
          <w:tab w:leader="none" w:pos="1261"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At-Will Employment; Notice of Resignation</w:t>
      </w:r>
      <w:r>
        <w:rPr>
          <w:rFonts w:ascii="Arial" w:cs="Arial" w:eastAsia="Arial" w:hAnsi="Arial"/>
          <w:sz w:val="16"/>
          <w:szCs w:val="16"/>
          <w:color w:val="auto"/>
        </w:rPr>
        <w:t>. This Agreement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an executive officer of the Company, which expressly states the intention to modify the at-will nature of your employment. Similarly, nothing in this Agreement shall be construed as an agreement, either express or implied, to pay you any compensation or grant you any benefit beyond the end of your employment with the Company, except as otherwise explicitly set forth 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93" w:name="page594"/>
    <w:bookmarkEnd w:id="593"/>
    <w:p>
      <w:pPr>
        <w:ind w:left="-20" w:right="240" w:firstLine="885"/>
        <w:spacing w:after="0" w:line="264" w:lineRule="auto"/>
        <w:tabs>
          <w:tab w:leader="none" w:pos="1251"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Payment</w:t>
      </w:r>
      <w:r>
        <w:rPr>
          <w:rFonts w:ascii="Arial" w:cs="Arial" w:eastAsia="Arial" w:hAnsi="Arial"/>
          <w:sz w:val="18"/>
          <w:szCs w:val="18"/>
          <w:color w:val="auto"/>
        </w:rPr>
        <w:t>. In the event your employment with the Company ever terminates, on your last day of employment, you will receive your accrued but unpaid base salary and all accrued but unused paid time off through the last day of your employment, in accordance with the Company’s then-current payroll policies and practices (the “</w:t>
      </w:r>
      <w:r>
        <w:rPr>
          <w:rFonts w:ascii="Arial" w:cs="Arial" w:eastAsia="Arial" w:hAnsi="Arial"/>
          <w:sz w:val="18"/>
          <w:szCs w:val="18"/>
          <w:u w:val="single" w:color="auto"/>
          <w:color w:val="auto"/>
        </w:rPr>
        <w:t>Termination 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 w:right="40" w:firstLine="885"/>
        <w:spacing w:after="0" w:line="268" w:lineRule="auto"/>
        <w:tabs>
          <w:tab w:leader="none" w:pos="1241"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Prior to a Change in Control or More Than 12 Months Following a Change in Control</w:t>
      </w:r>
      <w:r>
        <w:rPr>
          <w:rFonts w:ascii="Arial" w:cs="Arial" w:eastAsia="Arial" w:hAnsi="Arial"/>
          <w:sz w:val="17"/>
          <w:szCs w:val="17"/>
          <w:color w:val="auto"/>
        </w:rPr>
        <w:t>. Without otherwise limiting the “at-will” nature of your employment, in the event your employment is terminated at any time by the Company (or any of its subsidiaries or affiliates, as applicable, or any of their respective successors or assigns) without Cause (excluding by reason of your death and Disability (as defined below)) or by you for Good Reason in each case prior to a Change in Control (as defined below) or more than twelve (12) months following a Change in Control, then, in addition to the Termination Payment, the Company shall provide the following payments and benefits (“</w:t>
      </w:r>
      <w:r>
        <w:rPr>
          <w:rFonts w:ascii="Arial" w:cs="Arial" w:eastAsia="Arial" w:hAnsi="Arial"/>
          <w:sz w:val="17"/>
          <w:szCs w:val="17"/>
          <w:u w:val="single" w:color="auto"/>
          <w:color w:val="auto"/>
        </w:rPr>
        <w:t>Severance Benefits</w:t>
      </w:r>
      <w:r>
        <w:rPr>
          <w:rFonts w:ascii="Arial" w:cs="Arial" w:eastAsia="Arial" w:hAnsi="Arial"/>
          <w:sz w:val="17"/>
          <w:szCs w:val="17"/>
          <w:color w:val="auto"/>
        </w:rPr>
        <w:t>”): (i) continued payment of your base salary at the then-current rate per pay period for a period of nine (9) months following your termination date, in accordance with the Company’s then-current payroll policies and practices; and (ii) provided you timely elect and remain eligible for coverage pursuant to Part 6 of Title I of ERISA, or similar state law (collectively, “</w:t>
      </w:r>
      <w:r>
        <w:rPr>
          <w:rFonts w:ascii="Arial" w:cs="Arial" w:eastAsia="Arial" w:hAnsi="Arial"/>
          <w:sz w:val="17"/>
          <w:szCs w:val="17"/>
          <w:u w:val="single" w:color="auto"/>
          <w:color w:val="auto"/>
        </w:rPr>
        <w:t>COBRA</w:t>
      </w:r>
      <w:r>
        <w:rPr>
          <w:rFonts w:ascii="Arial" w:cs="Arial" w:eastAsia="Arial" w:hAnsi="Arial"/>
          <w:sz w:val="17"/>
          <w:szCs w:val="17"/>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nine (9) months following such date and (y) the date you become eligible for coverage under a subsequent employer’s medical plan.</w:t>
      </w:r>
    </w:p>
    <w:p>
      <w:pPr>
        <w:spacing w:after="0" w:line="187" w:lineRule="exact"/>
        <w:rPr>
          <w:rFonts w:ascii="Arial" w:cs="Arial" w:eastAsia="Arial" w:hAnsi="Arial"/>
          <w:sz w:val="17"/>
          <w:szCs w:val="17"/>
          <w:color w:val="auto"/>
        </w:rPr>
      </w:pPr>
    </w:p>
    <w:p>
      <w:pPr>
        <w:ind w:left="-20" w:firstLine="885"/>
        <w:spacing w:after="0" w:line="286" w:lineRule="auto"/>
        <w:tabs>
          <w:tab w:leader="none" w:pos="1251"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Within 12 Months Following a Change in Control</w:t>
      </w:r>
      <w:r>
        <w:rPr>
          <w:rFonts w:ascii="Arial" w:cs="Arial" w:eastAsia="Arial" w:hAnsi="Arial"/>
          <w:sz w:val="16"/>
          <w:szCs w:val="16"/>
          <w:color w:val="auto"/>
        </w:rPr>
        <w:t>. In the event your employment is terminated at any time by the Company (or any of its subsidiaries or affiliates, as applicable, or any of their respective successors or assigns) without Cause (excluding by reason of your death and Disability) or by you for Good Reason, in each case on or within twelve (12) months after a Change in Control, then, in addition to the Termination Payment, the Company shall provide the following payments and benefits (“</w:t>
      </w:r>
      <w:r>
        <w:rPr>
          <w:rFonts w:ascii="Arial" w:cs="Arial" w:eastAsia="Arial" w:hAnsi="Arial"/>
          <w:sz w:val="16"/>
          <w:szCs w:val="16"/>
          <w:u w:val="single" w:color="auto"/>
          <w:color w:val="auto"/>
        </w:rPr>
        <w:t>Change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Severance Benefits</w:t>
      </w:r>
      <w:r>
        <w:rPr>
          <w:rFonts w:ascii="Arial" w:cs="Arial" w:eastAsia="Arial" w:hAnsi="Arial"/>
          <w:sz w:val="16"/>
          <w:szCs w:val="16"/>
          <w:color w:val="auto"/>
        </w:rPr>
        <w:t>”): (i) continued payment of your base salary at the then-current rate per pay period for a period of twelve (12) months following your termination date, in accordance with the Company’s then-current payroll policies and practices; (ii) payment of your Target Bonus for the calendar year during which your date of termination occurs, on the Payment Date;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twelve (12) 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3" w:right="439" w:bottom="1440" w:gutter="0" w:footer="0" w:header="0"/>
        </w:sectPr>
      </w:pPr>
    </w:p>
    <w:bookmarkStart w:id="594" w:name="page595"/>
    <w:bookmarkEnd w:id="594"/>
    <w:p>
      <w:pPr>
        <w:ind w:right="80" w:firstLine="885"/>
        <w:spacing w:after="0" w:line="255" w:lineRule="auto"/>
        <w:tabs>
          <w:tab w:leader="none" w:pos="1261"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or Disability</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by reason of your death or Disability, then, in addition to the Termination Payment, the Company shall provide that the greater of (i) fifty percent (50%) of the unvested portion of any equity awards then held by you immediately prior to such termination or (ii) the portion of such equity awards that would have otherwise vested in the nine (9) month period following the date of such termination of employment, shall vest and shall no longer be subject to restrictions or forfeiture on the date of such termination (“</w:t>
      </w:r>
      <w:r>
        <w:rPr>
          <w:rFonts w:ascii="Arial" w:cs="Arial" w:eastAsia="Arial" w:hAnsi="Arial"/>
          <w:sz w:val="18"/>
          <w:szCs w:val="18"/>
          <w:u w:val="single" w:color="auto"/>
          <w:color w:val="auto"/>
        </w:rPr>
        <w:t>Qualified Accelerated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right="80" w:firstLine="885"/>
        <w:spacing w:after="0" w:line="291" w:lineRule="auto"/>
        <w:tabs>
          <w:tab w:leader="none" w:pos="1241"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6"/>
          <w:szCs w:val="16"/>
          <w:u w:val="single" w:color="auto"/>
          <w:color w:val="auto"/>
        </w:rPr>
        <w:t>Termination Benefits</w:t>
      </w:r>
      <w:r>
        <w:rPr>
          <w:rFonts w:ascii="Arial" w:cs="Arial" w:eastAsia="Arial" w:hAnsi="Arial"/>
          <w:sz w:val="16"/>
          <w:szCs w:val="16"/>
          <w:color w:val="auto"/>
        </w:rPr>
        <w:t>”) unless, within sixty</w:t>
      </w:r>
    </w:p>
    <w:p>
      <w:pPr>
        <w:ind w:firstLine="4"/>
        <w:spacing w:after="0" w:line="254" w:lineRule="auto"/>
        <w:tabs>
          <w:tab w:leader="none" w:pos="34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to such form to help ensure enforceability under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any revocation period thereunder has lapsed without exercise by you (or your legal representatives) of such revocation right.</w:t>
      </w:r>
    </w:p>
    <w:p>
      <w:pPr>
        <w:spacing w:after="0" w:line="189" w:lineRule="exact"/>
        <w:rPr>
          <w:rFonts w:ascii="Arial" w:cs="Arial" w:eastAsia="Arial" w:hAnsi="Arial"/>
          <w:sz w:val="18"/>
          <w:szCs w:val="18"/>
          <w:color w:val="auto"/>
        </w:rPr>
      </w:pPr>
    </w:p>
    <w:p>
      <w:pPr>
        <w:jc w:val="both"/>
        <w:ind w:right="100" w:firstLine="885"/>
        <w:spacing w:after="0" w:line="259" w:lineRule="auto"/>
        <w:tabs>
          <w:tab w:leader="none" w:pos="1271"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The Termination Benefits shall be paid or provided or shall commence on the first payroll period following the date the Release becomes effective (the “</w:t>
      </w:r>
      <w:r>
        <w:rPr>
          <w:rFonts w:ascii="Arial" w:cs="Arial" w:eastAsia="Arial" w:hAnsi="Arial"/>
          <w:sz w:val="18"/>
          <w:szCs w:val="18"/>
          <w:u w:val="single" w:color="auto"/>
          <w:color w:val="auto"/>
        </w:rPr>
        <w:t>Payment Date</w:t>
      </w:r>
      <w:r>
        <w:rPr>
          <w:rFonts w:ascii="Arial" w:cs="Arial" w:eastAsia="Arial" w:hAnsi="Arial"/>
          <w:sz w:val="18"/>
          <w:szCs w:val="18"/>
          <w:color w:val="auto"/>
        </w:rPr>
        <w:t>”) and the first payment shall include all accrued amounts from the date of termination, provided that if the period during which you may deliver the Release required hereunder spans two (2) calendar years, the Payment Date shall be no earlier than January 1 of the second calendar year.</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36"/>
        <w:spacing w:after="0" w:line="259" w:lineRule="auto"/>
        <w:tabs>
          <w:tab w:leader="none" w:pos="1783" w:val="left"/>
        </w:tabs>
        <w:numPr>
          <w:ilvl w:val="2"/>
          <w:numId w:val="444"/>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the Gossamer Bio, Inc. 2017 Equity Incentive Plan, as in effect on the Effective Date (the “</w:t>
      </w:r>
      <w:r>
        <w:rPr>
          <w:rFonts w:ascii="Arial" w:cs="Arial" w:eastAsia="Arial" w:hAnsi="Arial"/>
          <w:sz w:val="18"/>
          <w:szCs w:val="18"/>
          <w:u w:val="single" w:color="auto"/>
          <w:color w:val="auto"/>
        </w:rPr>
        <w:t>Equity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effective on the date on which the Company’s Registration Statement on Form S-1 filed with respect to the Company’s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becomes effective, “Change in Control” shall have the meaning set forth in the equity plan adopted by Parent in connection with the IPO.</w:t>
      </w:r>
    </w:p>
    <w:p>
      <w:pPr>
        <w:spacing w:after="0" w:line="186" w:lineRule="exact"/>
        <w:rPr>
          <w:rFonts w:ascii="Arial" w:cs="Arial" w:eastAsia="Arial" w:hAnsi="Arial"/>
          <w:sz w:val="18"/>
          <w:szCs w:val="18"/>
          <w:color w:val="auto"/>
        </w:rPr>
      </w:pPr>
    </w:p>
    <w:p>
      <w:pPr>
        <w:ind w:firstLine="1436"/>
        <w:spacing w:after="0" w:line="271" w:lineRule="auto"/>
        <w:tabs>
          <w:tab w:leader="none" w:pos="1823" w:val="left"/>
        </w:tabs>
        <w:numPr>
          <w:ilvl w:val="2"/>
          <w:numId w:val="444"/>
        </w:numPr>
        <w:rPr>
          <w:rFonts w:ascii="Arial" w:cs="Arial" w:eastAsia="Arial" w:hAnsi="Arial"/>
          <w:sz w:val="17"/>
          <w:szCs w:val="17"/>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Cause</w:t>
      </w:r>
      <w:r>
        <w:rPr>
          <w:rFonts w:ascii="Arial" w:cs="Arial" w:eastAsia="Arial" w:hAnsi="Arial"/>
          <w:sz w:val="17"/>
          <w:szCs w:val="17"/>
          <w:color w:val="auto"/>
        </w:rPr>
        <w:t>” means: (A) a willful and material act of dishonesty by you in connection with the performance of your duties as an employee of the Company; (B) your conviction of, or plea of guilty or nolo contendere to, a felony, or any crime involving fraud or embezzlement that the Board reasonably determines has had or is reasonably likely to have a materially detrimental effect on the Company’s reputation or business; (C) your gross misconduct in the performance of your duties as an employee of the Company; (D) your willful and material unauthorized use or disclosure of any proprietary information or trade secrets of the Company or any other party to whom you owe an obligation of nondisclosure as a result of your relationship with the Company; (E) your willful and material breach of any obligations under any written agreement or written covenant with the Company; or (F) your continued willful and substantial failure to perform your material employment duties that are lawfully assigned to you in good faith by your reporting superior (other than as a result of your death or Disability) after written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595" w:name="page596"/>
    <w:bookmarkEnd w:id="595"/>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no act or failure to act on your part shall be considered “willful” unless it is done or omitted to be done by you in bad faith and without reasonable belief that the act or failure to act was in the best interest of the Company.</w:t>
      </w:r>
    </w:p>
    <w:p>
      <w:pPr>
        <w:spacing w:after="0" w:line="158" w:lineRule="exact"/>
        <w:rPr>
          <w:sz w:val="20"/>
          <w:szCs w:val="20"/>
          <w:color w:val="auto"/>
        </w:rPr>
      </w:pPr>
    </w:p>
    <w:p>
      <w:pPr>
        <w:ind w:right="260" w:firstLine="1436"/>
        <w:spacing w:after="0" w:line="288" w:lineRule="auto"/>
        <w:tabs>
          <w:tab w:leader="none" w:pos="1873" w:val="left"/>
        </w:tabs>
        <w:numPr>
          <w:ilvl w:val="2"/>
          <w:numId w:val="44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(A) a material reduction in your base salary or target annual bonus; (B) a material diminution of your title, duties, responsibilities or reporting lines; (C) a material change in the principal geographic location at which you must perform services, more than fifty (50) miles from the Company’s head office;</w:t>
      </w:r>
    </w:p>
    <w:p>
      <w:pPr>
        <w:ind w:right="240" w:firstLine="4"/>
        <w:spacing w:after="0" w:line="254" w:lineRule="auto"/>
        <w:tabs>
          <w:tab w:leader="none" w:pos="29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 material breach by the Company of this Agreement.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89" w:lineRule="exact"/>
        <w:rPr>
          <w:rFonts w:ascii="Arial" w:cs="Arial" w:eastAsia="Arial" w:hAnsi="Arial"/>
          <w:sz w:val="18"/>
          <w:szCs w:val="18"/>
          <w:color w:val="auto"/>
        </w:rPr>
      </w:pPr>
    </w:p>
    <w:p>
      <w:pPr>
        <w:ind w:right="160" w:firstLine="1436"/>
        <w:spacing w:after="0" w:line="277" w:lineRule="auto"/>
        <w:tabs>
          <w:tab w:leader="none" w:pos="1863" w:val="left"/>
        </w:tabs>
        <w:numPr>
          <w:ilvl w:val="2"/>
          <w:numId w:val="44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within the meaning of Section 22(e)(3) of the Code, as it may be amended from time to time.</w:t>
      </w:r>
    </w:p>
    <w:p>
      <w:pPr>
        <w:spacing w:after="0" w:line="170" w:lineRule="exact"/>
        <w:rPr>
          <w:rFonts w:ascii="Arial" w:cs="Arial" w:eastAsia="Arial" w:hAnsi="Arial"/>
          <w:sz w:val="18"/>
          <w:szCs w:val="18"/>
          <w:color w:val="auto"/>
        </w:rPr>
      </w:pPr>
    </w:p>
    <w:p>
      <w:pPr>
        <w:ind w:right="280" w:firstLine="885"/>
        <w:spacing w:after="0" w:line="259" w:lineRule="auto"/>
        <w:tabs>
          <w:tab w:leader="none" w:pos="1231" w:val="left"/>
        </w:tabs>
        <w:numPr>
          <w:ilvl w:val="1"/>
          <w:numId w:val="44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Any severance payments to you under this Agreement shall begin only after the date of your “separation from service” within the meaning of Internal Revenue Code Section 409A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determined as set forth below, which occurs on or after date of the termination of your employment, and shall be subject to the following provisions:</w:t>
      </w:r>
    </w:p>
    <w:p>
      <w:pPr>
        <w:spacing w:after="0" w:line="186" w:lineRule="exact"/>
        <w:rPr>
          <w:rFonts w:ascii="Arial" w:cs="Arial" w:eastAsia="Arial" w:hAnsi="Arial"/>
          <w:sz w:val="18"/>
          <w:szCs w:val="18"/>
          <w:color w:val="auto"/>
        </w:rPr>
      </w:pPr>
    </w:p>
    <w:p>
      <w:pPr>
        <w:ind w:firstLine="1436"/>
        <w:spacing w:after="0" w:line="257" w:lineRule="auto"/>
        <w:tabs>
          <w:tab w:leader="none" w:pos="1779" w:val="left"/>
        </w:tabs>
        <w:numPr>
          <w:ilvl w:val="2"/>
          <w:numId w:val="447"/>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Agreement comply with, or be exempt from Section 409A and, accordingly, to the maximum extent permitted, this Agreement shall be interpreted to be in compliance therewith. For purposes of Section 409A, your right to receive any installment payments pursuant to this Agreement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8" w:lineRule="exact"/>
        <w:rPr>
          <w:rFonts w:ascii="Arial" w:cs="Arial" w:eastAsia="Arial" w:hAnsi="Arial"/>
          <w:sz w:val="18"/>
          <w:szCs w:val="18"/>
          <w:color w:val="auto"/>
        </w:rPr>
      </w:pPr>
    </w:p>
    <w:p>
      <w:pPr>
        <w:ind w:right="20" w:firstLine="1436"/>
        <w:spacing w:after="0" w:line="308" w:lineRule="auto"/>
        <w:tabs>
          <w:tab w:leader="none" w:pos="1833" w:val="left"/>
        </w:tabs>
        <w:numPr>
          <w:ilvl w:val="2"/>
          <w:numId w:val="447"/>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of the severance payments shall be made on the dates and terms set forth in this Agreement.</w:t>
      </w:r>
    </w:p>
    <w:p>
      <w:pPr>
        <w:spacing w:after="0" w:line="146" w:lineRule="exact"/>
        <w:rPr>
          <w:rFonts w:ascii="Arial" w:cs="Arial" w:eastAsia="Arial" w:hAnsi="Arial"/>
          <w:sz w:val="17"/>
          <w:szCs w:val="17"/>
          <w:color w:val="auto"/>
        </w:rPr>
      </w:pPr>
    </w:p>
    <w:p>
      <w:pPr>
        <w:ind w:left="1880" w:hanging="444"/>
        <w:spacing w:after="0"/>
        <w:tabs>
          <w:tab w:leader="none" w:pos="1880" w:val="left"/>
        </w:tabs>
        <w:numPr>
          <w:ilvl w:val="2"/>
          <w:numId w:val="447"/>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then:</w:t>
      </w:r>
    </w:p>
    <w:p>
      <w:pPr>
        <w:spacing w:after="0" w:line="211" w:lineRule="exact"/>
        <w:rPr>
          <w:sz w:val="20"/>
          <w:szCs w:val="20"/>
          <w:color w:val="auto"/>
        </w:rPr>
      </w:pPr>
    </w:p>
    <w:p>
      <w:pPr>
        <w:ind w:firstLine="1877"/>
        <w:spacing w:after="0" w:line="277" w:lineRule="auto"/>
        <w:tabs>
          <w:tab w:leader="none" w:pos="230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Agreement, will in all circumstances, regardless of when the “separation from service” occurs, be paid within the short-term deferral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96" w:name="page597"/>
    <w:bookmarkEnd w:id="596"/>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(as defined in Section 409A) shall be treated as a “short-term deferral” within the meaning of Treasury Regulation Section 1.409A-l(b)(4) to the maximum extent permissible under Section 409A and shall be paid on the dates and terms set forth in this Agreement; and</w:t>
      </w:r>
    </w:p>
    <w:p>
      <w:pPr>
        <w:spacing w:after="0" w:line="147" w:lineRule="exact"/>
        <w:rPr>
          <w:sz w:val="20"/>
          <w:szCs w:val="20"/>
          <w:color w:val="auto"/>
        </w:rPr>
      </w:pPr>
    </w:p>
    <w:p>
      <w:pPr>
        <w:ind w:right="240" w:firstLine="1877"/>
        <w:spacing w:after="0" w:line="291" w:lineRule="auto"/>
        <w:tabs>
          <w:tab w:leader="none" w:pos="2293" w:val="left"/>
        </w:tabs>
        <w:numPr>
          <w:ilvl w:val="2"/>
          <w:numId w:val="449"/>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(iii)(A) above and that would, absent this clause (B), be paid within the six-month period following your “separation from service” from the Company shall not be paid until the date that is six</w:t>
      </w:r>
    </w:p>
    <w:p>
      <w:pPr>
        <w:ind w:firstLine="4"/>
        <w:spacing w:after="0" w:line="268" w:lineRule="auto"/>
        <w:tabs>
          <w:tab w:leader="none" w:pos="255" w:val="left"/>
        </w:tabs>
        <w:numPr>
          <w:ilvl w:val="0"/>
          <w:numId w:val="450"/>
        </w:numPr>
        <w:rPr>
          <w:rFonts w:ascii="Arial" w:cs="Arial" w:eastAsia="Arial" w:hAnsi="Arial"/>
          <w:sz w:val="17"/>
          <w:szCs w:val="17"/>
          <w:color w:val="auto"/>
        </w:rPr>
      </w:pPr>
      <w:r>
        <w:rPr>
          <w:rFonts w:ascii="Arial" w:cs="Arial" w:eastAsia="Arial" w:hAnsi="Arial"/>
          <w:sz w:val="17"/>
          <w:szCs w:val="17"/>
          <w:color w:val="auto"/>
        </w:rPr>
        <w:t xml:space="preserve">months and one (1) 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84" w:lineRule="exact"/>
        <w:rPr>
          <w:rFonts w:ascii="Arial" w:cs="Arial" w:eastAsia="Arial" w:hAnsi="Arial"/>
          <w:sz w:val="17"/>
          <w:szCs w:val="17"/>
          <w:color w:val="auto"/>
        </w:rPr>
      </w:pPr>
    </w:p>
    <w:p>
      <w:pPr>
        <w:ind w:right="60" w:firstLine="1436"/>
        <w:spacing w:after="0" w:line="312" w:lineRule="auto"/>
        <w:tabs>
          <w:tab w:leader="none" w:pos="1869" w:val="left"/>
        </w:tabs>
        <w:numPr>
          <w:ilvl w:val="1"/>
          <w:numId w:val="450"/>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140" w:firstLine="1436"/>
        <w:spacing w:after="0" w:line="288" w:lineRule="auto"/>
        <w:tabs>
          <w:tab w:leader="none" w:pos="1813"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(A) any reimbursement is for expenses incurred during your lifetime (or during a shorter period of time specified in this Agreement),</w:t>
      </w:r>
    </w:p>
    <w:p>
      <w:pPr>
        <w:ind w:right="100"/>
        <w:spacing w:after="0" w:line="277" w:lineRule="auto"/>
        <w:rPr>
          <w:rFonts w:ascii="Arial" w:cs="Arial" w:eastAsia="Arial" w:hAnsi="Arial"/>
          <w:sz w:val="16"/>
          <w:szCs w:val="16"/>
          <w:color w:val="auto"/>
        </w:rPr>
      </w:pPr>
      <w:r>
        <w:rPr>
          <w:rFonts w:ascii="Arial" w:cs="Arial" w:eastAsia="Arial" w:hAnsi="Arial"/>
          <w:sz w:val="17"/>
          <w:szCs w:val="17"/>
          <w:color w:val="auto"/>
        </w:rPr>
        <w:t>(B) the amount of expenses eligible for reimbursement during a calendar year may not affect the expenses eligible for reimbursement in 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73" w:lineRule="exact"/>
        <w:rPr>
          <w:rFonts w:ascii="Arial" w:cs="Arial" w:eastAsia="Arial" w:hAnsi="Arial"/>
          <w:sz w:val="16"/>
          <w:szCs w:val="16"/>
          <w:color w:val="auto"/>
        </w:rPr>
      </w:pPr>
    </w:p>
    <w:p>
      <w:pPr>
        <w:ind w:firstLine="1436"/>
        <w:spacing w:after="0" w:line="270" w:lineRule="auto"/>
        <w:tabs>
          <w:tab w:leader="none" w:pos="1873" w:val="left"/>
        </w:tabs>
        <w:numPr>
          <w:ilvl w:val="1"/>
          <w:numId w:val="45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Company makes no representation or warranty and shall have no liability to you or to any other person if any provisions of this Agreement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Agreement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97" w:name="page598"/>
    <w:bookmarkEnd w:id="597"/>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correction is consistent with the commercial intent of the parties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no event shall the Company be obligated to incur any material cost in connection with its obligations under this sentence.</w:t>
      </w:r>
    </w:p>
    <w:p>
      <w:pPr>
        <w:spacing w:after="0" w:line="187" w:lineRule="exact"/>
        <w:rPr>
          <w:sz w:val="20"/>
          <w:szCs w:val="20"/>
          <w:color w:val="auto"/>
        </w:rPr>
      </w:pPr>
    </w:p>
    <w:p>
      <w:pPr>
        <w:ind w:right="80" w:firstLine="885"/>
        <w:spacing w:after="0" w:line="259" w:lineRule="auto"/>
        <w:tabs>
          <w:tab w:leader="none" w:pos="1371" w:val="left"/>
        </w:tabs>
        <w:numPr>
          <w:ilvl w:val="1"/>
          <w:numId w:val="451"/>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sz w:val="20"/>
          <w:szCs w:val="20"/>
          <w:color w:val="auto"/>
        </w:rPr>
      </w:pPr>
    </w:p>
    <w:p>
      <w:pPr>
        <w:ind w:firstLine="885"/>
        <w:spacing w:after="0" w:line="285" w:lineRule="auto"/>
        <w:tabs>
          <w:tab w:leader="none" w:pos="1261"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Best Pay Provision</w:t>
      </w:r>
      <w:r>
        <w:rPr>
          <w:rFonts w:ascii="Arial" w:cs="Arial" w:eastAsia="Arial" w:hAnsi="Arial"/>
          <w:sz w:val="16"/>
          <w:szCs w:val="16"/>
          <w:color w:val="auto"/>
        </w:rPr>
        <w:t>. Notwithstanding anything to the contrary contained in this Agreement, to the extent that any of the payments and benefits provided for under this Agreement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(i) constitute a “parachute payment” within the meaning of Section 280G of the Code and (ii) but for this paragraph, would be subject to the excise tax imposed by Section 4999 of the Code, then the Payments shall be reduced to the extent necessary so that no portion of such Payments retained by you shall be subject to excise tax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such reduction shall only occur if after taking into account the applicable federal, state and local income taxes and the excise tax imposed by Section 4999 of the Code, such reduction results in your receipt on an after-tax basis, of the greatest amount of benefits under this Agreement,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sentence shall not apply if, immediately before the change in ownership or control on which such Payment is contingent or otherwise relates, no stock in the Company is readily tradeable on an established securities market or otherwise (as determined in accordance with Treasury Reg. Section 1.280G-1 Q&amp;A 6). In the event of a determination that 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 payment to be reduced; second, cancellation of accelerated vesting of equity awards, which shall occur in the reverse order of the date of grant for such stock awards (i.e., the vesting of the most recently granted stock awards will be reduced first); and third, reduction of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177" w:lineRule="exact"/>
        <w:rPr>
          <w:rFonts w:ascii="Arial" w:cs="Arial" w:eastAsia="Arial" w:hAnsi="Arial"/>
          <w:sz w:val="16"/>
          <w:szCs w:val="16"/>
          <w:color w:val="auto"/>
        </w:rPr>
      </w:pPr>
    </w:p>
    <w:p>
      <w:pPr>
        <w:ind w:right="20" w:firstLine="885"/>
        <w:spacing w:after="0" w:line="255" w:lineRule="auto"/>
        <w:tabs>
          <w:tab w:leader="none" w:pos="1271"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Notwithstanding the foregoing, if any Payments would not be subject to such excise tax if the stockholder approval requirements of Section 280G(b)(5) of the Code are satisfied, subject to your waiver of the rights to such Payments in accordance with Section 280G of the Code with respect to any portion of the Payments that would otherwise be subject to excise tax imposed by Section 4999 of the Code (before giving effect to any reduction in Payments contemplated in the two preceding sentences), the Company shall use its reasonable best efforts to cause such payments to be submitted for such approval prior to the event giving rise to such payments. To the extent the Company submits any payment or benefit payable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98" w:name="page599"/>
    <w:bookmarkEnd w:id="598"/>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you under this Agreement or otherwise to the Company’s stockholders for approval in accordance with Treasury Reg.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 In no event shall you have any discretion with respect to the ordering of payment reductions.</w:t>
      </w:r>
    </w:p>
    <w:p>
      <w:pPr>
        <w:spacing w:after="0" w:line="154" w:lineRule="exact"/>
        <w:rPr>
          <w:sz w:val="20"/>
          <w:szCs w:val="20"/>
          <w:color w:val="auto"/>
        </w:rPr>
      </w:pPr>
    </w:p>
    <w:p>
      <w:pPr>
        <w:ind w:firstLine="885"/>
        <w:spacing w:after="0" w:line="287" w:lineRule="auto"/>
        <w:tabs>
          <w:tab w:leader="none" w:pos="1261" w:val="left"/>
        </w:tabs>
        <w:numPr>
          <w:ilvl w:val="1"/>
          <w:numId w:val="454"/>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Unless you and the Company otherwise agree in writing, any determination required under this paragraph shall be made in writing by the Company’s independent public accountants immediately preceding the change in ownership or control on which such Payments are contingent or otherwise relate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you and the Company for all purposes. For purposes of making the calculations required by this Section 4, the Accountants may make reasonable assumptions and approximations concerning applicable taxes and may rely in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Company shall bear all costs the Accountants may reasonably incur in connection with any calculations contemplated by this paragraph. If the limitation set forth in Section 4(a) is applied to reduce an amount payable to you, and the Internal Revenue Service successfully asserts that, despite the reduction, you have nonetheless received payments which are in excess of the maximum amount that could have been paid to you without being subjected to any excise tax, then, unless it would be unlawful for the Company to make such a loan or similar extension of credit to you, you may repay such excess amount to the Company as though such amount constitutes a loan to you made at the date of payment of such excess amount, bearing interest at 120% of the applicable federal rate (as determined under Section 1274(d) of the Code in respect of such loan).</w:t>
      </w:r>
    </w:p>
    <w:p>
      <w:pPr>
        <w:spacing w:after="0" w:line="168" w:lineRule="exact"/>
        <w:rPr>
          <w:rFonts w:ascii="Arial" w:cs="Arial" w:eastAsia="Arial" w:hAnsi="Arial"/>
          <w:sz w:val="16"/>
          <w:szCs w:val="16"/>
          <w:color w:val="auto"/>
        </w:rPr>
      </w:pPr>
    </w:p>
    <w:p>
      <w:pPr>
        <w:ind w:left="760" w:hanging="316"/>
        <w:spacing w:after="0"/>
        <w:tabs>
          <w:tab w:leader="none" w:pos="76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64" w:lineRule="auto"/>
        <w:tabs>
          <w:tab w:leader="none" w:pos="1261" w:val="left"/>
        </w:tabs>
        <w:numPr>
          <w:ilvl w:val="1"/>
          <w:numId w:val="455"/>
        </w:numPr>
        <w:rPr>
          <w:rFonts w:ascii="Arial" w:cs="Arial" w:eastAsia="Arial" w:hAnsi="Arial"/>
          <w:sz w:val="18"/>
          <w:szCs w:val="18"/>
          <w:color w:val="auto"/>
        </w:rPr>
      </w:pPr>
      <w:r>
        <w:rPr>
          <w:rFonts w:ascii="Arial" w:cs="Arial" w:eastAsia="Arial" w:hAnsi="Arial"/>
          <w:sz w:val="18"/>
          <w:szCs w:val="18"/>
          <w:u w:val="single" w:color="auto"/>
          <w:color w:val="auto"/>
        </w:rPr>
        <w:t>No Other Agreements</w:t>
      </w:r>
      <w:r>
        <w:rPr>
          <w:rFonts w:ascii="Arial" w:cs="Arial" w:eastAsia="Arial" w:hAnsi="Arial"/>
          <w:sz w:val="18"/>
          <w:szCs w:val="18"/>
          <w:color w:val="auto"/>
        </w:rPr>
        <w:t>. You represent that you are not bound by any employment contract, restrictive covenant or other restriction preventing you from entering into employment with or carrying out your responsibilities for the Company, or which is in any way inconsistent with the terms of this Agreement.</w:t>
      </w:r>
    </w:p>
    <w:p>
      <w:pPr>
        <w:spacing w:after="0" w:line="181" w:lineRule="exact"/>
        <w:rPr>
          <w:rFonts w:ascii="Arial" w:cs="Arial" w:eastAsia="Arial" w:hAnsi="Arial"/>
          <w:sz w:val="18"/>
          <w:szCs w:val="18"/>
          <w:color w:val="auto"/>
        </w:rPr>
      </w:pPr>
    </w:p>
    <w:p>
      <w:pPr>
        <w:ind w:right="60" w:firstLine="885"/>
        <w:spacing w:after="0" w:line="277" w:lineRule="auto"/>
        <w:tabs>
          <w:tab w:leader="none" w:pos="1271" w:val="left"/>
        </w:tabs>
        <w:numPr>
          <w:ilvl w:val="1"/>
          <w:numId w:val="455"/>
        </w:numPr>
        <w:rPr>
          <w:rFonts w:ascii="Arial" w:cs="Arial" w:eastAsia="Arial" w:hAnsi="Arial"/>
          <w:sz w:val="18"/>
          <w:szCs w:val="18"/>
          <w:color w:val="auto"/>
        </w:rPr>
      </w:pPr>
      <w:r>
        <w:rPr>
          <w:rFonts w:ascii="Arial" w:cs="Arial" w:eastAsia="Arial" w:hAnsi="Arial"/>
          <w:sz w:val="18"/>
          <w:szCs w:val="18"/>
          <w:u w:val="single" w:color="auto"/>
          <w:color w:val="auto"/>
        </w:rPr>
        <w:t>PIIA</w:t>
      </w:r>
      <w:r>
        <w:rPr>
          <w:rFonts w:ascii="Arial" w:cs="Arial" w:eastAsia="Arial" w:hAnsi="Arial"/>
          <w:sz w:val="18"/>
          <w:szCs w:val="18"/>
          <w:color w:val="auto"/>
        </w:rPr>
        <w:t xml:space="preserve">. You have previously executed the Company’s Proprietary Information and Inventions Assignment Agreement,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PIIA</w:t>
      </w:r>
      <w:r>
        <w:rPr>
          <w:rFonts w:ascii="Arial" w:cs="Arial" w:eastAsia="Arial" w:hAnsi="Arial"/>
          <w:sz w:val="18"/>
          <w:szCs w:val="18"/>
          <w:color w:val="auto"/>
        </w:rPr>
        <w:t>”), and you hereby reaffirm your agreements and obligations thereunder.</w:t>
      </w:r>
    </w:p>
    <w:p>
      <w:pPr>
        <w:spacing w:after="0" w:line="170" w:lineRule="exact"/>
        <w:rPr>
          <w:rFonts w:ascii="Arial" w:cs="Arial" w:eastAsia="Arial" w:hAnsi="Arial"/>
          <w:sz w:val="18"/>
          <w:szCs w:val="18"/>
          <w:color w:val="auto"/>
        </w:rPr>
      </w:pPr>
    </w:p>
    <w:p>
      <w:pPr>
        <w:ind w:right="60" w:firstLine="885"/>
        <w:spacing w:after="0" w:line="291" w:lineRule="auto"/>
        <w:tabs>
          <w:tab w:leader="none" w:pos="1261"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Defend Trade Secrets Act Notice of Immunity Rights</w:t>
      </w:r>
      <w:r>
        <w:rPr>
          <w:rFonts w:ascii="Arial" w:cs="Arial" w:eastAsia="Arial" w:hAnsi="Arial"/>
          <w:sz w:val="16"/>
          <w:szCs w:val="16"/>
          <w:color w:val="auto"/>
        </w:rPr>
        <w:t>.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Proprietary Information (as defined in the PIIA)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Proprietary Information that is made in a complaint or other document filed in a lawsuit or other proceeding, if such filing is made under seal; and (iii) if you file a lawsuit for retaliation by the Company for reporting a suspected violation of law, you may disclose the Proprietary Information to your attorney and use the Proprietary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599" w:name="page600"/>
    <w:bookmarkEnd w:id="599"/>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in the court proceeding, if you file any document containing the Proprietary Information under seal, and do not disclose the Proprietary Information, except pursuant to court order.</w:t>
      </w:r>
    </w:p>
    <w:p>
      <w:pPr>
        <w:spacing w:after="0" w:line="170" w:lineRule="exact"/>
        <w:rPr>
          <w:sz w:val="20"/>
          <w:szCs w:val="20"/>
          <w:color w:val="auto"/>
        </w:rPr>
      </w:pPr>
    </w:p>
    <w:p>
      <w:pPr>
        <w:ind w:right="80" w:firstLine="444"/>
        <w:spacing w:after="0" w:line="273" w:lineRule="auto"/>
        <w:tabs>
          <w:tab w:leader="none" w:pos="756"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rFonts w:ascii="Arial" w:cs="Arial" w:eastAsia="Arial" w:hAnsi="Arial"/>
          <w:sz w:val="17"/>
          <w:szCs w:val="17"/>
          <w:color w:val="auto"/>
        </w:rPr>
      </w:pPr>
    </w:p>
    <w:p>
      <w:pPr>
        <w:ind w:firstLine="444"/>
        <w:spacing w:after="0" w:line="268" w:lineRule="auto"/>
        <w:tabs>
          <w:tab w:leader="none" w:pos="756"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Entire Agreement; Miscellaneous</w:t>
      </w:r>
      <w:r>
        <w:rPr>
          <w:rFonts w:ascii="Arial" w:cs="Arial" w:eastAsia="Arial" w:hAnsi="Arial"/>
          <w:sz w:val="17"/>
          <w:szCs w:val="17"/>
          <w:color w:val="auto"/>
        </w:rPr>
        <w:t>. This Agreement, together with any documents relating to the Company equity held by you, any stock grant notices or stock agreements referenced herein, the PIIA and the Relocation Agreement, constitutes the entire agreement and understanding between the parties as to the subject matter herein and supersedes all prior or contemporaneous agreements whether written or oral, including any offer letter executed by you in connection with your commencement of employment with the Company. The terms of this Agreement may only be modified in a specific writing signed by you and an authorized representative of the Company. The invalidity or unenforceability of any provision or provisions of this Agreement will not affect the validity or enforceability of any other provision hereof, which will remain in full force and effect. The terms in this Agreement may only be modified in writing and signed by you and an executive officer of the Company. In the event of any conflict between any of the terms in this Agreement and the terms of any other agreement between you and the Company, the terms of this Agreement will control. This Agreement may be executed in any number of counterparts, all of which taken together shall constitute one instrument. Execution and delivery of this Agreement by facsimile or other electronic signature is legal, valid and binding for all purposes. This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87" w:lineRule="exact"/>
        <w:rPr>
          <w:rFonts w:ascii="Arial" w:cs="Arial" w:eastAsia="Arial" w:hAnsi="Arial"/>
          <w:sz w:val="17"/>
          <w:szCs w:val="17"/>
          <w:color w:val="auto"/>
        </w:rPr>
      </w:pPr>
    </w:p>
    <w:p>
      <w:pPr>
        <w:ind w:right="100" w:firstLine="444"/>
        <w:spacing w:after="0" w:line="277" w:lineRule="auto"/>
        <w:tabs>
          <w:tab w:leader="none" w:pos="75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Your employment and this Agreement will be governed by the laws of the State of California, without reference to conflicts of laws principles which would result in the application of the law of any other jurisdiction.</w:t>
      </w:r>
    </w:p>
    <w:p>
      <w:pPr>
        <w:spacing w:after="0" w:line="170" w:lineRule="exact"/>
        <w:rPr>
          <w:rFonts w:ascii="Arial" w:cs="Arial" w:eastAsia="Arial" w:hAnsi="Arial"/>
          <w:sz w:val="18"/>
          <w:szCs w:val="18"/>
          <w:color w:val="auto"/>
        </w:rPr>
      </w:pPr>
    </w:p>
    <w:p>
      <w:pPr>
        <w:ind w:right="40" w:firstLine="444"/>
        <w:spacing w:after="0" w:line="271" w:lineRule="auto"/>
        <w:tabs>
          <w:tab w:leader="none" w:pos="756"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aid in the rapid and economical resolution of any disputes that may arise in the course of the employment relationship, you and the Company agree that any and all disputes, claims, or demands in any way arising out of or relating to the terms of this Agreement, Company equity held by you,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7"/>
          <w:szCs w:val="17"/>
          <w:u w:val="single" w:color="auto"/>
          <w:color w:val="auto"/>
        </w:rPr>
        <w:t>JAMS Rules</w:t>
      </w:r>
      <w:r>
        <w:rPr>
          <w:rFonts w:ascii="Arial" w:cs="Arial" w:eastAsia="Arial" w:hAnsi="Arial"/>
          <w:sz w:val="17"/>
          <w:szCs w:val="17"/>
          <w:color w:val="auto"/>
        </w:rPr>
        <w:t xml:space="preserve">”) and the Federal Arbitration Act, 9 U.S.C. Sec. 1, et seq. A copy of the JAMS rules may be found on the JAMS website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and will be provided to you by the Company upon request. BY AGREEING TO THIS ARBITRATION PROCEDURE, YOU AND THE COMPANY WAIVE THE RIGHT TO RESOLVE ANY SUCH DISPUTE, CLAIM OR DEMAND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00" w:name="page601"/>
    <w:bookmarkEnd w:id="60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w:t>
      </w:r>
    </w:p>
    <w:p>
      <w:pPr>
        <w:spacing w:after="0" w:line="188" w:lineRule="exact"/>
        <w:rPr>
          <w:sz w:val="20"/>
          <w:szCs w:val="20"/>
          <w:color w:val="auto"/>
        </w:rPr>
      </w:pPr>
    </w:p>
    <w:p>
      <w:pPr>
        <w:ind w:right="100" w:firstLine="444"/>
        <w:spacing w:after="0" w:line="277" w:lineRule="auto"/>
        <w:tabs>
          <w:tab w:leader="none" w:pos="846"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Withholding and other Deductions</w:t>
      </w:r>
      <w:r>
        <w:rPr>
          <w:rFonts w:ascii="Arial" w:cs="Arial" w:eastAsia="Arial" w:hAnsi="Arial"/>
          <w:sz w:val="18"/>
          <w:szCs w:val="18"/>
          <w:color w:val="auto"/>
        </w:rPr>
        <w:t>. All compensation payable to you hereunder shall be subject to such deductions as the Company is from time to time required to make pursuant to law, governmental regulation or order.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acknowledge your acceptance of the terms of this Agreement by returning a signed copy of this Agreement.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 and President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Sheila Gujrathi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01" w:name="page602"/>
    <w:bookmarkEnd w:id="6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read and understood this Agreement and hereby acknowledge, accept and agree to the terms as set forth above.</w:t>
      </w:r>
    </w:p>
    <w:p>
      <w:pPr>
        <w:spacing w:after="0" w:line="25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/s/ Jakob Dupont</w:t>
      </w:r>
      <w:r>
        <w:rPr>
          <w:sz w:val="20"/>
          <w:szCs w:val="20"/>
          <w:color w:val="auto"/>
        </w:rPr>
        <w:tab/>
      </w:r>
      <w:r>
        <w:rPr>
          <w:rFonts w:ascii="Arial" w:cs="Arial" w:eastAsia="Arial" w:hAnsi="Arial"/>
          <w:sz w:val="16"/>
          <w:szCs w:val="16"/>
          <w:color w:val="auto"/>
        </w:rPr>
        <w:t>Date: December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-10160</wp:posOffset>
            </wp:positionV>
            <wp:extent cx="10121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Jakob Dupont</w:t>
      </w:r>
    </w:p>
    <w:p>
      <w:pPr>
        <w:spacing w:after="0" w:line="127" w:lineRule="exact"/>
        <w:rPr>
          <w:sz w:val="20"/>
          <w:szCs w:val="20"/>
          <w:color w:val="auto"/>
        </w:rPr>
      </w:pPr>
    </w:p>
    <w:p>
      <w:pPr>
        <w:ind w:left="440" w:right="60" w:hanging="436"/>
        <w:spacing w:after="0" w:line="282" w:lineRule="auto"/>
        <w:tabs>
          <w:tab w:leader="none" w:pos="440" w:val="left"/>
        </w:tabs>
        <w:numPr>
          <w:ilvl w:val="0"/>
          <w:numId w:val="458"/>
        </w:numPr>
        <w:rPr>
          <w:rFonts w:ascii="MS PGothic" w:cs="MS PGothic" w:eastAsia="MS PGothic" w:hAnsi="MS PGothic"/>
          <w:sz w:val="18"/>
          <w:szCs w:val="18"/>
          <w:color w:val="auto"/>
        </w:rPr>
      </w:pPr>
      <w:r>
        <w:rPr>
          <w:rFonts w:ascii="Arial" w:cs="Arial" w:eastAsia="Arial" w:hAnsi="Arial"/>
          <w:sz w:val="18"/>
          <w:szCs w:val="18"/>
          <w:b w:val="1"/>
          <w:bCs w:val="1"/>
          <w:color w:val="auto"/>
        </w:rPr>
        <w:t>Rollover PTO</w:t>
      </w:r>
      <w:r>
        <w:rPr>
          <w:rFonts w:ascii="Arial" w:cs="Arial" w:eastAsia="Arial" w:hAnsi="Arial"/>
          <w:sz w:val="18"/>
          <w:szCs w:val="18"/>
          <w:color w:val="auto"/>
        </w:rPr>
        <w:t>. I want to rollover my accrued, unused paid time off, and to have it available for use with the Company following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my employment.</w:t>
      </w:r>
    </w:p>
    <w:p>
      <w:pPr>
        <w:spacing w:after="0" w:line="67" w:lineRule="exact"/>
        <w:rPr>
          <w:sz w:val="20"/>
          <w:szCs w:val="20"/>
          <w:color w:val="auto"/>
        </w:rPr>
      </w:pPr>
    </w:p>
    <w:p>
      <w:pPr>
        <w:ind w:left="440" w:hanging="436"/>
        <w:spacing w:after="0" w:line="313" w:lineRule="auto"/>
        <w:tabs>
          <w:tab w:leader="none" w:pos="440" w:val="left"/>
        </w:tabs>
        <w:numPr>
          <w:ilvl w:val="0"/>
          <w:numId w:val="459"/>
        </w:numPr>
        <w:rPr>
          <w:rFonts w:ascii="MS PGothic" w:cs="MS PGothic" w:eastAsia="MS PGothic" w:hAnsi="MS PGothic"/>
          <w:sz w:val="17"/>
          <w:szCs w:val="17"/>
          <w:color w:val="auto"/>
        </w:rPr>
      </w:pPr>
      <w:r>
        <w:rPr>
          <w:rFonts w:ascii="Arial" w:cs="Arial" w:eastAsia="Arial" w:hAnsi="Arial"/>
          <w:sz w:val="17"/>
          <w:szCs w:val="17"/>
          <w:b w:val="1"/>
          <w:bCs w:val="1"/>
          <w:color w:val="auto"/>
        </w:rPr>
        <w:t>No Rollover</w:t>
      </w:r>
      <w:r>
        <w:rPr>
          <w:rFonts w:ascii="Arial" w:cs="Arial" w:eastAsia="Arial" w:hAnsi="Arial"/>
          <w:sz w:val="17"/>
          <w:szCs w:val="17"/>
          <w:color w:val="auto"/>
        </w:rPr>
        <w:t>. I do not want to rollover my accrued, unused paid time off, and understand that I will receive a payout of my accrued, unused paid</w:t>
      </w:r>
      <w:r>
        <w:rPr>
          <w:rFonts w:ascii="Arial" w:cs="Arial" w:eastAsia="Arial" w:hAnsi="Arial"/>
          <w:sz w:val="17"/>
          <w:szCs w:val="17"/>
          <w:b w:val="1"/>
          <w:bCs w:val="1"/>
          <w:color w:val="auto"/>
        </w:rPr>
        <w:t xml:space="preserve"> </w:t>
      </w:r>
      <w:r>
        <w:rPr>
          <w:rFonts w:ascii="Arial" w:cs="Arial" w:eastAsia="Arial" w:hAnsi="Arial"/>
          <w:sz w:val="17"/>
          <w:szCs w:val="17"/>
          <w:color w:val="auto"/>
        </w:rPr>
        <w:t>time off and I will not have any paid time off available immediately following the transfer of my employment to the Company.</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440" w:top="273" w:right="619" w:bottom="1440" w:gutter="0" w:footer="0" w:header="0"/>
        </w:sectPr>
      </w:pPr>
    </w:p>
    <w:bookmarkStart w:id="602" w:name="page603"/>
    <w:bookmarkEnd w:id="60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460" w:firstLine="441"/>
        <w:spacing w:after="0" w:line="259" w:lineRule="auto"/>
        <w:rPr>
          <w:sz w:val="20"/>
          <w:szCs w:val="20"/>
          <w:color w:val="auto"/>
        </w:rPr>
      </w:pPr>
      <w:r>
        <w:rPr>
          <w:rFonts w:ascii="Arial" w:cs="Arial" w:eastAsia="Arial" w:hAnsi="Arial"/>
          <w:sz w:val="18"/>
          <w:szCs w:val="18"/>
          <w:color w:val="auto"/>
        </w:rPr>
        <w:t>In consideration of the Termination Benefits (as defined in the Agreement) provided and to be provided to me by Gossamer Bio, Inc., or any affiliate or successor thereof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my Agreement with Company dated December 15, 2018 (the “</w:t>
      </w:r>
      <w:r>
        <w:rPr>
          <w:rFonts w:ascii="Arial" w:cs="Arial" w:eastAsia="Arial" w:hAnsi="Arial"/>
          <w:sz w:val="18"/>
          <w:szCs w:val="18"/>
          <w:u w:val="single" w:color="auto"/>
          <w:color w:val="auto"/>
        </w:rPr>
        <w:t>Agreement</w:t>
      </w:r>
      <w:r>
        <w:rPr>
          <w:rFonts w:ascii="Arial" w:cs="Arial" w:eastAsia="Arial" w:hAnsi="Arial"/>
          <w:sz w:val="18"/>
          <w:szCs w:val="18"/>
          <w:color w:val="auto"/>
        </w:rPr>
        <w:t>”), and in connection with the termination of my employment, the Company and I agree to the following, including a general release as specified below (the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87" w:lineRule="exact"/>
        <w:rPr>
          <w:sz w:val="20"/>
          <w:szCs w:val="20"/>
          <w:color w:val="auto"/>
        </w:rPr>
      </w:pPr>
    </w:p>
    <w:p>
      <w:pPr>
        <w:ind w:right="20" w:firstLine="885"/>
        <w:spacing w:after="0" w:line="286" w:lineRule="auto"/>
        <w:tabs>
          <w:tab w:leader="none" w:pos="119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causes of action, and liabilities up through the date of my execution of the Release (except with respect to Termination Benefits under the Agreement and any other rights that I have accrued under the employee benefit plans and equity award plans of the Company). The claims subject to this release include, but are not limited to, those relating to my employment with Company and/or any predecessor to the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74" w:lineRule="exact"/>
        <w:rPr>
          <w:rFonts w:ascii="Arial" w:cs="Arial" w:eastAsia="Arial" w:hAnsi="Arial"/>
          <w:sz w:val="16"/>
          <w:szCs w:val="16"/>
          <w:color w:val="auto"/>
        </w:rPr>
      </w:pPr>
    </w:p>
    <w:p>
      <w:pPr>
        <w:ind w:right="140" w:firstLine="885"/>
        <w:spacing w:after="0" w:line="277" w:lineRule="auto"/>
        <w:tabs>
          <w:tab w:leader="none" w:pos="119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parties agree to apply California law in interpreting the Release. Accordingly, I further waive any rights under Section 1542 of the Civil Code of the State of California or any similar state statute. Section 1542 states:</w:t>
      </w:r>
    </w:p>
    <w:p>
      <w:pPr>
        <w:spacing w:after="0" w:line="58" w:lineRule="exact"/>
        <w:rPr>
          <w:sz w:val="20"/>
          <w:szCs w:val="20"/>
          <w:color w:val="auto"/>
        </w:rPr>
      </w:pPr>
    </w:p>
    <w:p>
      <w:pPr>
        <w:ind w:left="880" w:right="260"/>
        <w:spacing w:after="0" w:line="347"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to him or her, must have materially affected his or her settlement with the debtor.”</w:t>
      </w:r>
    </w:p>
    <w:p>
      <w:pPr>
        <w:spacing w:after="0" w:line="12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This Release does not extend to, and has no effect upon, (a) any benefits that have previously accrued, and to which I have become vested or otherwise entitled to, under any agreement, employee benefit plan, program or policy sponsored or maintained by the Company; (b) my right to indemnification and/or contribution, advancement or payment of related expenses by the Company under any written indemnification or other agreement between the parties; (c) my right to continued coverage by the Company’s director’s and officer’s insurance, other insurance policies of the Company, COBRA or any similar state law; (d) any claims for breach of this Release or the Agreement; (e) any claims that may not be released by private agreement; and (f) any claims arising after the date I sign the Release.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603" w:name="page604"/>
    <w:bookmarkEnd w:id="603"/>
    <w:p>
      <w:pPr>
        <w:ind w:firstLine="885"/>
        <w:spacing w:after="0" w:line="287" w:lineRule="auto"/>
        <w:tabs>
          <w:tab w:leader="none" w:pos="1196" w:val="left"/>
        </w:tabs>
        <w:numPr>
          <w:ilvl w:val="0"/>
          <w:numId w:val="4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 (a) my rights under applicable workers’ compensation laws; (b) my right, if any, to seek state disability or unemployment benefits; (c) my right to indemnity under California Labor Code section 2802 or other applicable state-law right to indemnity; (d) my right to file a charge or complaint with a government agency such as but not limited to the Equal Employment Opportunity Commission, the National Labor Relations Board, the Department of Labor, the California Department of Fair Employment and Housing, or other applicable state agency; and (e) my right to communicate or cooperate with any governmental agency and to receive awards from or by a government agency for providing information.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72" w:lineRule="exact"/>
        <w:rPr>
          <w:rFonts w:ascii="Arial" w:cs="Arial" w:eastAsia="Arial" w:hAnsi="Arial"/>
          <w:sz w:val="16"/>
          <w:szCs w:val="16"/>
          <w:color w:val="auto"/>
        </w:rPr>
      </w:pPr>
    </w:p>
    <w:p>
      <w:pPr>
        <w:jc w:val="both"/>
        <w:ind w:right="20" w:firstLine="885"/>
        <w:spacing w:after="0" w:line="264" w:lineRule="auto"/>
        <w:tabs>
          <w:tab w:leader="none" w:pos="119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paid time off, less applicable withholdings and deductions, earned through my termination date.</w:t>
      </w:r>
    </w:p>
    <w:p>
      <w:pPr>
        <w:spacing w:after="0" w:line="181" w:lineRule="exact"/>
        <w:rPr>
          <w:rFonts w:ascii="Arial" w:cs="Arial" w:eastAsia="Arial" w:hAnsi="Arial"/>
          <w:sz w:val="18"/>
          <w:szCs w:val="18"/>
          <w:color w:val="auto"/>
        </w:rPr>
      </w:pPr>
    </w:p>
    <w:p>
      <w:pPr>
        <w:ind w:right="20" w:firstLine="885"/>
        <w:spacing w:after="0" w:line="291" w:lineRule="auto"/>
        <w:tabs>
          <w:tab w:leader="none" w:pos="1196"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67" w:lineRule="exact"/>
        <w:rPr>
          <w:rFonts w:ascii="Arial" w:cs="Arial" w:eastAsia="Arial" w:hAnsi="Arial"/>
          <w:sz w:val="16"/>
          <w:szCs w:val="16"/>
          <w:color w:val="auto"/>
        </w:rPr>
      </w:pPr>
    </w:p>
    <w:p>
      <w:pPr>
        <w:ind w:right="60" w:firstLine="885"/>
        <w:spacing w:after="0" w:line="277" w:lineRule="auto"/>
        <w:tabs>
          <w:tab w:leader="none" w:pos="119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70" w:lineRule="exact"/>
        <w:rPr>
          <w:rFonts w:ascii="Arial" w:cs="Arial" w:eastAsia="Arial" w:hAnsi="Arial"/>
          <w:sz w:val="18"/>
          <w:szCs w:val="18"/>
          <w:color w:val="auto"/>
        </w:rPr>
      </w:pPr>
    </w:p>
    <w:p>
      <w:pPr>
        <w:ind w:firstLine="885"/>
        <w:spacing w:after="0" w:line="293" w:lineRule="auto"/>
        <w:tabs>
          <w:tab w:leader="none" w:pos="1196"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Agreement shall prohibit me from reporting or disclosing information under the terms of the Company’s Reporting Suspected Violations of Law Policy or such similar policy as the Company may have in effect from time to time.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04" w:name="page605"/>
    <w:bookmarkEnd w:id="604"/>
    <w:p>
      <w:pPr>
        <w:ind w:right="540" w:firstLine="885"/>
        <w:spacing w:after="0" w:line="277" w:lineRule="auto"/>
        <w:tabs>
          <w:tab w:leader="none" w:pos="1196" w:val="left"/>
        </w:tabs>
        <w:numPr>
          <w:ilvl w:val="0"/>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and agree that the Release will not be construed at any time as an admission of liability or wrongdoing by either the Company Releasees or me.</w:t>
      </w:r>
    </w:p>
    <w:p>
      <w:pPr>
        <w:spacing w:after="0" w:line="170" w:lineRule="exact"/>
        <w:rPr>
          <w:rFonts w:ascii="Arial" w:cs="Arial" w:eastAsia="Arial" w:hAnsi="Arial"/>
          <w:sz w:val="18"/>
          <w:szCs w:val="18"/>
          <w:color w:val="auto"/>
        </w:rPr>
      </w:pPr>
    </w:p>
    <w:p>
      <w:pPr>
        <w:ind w:firstLine="885"/>
        <w:spacing w:after="0" w:line="257" w:lineRule="auto"/>
        <w:tabs>
          <w:tab w:leader="none" w:pos="119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the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88" w:lineRule="exact"/>
        <w:rPr>
          <w:rFonts w:ascii="Arial" w:cs="Arial" w:eastAsia="Arial" w:hAnsi="Arial"/>
          <w:sz w:val="18"/>
          <w:szCs w:val="18"/>
          <w:color w:val="auto"/>
        </w:rPr>
      </w:pPr>
    </w:p>
    <w:p>
      <w:pPr>
        <w:ind w:right="360" w:firstLine="885"/>
        <w:spacing w:after="0" w:line="342" w:lineRule="auto"/>
        <w:tabs>
          <w:tab w:leader="none" w:pos="1277"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Any controversy or claim arising out of or relating this Release, its enforcement or interpretation, or because of an alleged breach, default or misrepresentation in connection with any of its provisions, will be submitted to arbitration consistent with the terms of the Agreement.</w:t>
      </w:r>
    </w:p>
    <w:p>
      <w:pPr>
        <w:spacing w:after="0" w:line="123" w:lineRule="exact"/>
        <w:rPr>
          <w:rFonts w:ascii="Arial" w:cs="Arial" w:eastAsia="Arial" w:hAnsi="Arial"/>
          <w:sz w:val="16"/>
          <w:szCs w:val="16"/>
          <w:color w:val="auto"/>
        </w:rPr>
      </w:pPr>
    </w:p>
    <w:p>
      <w:pPr>
        <w:ind w:right="20" w:firstLine="885"/>
        <w:spacing w:after="0" w:line="269" w:lineRule="auto"/>
        <w:tabs>
          <w:tab w:leader="none" w:pos="127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left="1280" w:hanging="395"/>
        <w:spacing w:after="0"/>
        <w:tabs>
          <w:tab w:leader="none" w:pos="12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As provided in the Older Workers Benefit Protection Act, I am hereby advised and agree that:</w:t>
      </w:r>
    </w:p>
    <w:p>
      <w:pPr>
        <w:spacing w:after="0" w:line="117" w:lineRule="exact"/>
        <w:rPr>
          <w:rFonts w:ascii="Arial" w:cs="Arial" w:eastAsia="Arial" w:hAnsi="Arial"/>
          <w:sz w:val="18"/>
          <w:szCs w:val="18"/>
          <w:color w:val="auto"/>
        </w:rPr>
      </w:pPr>
    </w:p>
    <w:p>
      <w:pPr>
        <w:ind w:right="120" w:firstLine="1436"/>
        <w:spacing w:after="0" w:line="257" w:lineRule="auto"/>
        <w:tabs>
          <w:tab w:leader="none" w:pos="181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 have had at least twenty-one (21) calendar days in which to consider whether to execute the Release, no one hurried me into executing the Release during that period and no one coerced me into executing the Release. If I signed this Release prior to the expiration of the twenty-one (21) day period, I did so voluntarily and waive the balance of the twenty-one (21) day period. I understand that the offer of the Termination Benefits and the Release will expire on the twenty-second (22nd) calendar day after my employment termination date if I have not accepted it by that time.</w:t>
      </w:r>
    </w:p>
    <w:p>
      <w:pPr>
        <w:spacing w:after="0" w:line="188" w:lineRule="exact"/>
        <w:rPr>
          <w:rFonts w:ascii="Arial" w:cs="Arial" w:eastAsia="Arial" w:hAnsi="Arial"/>
          <w:sz w:val="18"/>
          <w:szCs w:val="18"/>
          <w:color w:val="auto"/>
        </w:rPr>
      </w:pPr>
    </w:p>
    <w:p>
      <w:pPr>
        <w:ind w:left="1820" w:hanging="384"/>
        <w:spacing w:after="0"/>
        <w:tabs>
          <w:tab w:leader="none" w:pos="182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 am hereby advised to consult with a lawyer before signing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This Release provides for consideration in addition to any amount I am otherwise entitled to receive without signing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605" w:name="page606"/>
    <w:bookmarkEnd w:id="605"/>
    <w:p>
      <w:pPr>
        <w:ind w:left="1760" w:hanging="384"/>
        <w:spacing w:after="0"/>
        <w:tabs>
          <w:tab w:leader="none" w:pos="1760" w:val="left"/>
        </w:tabs>
        <w:numPr>
          <w:ilvl w:val="1"/>
          <w:numId w:val="4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Release does not release any claims arising out of events occurring after I sign this Release</w:t>
      </w:r>
    </w:p>
    <w:p>
      <w:pPr>
        <w:spacing w:after="0" w:line="225" w:lineRule="exact"/>
        <w:rPr>
          <w:rFonts w:ascii="Arial" w:cs="Arial" w:eastAsia="Arial" w:hAnsi="Arial"/>
          <w:sz w:val="18"/>
          <w:szCs w:val="18"/>
          <w:color w:val="auto"/>
        </w:rPr>
      </w:pPr>
    </w:p>
    <w:p>
      <w:pPr>
        <w:ind w:left="-60" w:right="200" w:firstLine="1436"/>
        <w:spacing w:after="0" w:line="257" w:lineRule="auto"/>
        <w:tabs>
          <w:tab w:leader="none" w:pos="17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I may revoke this Agreement within the seven (7) day period following the date on which I signed this Release. I understand that if I revoke this release, the Company will not be obligated to provide the Termination Benefits.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and have not timely revoked it. I understand that the Termination Benefits will become available to me at such time after the Release Effective Date.</w:t>
      </w:r>
    </w:p>
    <w:p>
      <w:pPr>
        <w:spacing w:after="0" w:line="188" w:lineRule="exact"/>
        <w:rPr>
          <w:rFonts w:ascii="Arial" w:cs="Arial" w:eastAsia="Arial" w:hAnsi="Arial"/>
          <w:sz w:val="18"/>
          <w:szCs w:val="18"/>
          <w:color w:val="auto"/>
        </w:rPr>
      </w:pPr>
    </w:p>
    <w:p>
      <w:pPr>
        <w:ind w:left="-60" w:right="20" w:firstLine="885"/>
        <w:spacing w:after="0" w:line="272" w:lineRule="auto"/>
        <w:tabs>
          <w:tab w:leader="none" w:pos="122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Agreement, confidential information and invention assignment agreement, and any stock, stock option and/or stock purchase agreements between Company and me. Once effective and enforceable, this Release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left="-60" w:firstLine="885"/>
        <w:spacing w:after="0" w:line="255" w:lineRule="auto"/>
        <w:tabs>
          <w:tab w:leader="none" w:pos="122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 that I have obtained sufficient information to intelligently exercise my own judgment regarding the terms of the Release before executing the Release.</w:t>
      </w:r>
    </w:p>
    <w:p>
      <w:pPr>
        <w:spacing w:after="0" w:line="193" w:lineRule="exact"/>
        <w:rPr>
          <w:rFonts w:ascii="Arial" w:cs="Arial" w:eastAsia="Arial" w:hAnsi="Arial"/>
          <w:sz w:val="18"/>
          <w:szCs w:val="18"/>
          <w:color w:val="auto"/>
        </w:rPr>
      </w:pPr>
    </w:p>
    <w:p>
      <w:pPr>
        <w:ind w:left="-60" w:right="460" w:firstLine="885"/>
        <w:spacing w:after="0" w:line="277" w:lineRule="auto"/>
        <w:tabs>
          <w:tab w:leader="none" w:pos="122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Agreement.</w:t>
      </w:r>
    </w:p>
    <w:p>
      <w:pPr>
        <w:spacing w:after="0" w:line="170" w:lineRule="exact"/>
        <w:rPr>
          <w:rFonts w:ascii="Arial" w:cs="Arial" w:eastAsia="Arial" w:hAnsi="Arial"/>
          <w:sz w:val="18"/>
          <w:szCs w:val="18"/>
          <w:color w:val="auto"/>
        </w:rPr>
      </w:pPr>
    </w:p>
    <w:p>
      <w:pPr>
        <w:ind w:left="-60" w:right="260" w:firstLine="885"/>
        <w:spacing w:after="0" w:line="277" w:lineRule="auto"/>
        <w:tabs>
          <w:tab w:leader="none" w:pos="122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left="-60" w:right="80" w:firstLine="885"/>
        <w:spacing w:after="0" w:line="277" w:lineRule="auto"/>
        <w:tabs>
          <w:tab w:leader="none" w:pos="122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500" w:top="274" w:right="479" w:bottom="1440" w:gutter="0" w:footer="0" w:header="0"/>
        </w:sectPr>
      </w:pPr>
    </w:p>
    <w:bookmarkStart w:id="606" w:name="page607"/>
    <w:bookmarkEnd w:id="606"/>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256" w:lineRule="exact"/>
        <w:rPr>
          <w:sz w:val="20"/>
          <w:szCs w:val="20"/>
          <w:color w:val="auto"/>
        </w:rPr>
      </w:pPr>
    </w:p>
    <w:p>
      <w:pPr>
        <w:ind w:left="6620"/>
        <w:spacing w:after="0"/>
        <w:tabs>
          <w:tab w:leader="none" w:pos="7840" w:val="left"/>
          <w:tab w:leader="none" w:pos="8880" w:val="left"/>
        </w:tabs>
        <w:rPr>
          <w:sz w:val="20"/>
          <w:szCs w:val="20"/>
          <w:color w:val="auto"/>
        </w:rPr>
      </w:pPr>
      <w:r>
        <w:rPr>
          <w:rFonts w:ascii="Arial" w:cs="Arial" w:eastAsia="Arial" w:hAnsi="Arial"/>
          <w:sz w:val="18"/>
          <w:szCs w:val="18"/>
          <w:color w:val="auto"/>
        </w:rPr>
        <w:t>Executed this</w:t>
        <w:tab/>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60"/>
          </w:cols>
          <w:pgMar w:left="440" w:top="270" w:right="699" w:bottom="1440" w:gutter="0" w:footer="0" w:header="0"/>
        </w:sectPr>
      </w:pPr>
    </w:p>
    <w:bookmarkStart w:id="607" w:name="page608"/>
    <w:bookmarkEnd w:id="60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273" w:right="1440" w:bottom="1440" w:gutter="0" w:footer="0" w:header="0"/>
        </w:sectPr>
      </w:pPr>
    </w:p>
    <w:bookmarkStart w:id="608" w:name="page609"/>
    <w:bookmarkEnd w:id="6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the Company’s parent, Gossamer Bio, Inc.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Parent’s subsidiaries, and any other entity in which I am asked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provide services for, and each of their respective successors and assigns), which is a material part of the consideration for my employment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continued employment by the Company:</w:t>
      </w:r>
    </w:p>
    <w:p>
      <w:pPr>
        <w:spacing w:after="0" w:line="207" w:lineRule="exact"/>
        <w:rPr>
          <w:sz w:val="20"/>
          <w:szCs w:val="20"/>
          <w:color w:val="auto"/>
        </w:rPr>
      </w:pPr>
    </w:p>
    <w:p>
      <w:pPr>
        <w:ind w:left="760" w:hanging="316"/>
        <w:spacing w:after="0"/>
        <w:tabs>
          <w:tab w:leader="none" w:pos="760" w:val="left"/>
        </w:tabs>
        <w:numPr>
          <w:ilvl w:val="0"/>
          <w:numId w:val="465"/>
        </w:numPr>
        <w:rPr>
          <w:rFonts w:ascii="Arial" w:cs="Arial" w:eastAsia="Arial" w:hAnsi="Arial"/>
          <w:sz w:val="17"/>
          <w:szCs w:val="17"/>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w:t>
      </w:r>
    </w:p>
    <w:p>
      <w:pPr>
        <w:spacing w:after="0" w:line="38"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Company 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77" w:lineRule="exact"/>
        <w:rPr>
          <w:rFonts w:ascii="Arial" w:cs="Arial" w:eastAsia="Arial" w:hAnsi="Arial"/>
          <w:sz w:val="17"/>
          <w:szCs w:val="17"/>
          <w:color w:val="auto"/>
        </w:rPr>
      </w:pPr>
    </w:p>
    <w:p>
      <w:pPr>
        <w:ind w:right="460" w:firstLine="444"/>
        <w:spacing w:after="0" w:line="282" w:lineRule="auto"/>
        <w:tabs>
          <w:tab w:leader="none" w:pos="756"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I hereby agree as follows:</w:t>
      </w:r>
    </w:p>
    <w:p>
      <w:pPr>
        <w:spacing w:after="0" w:line="161" w:lineRule="exact"/>
        <w:rPr>
          <w:rFonts w:ascii="Arial" w:cs="Arial" w:eastAsia="Arial" w:hAnsi="Arial"/>
          <w:sz w:val="18"/>
          <w:szCs w:val="18"/>
          <w:color w:val="auto"/>
        </w:rPr>
      </w:pPr>
    </w:p>
    <w:p>
      <w:pPr>
        <w:jc w:val="both"/>
        <w:ind w:right="280" w:firstLine="885"/>
        <w:spacing w:after="0" w:line="266" w:lineRule="auto"/>
        <w:tabs>
          <w:tab w:leader="none" w:pos="1261" w:val="left"/>
        </w:tabs>
        <w:numPr>
          <w:ilvl w:val="1"/>
          <w:numId w:val="465"/>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trust and will not use or disclose any Proprietary Information or anything relating to it without the written consent of the Company, except as may be necessary in the ordinary course of performing my duties to the Company.</w:t>
      </w:r>
    </w:p>
    <w:p>
      <w:pPr>
        <w:spacing w:after="0" w:line="176" w:lineRule="exact"/>
        <w:rPr>
          <w:rFonts w:ascii="Arial" w:cs="Arial" w:eastAsia="Arial" w:hAnsi="Arial"/>
          <w:sz w:val="18"/>
          <w:szCs w:val="18"/>
          <w:color w:val="auto"/>
        </w:rPr>
      </w:pPr>
    </w:p>
    <w:p>
      <w:pPr>
        <w:ind w:right="40" w:firstLine="885"/>
        <w:spacing w:after="0" w:line="255" w:lineRule="auto"/>
        <w:tabs>
          <w:tab w:leader="none" w:pos="1271" w:val="left"/>
        </w:tabs>
        <w:numPr>
          <w:ilvl w:val="1"/>
          <w:numId w:val="465"/>
        </w:numPr>
        <w:rPr>
          <w:rFonts w:ascii="Arial" w:cs="Arial" w:eastAsia="Arial" w:hAnsi="Arial"/>
          <w:sz w:val="18"/>
          <w:szCs w:val="18"/>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69" w:right="459" w:bottom="1440" w:gutter="0" w:footer="0" w:header="0"/>
        </w:sectPr>
      </w:pPr>
    </w:p>
    <w:bookmarkStart w:id="609" w:name="page610"/>
    <w:bookmarkEnd w:id="609"/>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166" w:lineRule="exact"/>
        <w:rPr>
          <w:sz w:val="20"/>
          <w:szCs w:val="20"/>
          <w:color w:val="auto"/>
        </w:rPr>
      </w:pPr>
    </w:p>
    <w:p>
      <w:pPr>
        <w:jc w:val="both"/>
        <w:ind w:right="80" w:firstLine="885"/>
        <w:spacing w:after="0" w:line="261" w:lineRule="auto"/>
        <w:tabs>
          <w:tab w:leader="none" w:pos="1261" w:val="left"/>
        </w:tabs>
        <w:numPr>
          <w:ilvl w:val="1"/>
          <w:numId w:val="466"/>
        </w:numPr>
        <w:rPr>
          <w:rFonts w:ascii="Arial" w:cs="Arial" w:eastAsia="Arial" w:hAnsi="Arial"/>
          <w:sz w:val="18"/>
          <w:szCs w:val="18"/>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return 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rFonts w:ascii="Arial" w:cs="Arial" w:eastAsia="Arial" w:hAnsi="Arial"/>
          <w:sz w:val="18"/>
          <w:szCs w:val="18"/>
          <w:color w:val="auto"/>
        </w:rPr>
      </w:pPr>
    </w:p>
    <w:p>
      <w:pPr>
        <w:ind w:right="100" w:firstLine="885"/>
        <w:spacing w:after="0" w:line="289" w:lineRule="auto"/>
        <w:tabs>
          <w:tab w:leader="none" w:pos="1271" w:val="left"/>
        </w:tabs>
        <w:numPr>
          <w:ilvl w:val="1"/>
          <w:numId w:val="466"/>
        </w:numPr>
        <w:rPr>
          <w:rFonts w:ascii="Arial" w:cs="Arial" w:eastAsia="Arial" w:hAnsi="Arial"/>
          <w:sz w:val="16"/>
          <w:szCs w:val="16"/>
          <w:color w:val="auto"/>
        </w:rPr>
      </w:pPr>
      <w:r>
        <w:rPr>
          <w:rFonts w:ascii="Arial" w:cs="Arial" w:eastAsia="Arial" w:hAnsi="Arial"/>
          <w:sz w:val="16"/>
          <w:szCs w:val="16"/>
          <w:b w:val="1"/>
          <w:bCs w:val="1"/>
          <w:color w:val="auto"/>
        </w:rPr>
        <w:t xml:space="preserve">Disclosure of Inventions. </w:t>
      </w:r>
      <w:r>
        <w:rPr>
          <w:rFonts w:ascii="Arial" w:cs="Arial" w:eastAsia="Arial" w:hAnsi="Arial"/>
          <w:sz w:val="16"/>
          <w:szCs w:val="16"/>
          <w:color w:val="auto"/>
        </w:rPr>
        <w:t>I will promptly disclose to the Company, or any persons designated by it, all Inventions made or conceived</w:t>
      </w:r>
      <w:r>
        <w:rPr>
          <w:rFonts w:ascii="Arial" w:cs="Arial" w:eastAsia="Arial" w:hAnsi="Arial"/>
          <w:sz w:val="16"/>
          <w:szCs w:val="16"/>
          <w:b w:val="1"/>
          <w:bCs w:val="1"/>
          <w:color w:val="auto"/>
        </w:rPr>
        <w:t xml:space="preserve"> </w:t>
      </w:r>
      <w:r>
        <w:rPr>
          <w:rFonts w:ascii="Arial" w:cs="Arial" w:eastAsia="Arial" w:hAnsi="Arial"/>
          <w:sz w:val="16"/>
          <w:szCs w:val="16"/>
          <w:color w:val="auto"/>
        </w:rPr>
        <w:t>or 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w:t>
      </w:r>
    </w:p>
    <w:p>
      <w:pPr>
        <w:spacing w:after="0" w:line="1"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rFonts w:ascii="Arial" w:cs="Arial" w:eastAsia="Arial" w:hAnsi="Arial"/>
          <w:sz w:val="16"/>
          <w:szCs w:val="16"/>
          <w:color w:val="auto"/>
        </w:rPr>
      </w:pPr>
    </w:p>
    <w:p>
      <w:pPr>
        <w:ind w:right="60" w:firstLine="885"/>
        <w:spacing w:after="0" w:line="285" w:lineRule="auto"/>
        <w:tabs>
          <w:tab w:leader="none" w:pos="1261" w:val="left"/>
        </w:tabs>
        <w:numPr>
          <w:ilvl w:val="1"/>
          <w:numId w:val="466"/>
        </w:numPr>
        <w:rPr>
          <w:rFonts w:ascii="Arial" w:cs="Arial" w:eastAsia="Arial" w:hAnsi="Arial"/>
          <w:sz w:val="16"/>
          <w:szCs w:val="16"/>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3" w:lineRule="exact"/>
        <w:rPr>
          <w:rFonts w:ascii="Arial" w:cs="Arial" w:eastAsia="Arial" w:hAnsi="Arial"/>
          <w:sz w:val="16"/>
          <w:szCs w:val="16"/>
          <w:color w:val="auto"/>
        </w:rPr>
      </w:pPr>
    </w:p>
    <w:p>
      <w:pPr>
        <w:jc w:val="both"/>
        <w:ind w:firstLine="4"/>
        <w:spacing w:after="0" w:line="273" w:lineRule="auto"/>
        <w:tabs>
          <w:tab w:leader="none" w:pos="24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2" w:lineRule="exact"/>
        <w:rPr>
          <w:rFonts w:ascii="Arial" w:cs="Arial" w:eastAsia="Arial" w:hAnsi="Arial"/>
          <w:sz w:val="17"/>
          <w:szCs w:val="17"/>
          <w:color w:val="auto"/>
        </w:rPr>
      </w:pPr>
    </w:p>
    <w:p>
      <w:pPr>
        <w:ind w:right="60" w:firstLine="885"/>
        <w:spacing w:after="0" w:line="295" w:lineRule="auto"/>
        <w:tabs>
          <w:tab w:leader="none" w:pos="1241" w:val="left"/>
        </w:tabs>
        <w:numPr>
          <w:ilvl w:val="1"/>
          <w:numId w:val="467"/>
        </w:numPr>
        <w:rPr>
          <w:rFonts w:ascii="Arial" w:cs="Arial" w:eastAsia="Arial" w:hAnsi="Arial"/>
          <w:sz w:val="16"/>
          <w:szCs w:val="16"/>
          <w:color w:val="auto"/>
        </w:rPr>
      </w:pPr>
      <w:r>
        <w:rPr>
          <w:rFonts w:ascii="Arial" w:cs="Arial" w:eastAsia="Arial" w:hAnsi="Arial"/>
          <w:sz w:val="16"/>
          <w:szCs w:val="16"/>
          <w:b w:val="1"/>
          <w:bCs w:val="1"/>
          <w:color w:val="auto"/>
        </w:rPr>
        <w:t xml:space="preserve">Assignment of Moral Rights. </w:t>
      </w:r>
      <w:r>
        <w:rPr>
          <w:rFonts w:ascii="Arial" w:cs="Arial" w:eastAsia="Arial" w:hAnsi="Arial"/>
          <w:sz w:val="16"/>
          <w:szCs w:val="16"/>
          <w:color w:val="auto"/>
        </w:rPr>
        <w:t>In addition to the foregoing assignment of Inventions to the Company, I hereby irrevocably transfer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55" w:lineRule="exact"/>
        <w:rPr>
          <w:rFonts w:ascii="Arial" w:cs="Arial" w:eastAsia="Arial" w:hAnsi="Arial"/>
          <w:sz w:val="16"/>
          <w:szCs w:val="16"/>
          <w:color w:val="auto"/>
        </w:rPr>
      </w:pPr>
    </w:p>
    <w:p>
      <w:pPr>
        <w:ind w:right="540" w:firstLine="885"/>
        <w:spacing w:after="0" w:line="347" w:lineRule="auto"/>
        <w:tabs>
          <w:tab w:leader="none" w:pos="1271" w:val="left"/>
        </w:tabs>
        <w:numPr>
          <w:ilvl w:val="1"/>
          <w:numId w:val="467"/>
        </w:numPr>
        <w:rPr>
          <w:rFonts w:ascii="Arial" w:cs="Arial" w:eastAsia="Arial" w:hAnsi="Arial"/>
          <w:sz w:val="16"/>
          <w:szCs w:val="16"/>
          <w:color w:val="auto"/>
        </w:rPr>
      </w:pPr>
      <w:r>
        <w:rPr>
          <w:rFonts w:ascii="Arial" w:cs="Arial" w:eastAsia="Arial" w:hAnsi="Arial"/>
          <w:sz w:val="16"/>
          <w:szCs w:val="16"/>
          <w:b w:val="1"/>
          <w:bCs w:val="1"/>
          <w:color w:val="auto"/>
        </w:rPr>
        <w:t>Work for Hire</w:t>
      </w:r>
      <w:r>
        <w:rPr>
          <w:rFonts w:ascii="Arial" w:cs="Arial" w:eastAsia="Arial" w:hAnsi="Arial"/>
          <w:sz w:val="16"/>
          <w:szCs w:val="16"/>
          <w:color w:val="auto"/>
        </w:rPr>
        <w:t>. I acknowledge and agree that any copyrightable works prepared by me within the scope of my employment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“works for hire” under the Copyright Act and that the Company will be considered the author and owner of such copyrightable works.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5" w:right="439" w:bottom="1440" w:gutter="0" w:footer="0" w:header="0"/>
        </w:sectPr>
      </w:pPr>
    </w:p>
    <w:bookmarkStart w:id="610" w:name="page611"/>
    <w:bookmarkEnd w:id="610"/>
    <w:p>
      <w:pPr>
        <w:ind w:firstLine="885"/>
        <w:spacing w:after="0" w:line="272" w:lineRule="auto"/>
        <w:tabs>
          <w:tab w:leader="none" w:pos="1271" w:val="left"/>
        </w:tabs>
        <w:numPr>
          <w:ilvl w:val="0"/>
          <w:numId w:val="46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rFonts w:ascii="Arial" w:cs="Arial" w:eastAsia="Arial" w:hAnsi="Arial"/>
          <w:sz w:val="17"/>
          <w:szCs w:val="17"/>
          <w:color w:val="auto"/>
        </w:rPr>
      </w:pPr>
    </w:p>
    <w:p>
      <w:pPr>
        <w:ind w:right="20" w:firstLine="885"/>
        <w:spacing w:after="0" w:line="272" w:lineRule="auto"/>
        <w:tabs>
          <w:tab w:leader="none" w:pos="1231" w:val="left"/>
        </w:tabs>
        <w:numPr>
          <w:ilvl w:val="0"/>
          <w:numId w:val="468"/>
        </w:numPr>
        <w:rPr>
          <w:rFonts w:ascii="Arial" w:cs="Arial" w:eastAsia="Arial" w:hAnsi="Arial"/>
          <w:sz w:val="17"/>
          <w:szCs w:val="17"/>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desirable 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rFonts w:ascii="Arial" w:cs="Arial" w:eastAsia="Arial" w:hAnsi="Arial"/>
          <w:sz w:val="17"/>
          <w:szCs w:val="17"/>
          <w:color w:val="auto"/>
        </w:rPr>
      </w:pPr>
    </w:p>
    <w:p>
      <w:pPr>
        <w:ind w:firstLine="885"/>
        <w:spacing w:after="0" w:line="266" w:lineRule="auto"/>
        <w:tabs>
          <w:tab w:leader="none" w:pos="1231"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rFonts w:ascii="Arial" w:cs="Arial" w:eastAsia="Arial" w:hAnsi="Arial"/>
          <w:sz w:val="18"/>
          <w:szCs w:val="18"/>
          <w:color w:val="auto"/>
        </w:rPr>
      </w:pPr>
    </w:p>
    <w:p>
      <w:pPr>
        <w:ind w:firstLine="885"/>
        <w:spacing w:after="0" w:line="255" w:lineRule="auto"/>
        <w:tabs>
          <w:tab w:leader="none" w:pos="1271"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rFonts w:ascii="Arial" w:cs="Arial" w:eastAsia="Arial" w:hAnsi="Arial"/>
          <w:sz w:val="18"/>
          <w:szCs w:val="18"/>
          <w:color w:val="auto"/>
        </w:rPr>
      </w:pPr>
    </w:p>
    <w:p>
      <w:pPr>
        <w:ind w:right="100" w:firstLine="885"/>
        <w:spacing w:after="0" w:line="256" w:lineRule="auto"/>
        <w:tabs>
          <w:tab w:leader="none" w:pos="1231"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or 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611" w:name="page612"/>
    <w:bookmarkEnd w:id="611"/>
    <w:p>
      <w:pPr>
        <w:ind w:left="-60" w:firstLine="885"/>
        <w:spacing w:after="0" w:line="261" w:lineRule="auto"/>
        <w:tabs>
          <w:tab w:leader="none" w:pos="1261" w:val="left"/>
        </w:tabs>
        <w:numPr>
          <w:ilvl w:val="1"/>
          <w:numId w:val="4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Conflicting Obligations. </w:t>
      </w:r>
      <w:r>
        <w:rPr>
          <w:rFonts w:ascii="Arial" w:cs="Arial" w:eastAsia="Arial" w:hAnsi="Arial"/>
          <w:sz w:val="18"/>
          <w:szCs w:val="18"/>
          <w:color w:val="auto"/>
        </w:rPr>
        <w:t>I represent that my performance of all the terms of this Agreement will not breach any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keep in confidence proprietary information acquired by me in confidence or in trust prior to my employment with the Company. I have not entered into, and I agree I will not enter into, any agreement either written or oral in conflict with this Agreement or in conflict with my employment with the Company.</w:t>
      </w:r>
    </w:p>
    <w:p>
      <w:pPr>
        <w:spacing w:after="0" w:line="180" w:lineRule="exact"/>
        <w:rPr>
          <w:rFonts w:ascii="Arial" w:cs="Arial" w:eastAsia="Arial" w:hAnsi="Arial"/>
          <w:sz w:val="18"/>
          <w:szCs w:val="18"/>
          <w:color w:val="auto"/>
        </w:rPr>
      </w:pPr>
    </w:p>
    <w:p>
      <w:pPr>
        <w:ind w:left="-60" w:firstLine="885"/>
        <w:spacing w:after="0" w:line="255" w:lineRule="auto"/>
        <w:tabs>
          <w:tab w:leader="none" w:pos="1211" w:val="left"/>
        </w:tabs>
        <w:numPr>
          <w:ilvl w:val="1"/>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rFonts w:ascii="Arial" w:cs="Arial" w:eastAsia="Arial" w:hAnsi="Arial"/>
          <w:sz w:val="18"/>
          <w:szCs w:val="18"/>
          <w:color w:val="auto"/>
        </w:rPr>
      </w:pPr>
    </w:p>
    <w:p>
      <w:pPr>
        <w:ind w:left="-60" w:right="160" w:firstLine="885"/>
        <w:spacing w:after="0" w:line="282" w:lineRule="auto"/>
        <w:tabs>
          <w:tab w:leader="none" w:pos="1211" w:val="left"/>
        </w:tabs>
        <w:numPr>
          <w:ilvl w:val="1"/>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161" w:lineRule="exact"/>
        <w:rPr>
          <w:rFonts w:ascii="Arial" w:cs="Arial" w:eastAsia="Arial" w:hAnsi="Arial"/>
          <w:sz w:val="18"/>
          <w:szCs w:val="18"/>
          <w:color w:val="auto"/>
        </w:rPr>
      </w:pPr>
    </w:p>
    <w:p>
      <w:pPr>
        <w:ind w:left="700" w:hanging="316"/>
        <w:spacing w:after="0"/>
        <w:tabs>
          <w:tab w:leader="none" w:pos="70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0" w:firstLine="885"/>
        <w:spacing w:after="0" w:line="266" w:lineRule="auto"/>
        <w:tabs>
          <w:tab w:leader="none" w:pos="1201"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ind w:left="-60" w:firstLine="885"/>
        <w:spacing w:after="0" w:line="281" w:lineRule="auto"/>
        <w:tabs>
          <w:tab w:leader="none" w:pos="1211" w:val="left"/>
        </w:tabs>
        <w:numPr>
          <w:ilvl w:val="1"/>
          <w:numId w:val="470"/>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4" w:lineRule="exact"/>
        <w:rPr>
          <w:rFonts w:ascii="Arial" w:cs="Arial" w:eastAsia="Arial" w:hAnsi="Arial"/>
          <w:sz w:val="17"/>
          <w:szCs w:val="17"/>
          <w:color w:val="auto"/>
        </w:rPr>
      </w:pPr>
    </w:p>
    <w:p>
      <w:pPr>
        <w:ind w:left="-60" w:right="20" w:firstLine="885"/>
        <w:spacing w:after="0" w:line="282" w:lineRule="auto"/>
        <w:tabs>
          <w:tab w:leader="none" w:pos="1201"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any successor in interest or other assignee.</w:t>
      </w:r>
    </w:p>
    <w:p>
      <w:pPr>
        <w:spacing w:after="0" w:line="161" w:lineRule="exact"/>
        <w:rPr>
          <w:rFonts w:ascii="Arial" w:cs="Arial" w:eastAsia="Arial" w:hAnsi="Arial"/>
          <w:sz w:val="18"/>
          <w:szCs w:val="18"/>
          <w:color w:val="auto"/>
        </w:rPr>
      </w:pPr>
    </w:p>
    <w:p>
      <w:pPr>
        <w:ind w:left="-60" w:right="160" w:firstLine="885"/>
        <w:spacing w:after="0" w:line="261" w:lineRule="auto"/>
        <w:tabs>
          <w:tab w:leader="none" w:pos="1211"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rFonts w:ascii="Arial" w:cs="Arial" w:eastAsia="Arial" w:hAnsi="Arial"/>
          <w:sz w:val="18"/>
          <w:szCs w:val="18"/>
          <w:color w:val="auto"/>
        </w:rPr>
      </w:pPr>
    </w:p>
    <w:p>
      <w:pPr>
        <w:jc w:val="both"/>
        <w:ind w:left="-60" w:right="80" w:firstLine="885"/>
        <w:spacing w:after="0" w:line="266" w:lineRule="auto"/>
        <w:tabs>
          <w:tab w:leader="none" w:pos="1201"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rFonts w:ascii="Arial" w:cs="Arial" w:eastAsia="Arial" w:hAnsi="Arial"/>
          <w:sz w:val="18"/>
          <w:szCs w:val="18"/>
          <w:color w:val="auto"/>
        </w:rPr>
      </w:pPr>
    </w:p>
    <w:p>
      <w:pPr>
        <w:ind w:left="-60" w:right="420" w:firstLine="885"/>
        <w:spacing w:after="0" w:line="282" w:lineRule="auto"/>
        <w:tabs>
          <w:tab w:leader="none" w:pos="1181"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for convenience only and do not constitute any part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500" w:top="270" w:right="499" w:bottom="1440" w:gutter="0" w:footer="0" w:header="0"/>
        </w:sectPr>
      </w:pPr>
    </w:p>
    <w:bookmarkStart w:id="612" w:name="page613"/>
    <w:bookmarkEnd w:id="612"/>
    <w:p>
      <w:pPr>
        <w:jc w:val="both"/>
        <w:ind w:left="-100" w:right="60" w:firstLine="885"/>
        <w:spacing w:after="0" w:line="261" w:lineRule="auto"/>
        <w:tabs>
          <w:tab w:leader="none" w:pos="1171"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 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80" w:lineRule="exact"/>
        <w:rPr>
          <w:rFonts w:ascii="Arial" w:cs="Arial" w:eastAsia="Arial" w:hAnsi="Arial"/>
          <w:sz w:val="18"/>
          <w:szCs w:val="18"/>
          <w:color w:val="auto"/>
        </w:rPr>
      </w:pPr>
    </w:p>
    <w:p>
      <w:pPr>
        <w:ind w:left="-100" w:firstLine="885"/>
        <w:spacing w:after="0" w:line="261" w:lineRule="auto"/>
        <w:tabs>
          <w:tab w:leader="none" w:pos="1171"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rFonts w:ascii="Arial" w:cs="Arial" w:eastAsia="Arial" w:hAnsi="Arial"/>
          <w:sz w:val="18"/>
          <w:szCs w:val="18"/>
          <w:color w:val="auto"/>
        </w:rPr>
      </w:pPr>
    </w:p>
    <w:p>
      <w:pPr>
        <w:ind w:left="-100" w:right="60" w:firstLine="885"/>
        <w:spacing w:after="0" w:line="282" w:lineRule="auto"/>
        <w:tabs>
          <w:tab w:leader="none" w:pos="1131"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0"/>
          </w:cols>
          <w:pgMar w:left="540" w:top="271" w:right="53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14 Dec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Jakob Dupont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Jakob Dupont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Waage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Christian Waage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EVP, General Counsel</w:t>
            </w:r>
          </w:p>
        </w:tc>
      </w:tr>
    </w:tbl>
    <w:p>
      <w:pPr>
        <w:spacing w:after="0" w:line="202"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P</w:t>
      </w:r>
      <w:r>
        <w:rPr>
          <w:rFonts w:ascii="Arial" w:cs="Arial" w:eastAsia="Arial" w:hAnsi="Arial"/>
          <w:sz w:val="14"/>
          <w:szCs w:val="14"/>
          <w:color w:val="auto"/>
        </w:rPr>
        <w:t>ROPRIETARY</w:t>
      </w:r>
      <w:r>
        <w:rPr>
          <w:rFonts w:ascii="Arial" w:cs="Arial" w:eastAsia="Arial" w:hAnsi="Arial"/>
          <w:sz w:val="17"/>
          <w:szCs w:val="17"/>
          <w:color w:val="auto"/>
        </w:rPr>
        <w:t xml:space="preserve"> I</w:t>
      </w:r>
      <w:r>
        <w:rPr>
          <w:rFonts w:ascii="Arial" w:cs="Arial" w:eastAsia="Arial" w:hAnsi="Arial"/>
          <w:sz w:val="14"/>
          <w:szCs w:val="14"/>
          <w:color w:val="auto"/>
        </w:rPr>
        <w:t>NFORMATION AND</w:t>
      </w:r>
      <w:r>
        <w:rPr>
          <w:rFonts w:ascii="Arial" w:cs="Arial" w:eastAsia="Arial" w:hAnsi="Arial"/>
          <w:sz w:val="17"/>
          <w:szCs w:val="17"/>
          <w:color w:val="auto"/>
        </w:rPr>
        <w:t xml:space="preserve"> I</w:t>
      </w:r>
      <w:r>
        <w:rPr>
          <w:rFonts w:ascii="Arial" w:cs="Arial" w:eastAsia="Arial" w:hAnsi="Arial"/>
          <w:sz w:val="14"/>
          <w:szCs w:val="14"/>
          <w:color w:val="auto"/>
        </w:rPr>
        <w:t>NVENTIONS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19"/>
          </w:cols>
          <w:pgMar w:left="440" w:top="274" w:right="1440" w:bottom="1440" w:gutter="0" w:footer="0" w:header="0"/>
        </w:sectPr>
      </w:pPr>
    </w:p>
    <w:bookmarkStart w:id="614" w:name="page615"/>
    <w:bookmarkEnd w:id="614"/>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ind w:left="-4" w:right="200" w:firstLine="444"/>
        <w:spacing w:after="0" w:line="286" w:lineRule="auto"/>
        <w:tabs>
          <w:tab w:leader="none" w:pos="807" w:val="left"/>
        </w:tabs>
        <w:numPr>
          <w:ilvl w:val="1"/>
          <w:numId w:val="472"/>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4"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96"/>
          </w:cols>
          <w:pgMar w:left="444" w:top="270" w:right="459" w:bottom="1440" w:gutter="0" w:footer="0" w:header="0"/>
        </w:sectPr>
      </w:pPr>
    </w:p>
    <w:bookmarkStart w:id="615" w:name="page616"/>
    <w:bookmarkEnd w:id="615"/>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4"/>
        <w:spacing w:after="0" w:line="258" w:lineRule="auto"/>
        <w:tabs>
          <w:tab w:leader="none" w:pos="752" w:val="left"/>
        </w:tabs>
        <w:numPr>
          <w:ilvl w:val="1"/>
          <w:numId w:val="474"/>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214" w:lineRule="exact"/>
        <w:rPr>
          <w:rFonts w:ascii="Arial" w:cs="Arial" w:eastAsia="Arial" w:hAnsi="Arial"/>
          <w:sz w:val="18"/>
          <w:szCs w:val="18"/>
          <w:b w:val="1"/>
          <w:bCs w:val="1"/>
          <w:color w:val="auto"/>
        </w:rPr>
      </w:pPr>
    </w:p>
    <w:p>
      <w:pPr>
        <w:ind w:left="440" w:hanging="436"/>
        <w:spacing w:after="0"/>
        <w:tabs>
          <w:tab w:leader="none" w:pos="440" w:val="left"/>
        </w:tabs>
        <w:numPr>
          <w:ilvl w:val="0"/>
          <w:numId w:val="474"/>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52" w:lineRule="exact"/>
        <w:rPr>
          <w:sz w:val="20"/>
          <w:szCs w:val="20"/>
          <w:color w:val="auto"/>
        </w:rPr>
      </w:pPr>
    </w:p>
    <w:p>
      <w:pPr>
        <w:ind w:left="440" w:hanging="436"/>
        <w:spacing w:after="0"/>
        <w:tabs>
          <w:tab w:leader="none" w:pos="440" w:val="left"/>
        </w:tabs>
        <w:numPr>
          <w:ilvl w:val="0"/>
          <w:numId w:val="475"/>
        </w:numPr>
        <w:rPr>
          <w:rFonts w:ascii="MS PGothic" w:cs="MS PGothic" w:eastAsia="MS PGothic" w:hAnsi="MS PGothic"/>
          <w:sz w:val="18"/>
          <w:szCs w:val="18"/>
          <w:color w:val="auto"/>
        </w:rPr>
      </w:pPr>
      <w:r>
        <w:rPr>
          <w:rFonts w:ascii="Arial" w:cs="Arial" w:eastAsia="Arial" w:hAnsi="Arial"/>
          <w:sz w:val="18"/>
          <w:szCs w:val="18"/>
          <w:color w:val="auto"/>
        </w:rPr>
        <w:t>See below: See attached document</w:t>
      </w:r>
    </w:p>
    <w:p>
      <w:pPr>
        <w:spacing w:after="0" w:line="244" w:lineRule="exact"/>
        <w:rPr>
          <w:sz w:val="20"/>
          <w:szCs w:val="20"/>
          <w:color w:val="auto"/>
        </w:rPr>
      </w:pPr>
    </w:p>
    <w:p>
      <w:pPr>
        <w:ind w:left="1320"/>
        <w:spacing w:after="0"/>
        <w:tabs>
          <w:tab w:leader="none" w:pos="7340" w:val="left"/>
          <w:tab w:leader="none" w:pos="8840" w:val="left"/>
        </w:tabs>
        <w:rPr>
          <w:sz w:val="20"/>
          <w:szCs w:val="20"/>
          <w:color w:val="auto"/>
        </w:rPr>
      </w:pPr>
      <w:r>
        <w:rPr>
          <w:rFonts w:ascii="Arial" w:cs="Arial" w:eastAsia="Arial" w:hAnsi="Arial"/>
          <w:sz w:val="14"/>
          <w:szCs w:val="14"/>
          <w:b w:val="1"/>
          <w:bCs w:val="1"/>
          <w:u w:val="single" w:color="auto"/>
          <w:color w:val="auto"/>
        </w:rPr>
        <w:t>Invention Description</w:t>
      </w:r>
      <w:r>
        <w:rPr>
          <w:sz w:val="20"/>
          <w:szCs w:val="20"/>
          <w:color w:val="auto"/>
        </w:rPr>
        <w:tab/>
      </w:r>
      <w:r>
        <w:rPr>
          <w:rFonts w:ascii="Arial" w:cs="Arial" w:eastAsia="Arial" w:hAnsi="Arial"/>
          <w:sz w:val="14"/>
          <w:szCs w:val="14"/>
          <w:b w:val="1"/>
          <w:bCs w:val="1"/>
          <w:u w:val="single" w:color="auto"/>
          <w:color w:val="auto"/>
        </w:rPr>
        <w:t>Patent No.</w:t>
      </w:r>
      <w:r>
        <w:rPr>
          <w:sz w:val="20"/>
          <w:szCs w:val="20"/>
          <w:color w:val="auto"/>
        </w:rPr>
        <w:tab/>
      </w:r>
      <w:r>
        <w:rPr>
          <w:rFonts w:ascii="Arial" w:cs="Arial" w:eastAsia="Arial" w:hAnsi="Arial"/>
          <w:sz w:val="12"/>
          <w:szCs w:val="12"/>
          <w:b w:val="1"/>
          <w:bCs w:val="1"/>
          <w:u w:val="single" w:color="auto"/>
          <w:color w:val="auto"/>
        </w:rPr>
        <w:t>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hanging="436"/>
        <w:spacing w:after="0"/>
        <w:tabs>
          <w:tab w:leader="none" w:pos="440" w:val="left"/>
        </w:tabs>
        <w:numPr>
          <w:ilvl w:val="0"/>
          <w:numId w:val="476"/>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right="460" w:firstLine="444"/>
        <w:spacing w:after="0" w:line="277" w:lineRule="auto"/>
        <w:tabs>
          <w:tab w:leader="none" w:pos="756"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6997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537845</wp:posOffset>
            </wp:positionV>
            <wp:extent cx="6997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734695</wp:posOffset>
            </wp:positionV>
            <wp:extent cx="6997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436"/>
        <w:spacing w:after="0"/>
        <w:tabs>
          <w:tab w:leader="none" w:pos="440" w:val="left"/>
        </w:tabs>
        <w:numPr>
          <w:ilvl w:val="0"/>
          <w:numId w:val="477"/>
        </w:numPr>
        <w:rPr>
          <w:rFonts w:ascii="MS PGothic" w:cs="MS PGothic" w:eastAsia="MS PGothic" w:hAnsi="MS PGothic"/>
          <w:sz w:val="18"/>
          <w:szCs w:val="18"/>
          <w:color w:val="auto"/>
        </w:rPr>
      </w:pPr>
      <w:r>
        <w:rPr>
          <w:rFonts w:ascii="Arial" w:cs="Arial" w:eastAsia="Arial" w:hAnsi="Arial"/>
          <w:sz w:val="18"/>
          <w:szCs w:val="18"/>
          <w:color w:val="auto"/>
        </w:rPr>
        <w:t>No materials or documents.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Jakob Dupont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Jakob Dupont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20"/>
          </w:cols>
          <w:pgMar w:left="440" w:top="270" w:right="639" w:bottom="1440" w:gutter="0" w:footer="0" w:header="0"/>
        </w:sectPr>
      </w:pPr>
    </w:p>
    <w:bookmarkStart w:id="616" w:name="page617"/>
    <w:bookmarkEnd w:id="616"/>
    <w:p>
      <w:pPr>
        <w:jc w:val="center"/>
        <w:ind w:right="-1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997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0" w:lineRule="exact"/>
        <w:rPr>
          <w:sz w:val="20"/>
          <w:szCs w:val="20"/>
          <w:color w:val="auto"/>
        </w:rPr>
      </w:pPr>
    </w:p>
    <w:p>
      <w:pPr>
        <w:ind w:left="656" w:hanging="566"/>
        <w:spacing w:after="0" w:line="266"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 for Early Detection of Ovarian Cancer (SK 1089). Lead Inventors: Dr. Jakob Dupont, </w:t>
      </w:r>
      <w:r>
        <w:rPr>
          <w:rFonts w:ascii="Arial" w:cs="Arial" w:eastAsia="Arial" w:hAnsi="Arial"/>
          <w:sz w:val="18"/>
          <w:szCs w:val="18"/>
          <w:b w:val="1"/>
          <w:bCs w:val="1"/>
          <w:color w:val="auto"/>
        </w:rPr>
        <w:t>Dr. David Spriggs</w:t>
      </w:r>
      <w:r>
        <w:rPr>
          <w:rFonts w:ascii="Arial" w:cs="Arial" w:eastAsia="Arial" w:hAnsi="Arial"/>
          <w:sz w:val="18"/>
          <w:szCs w:val="18"/>
          <w:color w:val="auto"/>
        </w:rPr>
        <w:t>. Application 60/502,160 filed 9.10.03. International Patent Application No. PCT/US04/29902, filed September 10, 2004. Application for US Patent Application Serial No 10/595,135 filed on March 2, 2006.</w:t>
      </w:r>
    </w:p>
    <w:p>
      <w:pPr>
        <w:spacing w:after="0" w:line="72" w:lineRule="exact"/>
        <w:rPr>
          <w:rFonts w:ascii="Arial" w:cs="Arial" w:eastAsia="Arial" w:hAnsi="Arial"/>
          <w:sz w:val="18"/>
          <w:szCs w:val="18"/>
          <w:color w:val="auto"/>
        </w:rPr>
      </w:pPr>
    </w:p>
    <w:p>
      <w:pPr>
        <w:ind w:left="656" w:right="480" w:hanging="56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 of Administering and Using VEGF Inhibitors for the Treatment of Malignant Pleural Effusion.” Lead Inventors: Christopher G. Azzoli, Mark G. Kris, and </w:t>
      </w:r>
      <w:r>
        <w:rPr>
          <w:rFonts w:ascii="Arial" w:cs="Arial" w:eastAsia="Arial" w:hAnsi="Arial"/>
          <w:sz w:val="18"/>
          <w:szCs w:val="18"/>
          <w:b w:val="1"/>
          <w:bCs w:val="1"/>
          <w:color w:val="auto"/>
        </w:rPr>
        <w:t>Jakob Dupont</w:t>
      </w:r>
      <w:r>
        <w:rPr>
          <w:rFonts w:ascii="Arial" w:cs="Arial" w:eastAsia="Arial" w:hAnsi="Arial"/>
          <w:sz w:val="18"/>
          <w:szCs w:val="18"/>
          <w:color w:val="auto"/>
        </w:rPr>
        <w:t>. Application No. 11/155,269, filed June 17, 2005.</w:t>
      </w:r>
    </w:p>
    <w:p>
      <w:pPr>
        <w:spacing w:after="0" w:line="58" w:lineRule="exact"/>
        <w:rPr>
          <w:rFonts w:ascii="Arial" w:cs="Arial" w:eastAsia="Arial" w:hAnsi="Arial"/>
          <w:sz w:val="18"/>
          <w:szCs w:val="18"/>
          <w:color w:val="auto"/>
        </w:rPr>
      </w:pPr>
    </w:p>
    <w:p>
      <w:pPr>
        <w:ind w:left="656" w:right="780" w:hanging="566"/>
        <w:spacing w:after="0" w:line="282"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USE OF NEUROPILIN-1 ANTAGONISTS FOR THE TREATMENT OF CANCER. Lead Investigators: </w:t>
      </w:r>
      <w:r>
        <w:rPr>
          <w:rFonts w:ascii="Arial" w:cs="Arial" w:eastAsia="Arial" w:hAnsi="Arial"/>
          <w:sz w:val="18"/>
          <w:szCs w:val="18"/>
          <w:b w:val="1"/>
          <w:bCs w:val="1"/>
          <w:color w:val="auto"/>
        </w:rPr>
        <w:t>Jakob Dupont</w:t>
      </w:r>
      <w:r>
        <w:rPr>
          <w:rFonts w:ascii="Arial" w:cs="Arial" w:eastAsia="Arial" w:hAnsi="Arial"/>
          <w:sz w:val="18"/>
          <w:szCs w:val="18"/>
          <w:color w:val="auto"/>
        </w:rPr>
        <w:t xml:space="preserve"> and Rainer Brachmann. U.S. Patent Application No. 61/349,426.</w:t>
      </w:r>
    </w:p>
    <w:p>
      <w:pPr>
        <w:spacing w:after="0" w:line="53" w:lineRule="exact"/>
        <w:rPr>
          <w:rFonts w:ascii="Arial" w:cs="Arial" w:eastAsia="Arial" w:hAnsi="Arial"/>
          <w:sz w:val="18"/>
          <w:szCs w:val="18"/>
          <w:color w:val="auto"/>
        </w:rPr>
      </w:pPr>
    </w:p>
    <w:p>
      <w:pPr>
        <w:ind w:left="656" w:right="420" w:hanging="566"/>
        <w:spacing w:after="0" w:line="282"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Anti-Angiogenesis Therapy for the Treatment of Ovarian Cancer. Lead Investigators: </w:t>
      </w:r>
      <w:r>
        <w:rPr>
          <w:rFonts w:ascii="Arial" w:cs="Arial" w:eastAsia="Arial" w:hAnsi="Arial"/>
          <w:sz w:val="18"/>
          <w:szCs w:val="18"/>
          <w:b w:val="1"/>
          <w:bCs w:val="1"/>
          <w:color w:val="auto"/>
        </w:rPr>
        <w:t>Jakob Dupont</w:t>
      </w:r>
      <w:r>
        <w:rPr>
          <w:rFonts w:ascii="Arial" w:cs="Arial" w:eastAsia="Arial" w:hAnsi="Arial"/>
          <w:sz w:val="18"/>
          <w:szCs w:val="18"/>
          <w:color w:val="auto"/>
        </w:rPr>
        <w:t>, Cornelia Irl. Serial No. 61/307,095. Filing date February 23, 2010.</w:t>
      </w:r>
    </w:p>
    <w:p>
      <w:pPr>
        <w:spacing w:after="0" w:line="57" w:lineRule="exact"/>
        <w:rPr>
          <w:rFonts w:ascii="Arial" w:cs="Arial" w:eastAsia="Arial" w:hAnsi="Arial"/>
          <w:sz w:val="18"/>
          <w:szCs w:val="18"/>
          <w:color w:val="auto"/>
        </w:rPr>
      </w:pPr>
    </w:p>
    <w:p>
      <w:pPr>
        <w:ind w:left="656" w:right="420" w:hanging="56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ANTI-ANGIOGENESIS THERAPY FOR THE TREATMENT OF OVARIAN CANCER; Application number: 20140178371. Inventors: </w:t>
      </w:r>
      <w:r>
        <w:rPr>
          <w:rFonts w:ascii="Arial" w:cs="Arial" w:eastAsia="Arial" w:hAnsi="Arial"/>
          <w:sz w:val="18"/>
          <w:szCs w:val="18"/>
          <w:b w:val="1"/>
          <w:bCs w:val="1"/>
          <w:color w:val="auto"/>
        </w:rPr>
        <w:t>Jakob Dupont</w:t>
      </w:r>
      <w:r>
        <w:rPr>
          <w:rFonts w:ascii="Arial" w:cs="Arial" w:eastAsia="Arial" w:hAnsi="Arial"/>
          <w:sz w:val="18"/>
          <w:szCs w:val="18"/>
          <w:color w:val="auto"/>
        </w:rPr>
        <w:t>, Cornelia Irl, Amreen Husain, Mika A. Sovak, Jing Yi, Hoa Nguyen.</w:t>
      </w:r>
    </w:p>
    <w:p>
      <w:pPr>
        <w:spacing w:after="0" w:line="62" w:lineRule="exact"/>
        <w:rPr>
          <w:rFonts w:ascii="Arial" w:cs="Arial" w:eastAsia="Arial" w:hAnsi="Arial"/>
          <w:sz w:val="18"/>
          <w:szCs w:val="18"/>
          <w:color w:val="auto"/>
        </w:rPr>
      </w:pPr>
    </w:p>
    <w:p>
      <w:pPr>
        <w:ind w:left="656" w:right="160" w:hanging="56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METHODS FOR TREATING CANCER WITH NOTCH2/3 ANTIBODIES: Application number: 20130323266; Inventors: Timothy Charles HOEY, John A. Lewicki, Wan-Ching Yen, </w:t>
      </w:r>
      <w:r>
        <w:rPr>
          <w:rFonts w:ascii="Arial" w:cs="Arial" w:eastAsia="Arial" w:hAnsi="Arial"/>
          <w:sz w:val="18"/>
          <w:szCs w:val="18"/>
          <w:b w:val="1"/>
          <w:bCs w:val="1"/>
          <w:color w:val="auto"/>
        </w:rPr>
        <w:t>Jakob Dupont</w:t>
      </w:r>
      <w:r>
        <w:rPr>
          <w:rFonts w:ascii="Arial" w:cs="Arial" w:eastAsia="Arial" w:hAnsi="Arial"/>
          <w:sz w:val="18"/>
          <w:szCs w:val="18"/>
          <w:color w:val="auto"/>
        </w:rPr>
        <w:t>; OncoMed Pharmaceuticals Inc.</w:t>
      </w:r>
    </w:p>
    <w:p>
      <w:pPr>
        <w:spacing w:after="0" w:line="62" w:lineRule="exact"/>
        <w:rPr>
          <w:rFonts w:ascii="Arial" w:cs="Arial" w:eastAsia="Arial" w:hAnsi="Arial"/>
          <w:sz w:val="18"/>
          <w:szCs w:val="18"/>
          <w:color w:val="auto"/>
        </w:rPr>
      </w:pPr>
    </w:p>
    <w:p>
      <w:pPr>
        <w:ind w:left="656" w:hanging="566"/>
        <w:spacing w:after="0"/>
        <w:tabs>
          <w:tab w:leader="none" w:pos="656" w:val="left"/>
        </w:tabs>
        <w:numPr>
          <w:ilvl w:val="0"/>
          <w:numId w:val="478"/>
        </w:numPr>
        <w:rPr>
          <w:rFonts w:ascii="Arial" w:cs="Arial" w:eastAsia="Arial" w:hAnsi="Arial"/>
          <w:sz w:val="17"/>
          <w:szCs w:val="17"/>
          <w:color w:val="auto"/>
        </w:rPr>
      </w:pPr>
      <w:r>
        <w:rPr>
          <w:rFonts w:ascii="Arial" w:cs="Arial" w:eastAsia="Arial" w:hAnsi="Arial"/>
          <w:sz w:val="17"/>
          <w:szCs w:val="17"/>
          <w:color w:val="auto"/>
        </w:rPr>
        <w:t>METHODS OF TREATING NEUROENDOCRINE TUMORS USING FRIZZLED-BINDING AGENTS; Application number: 20140134159;</w:t>
      </w:r>
    </w:p>
    <w:p>
      <w:pPr>
        <w:spacing w:after="0" w:line="34" w:lineRule="exact"/>
        <w:rPr>
          <w:rFonts w:ascii="Arial" w:cs="Arial" w:eastAsia="Arial" w:hAnsi="Arial"/>
          <w:sz w:val="17"/>
          <w:szCs w:val="17"/>
          <w:color w:val="auto"/>
        </w:rPr>
      </w:pPr>
    </w:p>
    <w:p>
      <w:pPr>
        <w:ind w:left="656"/>
        <w:spacing w:after="0"/>
        <w:rPr>
          <w:rFonts w:ascii="Arial" w:cs="Arial" w:eastAsia="Arial" w:hAnsi="Arial"/>
          <w:sz w:val="17"/>
          <w:szCs w:val="17"/>
          <w:color w:val="auto"/>
        </w:rPr>
      </w:pPr>
      <w:r>
        <w:rPr>
          <w:rFonts w:ascii="Arial" w:cs="Arial" w:eastAsia="Arial" w:hAnsi="Arial"/>
          <w:sz w:val="18"/>
          <w:szCs w:val="18"/>
          <w:color w:val="auto"/>
        </w:rPr>
        <w:t xml:space="preserve">Inventors: ROBERT JOSEPH STAGG, </w:t>
      </w:r>
      <w:r>
        <w:rPr>
          <w:rFonts w:ascii="Arial" w:cs="Arial" w:eastAsia="Arial" w:hAnsi="Arial"/>
          <w:sz w:val="18"/>
          <w:szCs w:val="18"/>
          <w:b w:val="1"/>
          <w:bCs w:val="1"/>
          <w:color w:val="auto"/>
        </w:rPr>
        <w:t>JAKOB DUPONT</w:t>
      </w:r>
      <w:r>
        <w:rPr>
          <w:rFonts w:ascii="Arial" w:cs="Arial" w:eastAsia="Arial" w:hAnsi="Arial"/>
          <w:sz w:val="18"/>
          <w:szCs w:val="18"/>
          <w:color w:val="auto"/>
        </w:rPr>
        <w:t>: OncoMed Pharmaceuticals Inc.</w:t>
      </w:r>
    </w:p>
    <w:p>
      <w:pPr>
        <w:spacing w:after="0" w:line="102" w:lineRule="exact"/>
        <w:rPr>
          <w:rFonts w:ascii="Arial" w:cs="Arial" w:eastAsia="Arial" w:hAnsi="Arial"/>
          <w:sz w:val="17"/>
          <w:szCs w:val="17"/>
          <w:color w:val="auto"/>
        </w:rPr>
      </w:pPr>
    </w:p>
    <w:p>
      <w:pPr>
        <w:ind w:left="656" w:right="400" w:hanging="56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Methods and Monitoring of Treatment with a DLL4 Antagonist: Application number: 20140220001; Inventors: Steven Eugene BENNER, Robert Joseph Stagg, </w:t>
      </w:r>
      <w:r>
        <w:rPr>
          <w:rFonts w:ascii="Arial" w:cs="Arial" w:eastAsia="Arial" w:hAnsi="Arial"/>
          <w:sz w:val="18"/>
          <w:szCs w:val="18"/>
          <w:b w:val="1"/>
          <w:bCs w:val="1"/>
          <w:color w:val="auto"/>
        </w:rPr>
        <w:t>Jakob Dupont</w:t>
      </w:r>
      <w:r>
        <w:rPr>
          <w:rFonts w:ascii="Arial" w:cs="Arial" w:eastAsia="Arial" w:hAnsi="Arial"/>
          <w:sz w:val="18"/>
          <w:szCs w:val="18"/>
          <w:color w:val="auto"/>
        </w:rPr>
        <w:t>; OncoMed Pharmaceuticals Inc.</w:t>
      </w:r>
    </w:p>
    <w:p>
      <w:pPr>
        <w:spacing w:after="0" w:line="62" w:lineRule="exact"/>
        <w:rPr>
          <w:rFonts w:ascii="Arial" w:cs="Arial" w:eastAsia="Arial" w:hAnsi="Arial"/>
          <w:sz w:val="18"/>
          <w:szCs w:val="18"/>
          <w:color w:val="auto"/>
        </w:rPr>
      </w:pPr>
    </w:p>
    <w:p>
      <w:pPr>
        <w:ind w:left="656" w:right="20" w:hanging="56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METHODS AND MONITORING OF TREATMENT WITH A WNT PATHWAY INHIBITOR: Application number: 20140242078; Inventors: </w:t>
      </w:r>
      <w:r>
        <w:rPr>
          <w:rFonts w:ascii="Arial" w:cs="Arial" w:eastAsia="Arial" w:hAnsi="Arial"/>
          <w:sz w:val="18"/>
          <w:szCs w:val="18"/>
          <w:b w:val="1"/>
          <w:bCs w:val="1"/>
          <w:color w:val="auto"/>
        </w:rPr>
        <w:t>Jakob DUPONT</w:t>
      </w:r>
      <w:r>
        <w:rPr>
          <w:rFonts w:ascii="Arial" w:cs="Arial" w:eastAsia="Arial" w:hAnsi="Arial"/>
          <w:sz w:val="18"/>
          <w:szCs w:val="18"/>
          <w:color w:val="auto"/>
        </w:rPr>
        <w:t>, Robert J. STAGG; OncoMed Pharmaceuticals Inc.</w:t>
      </w:r>
    </w:p>
    <w:p>
      <w:pPr>
        <w:spacing w:after="0" w:line="62" w:lineRule="exact"/>
        <w:rPr>
          <w:rFonts w:ascii="Arial" w:cs="Arial" w:eastAsia="Arial" w:hAnsi="Arial"/>
          <w:sz w:val="18"/>
          <w:szCs w:val="18"/>
          <w:color w:val="auto"/>
        </w:rPr>
      </w:pPr>
    </w:p>
    <w:p>
      <w:pPr>
        <w:ind w:left="656" w:right="340" w:hanging="656"/>
        <w:spacing w:after="0" w:line="308" w:lineRule="auto"/>
        <w:tabs>
          <w:tab w:leader="none" w:pos="656"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Methods of Treating Hematological Malignancies with Notch1 Antibodies. Publication numb.: 20150232570. Inventors: Timothy C. Hoey, Ann M. Kapoun, Min Wang, Tzu-Ling Tang Lin, Jennifer Anne Cain, </w:t>
      </w:r>
      <w:r>
        <w:rPr>
          <w:rFonts w:ascii="Arial" w:cs="Arial" w:eastAsia="Arial" w:hAnsi="Arial"/>
          <w:sz w:val="17"/>
          <w:szCs w:val="17"/>
          <w:b w:val="1"/>
          <w:bCs w:val="1"/>
          <w:color w:val="auto"/>
        </w:rPr>
        <w:t>Jakob Dupont</w:t>
      </w:r>
      <w:r>
        <w:rPr>
          <w:rFonts w:ascii="Arial" w:cs="Arial" w:eastAsia="Arial" w:hAnsi="Arial"/>
          <w:sz w:val="17"/>
          <w:szCs w:val="17"/>
          <w:color w:val="auto"/>
        </w:rPr>
        <w:t>; OncoMed Pharmaceuticals Inc.</w:t>
      </w:r>
    </w:p>
    <w:p>
      <w:pPr>
        <w:spacing w:after="0" w:line="34" w:lineRule="exact"/>
        <w:rPr>
          <w:rFonts w:ascii="Arial" w:cs="Arial" w:eastAsia="Arial" w:hAnsi="Arial"/>
          <w:sz w:val="17"/>
          <w:szCs w:val="17"/>
          <w:color w:val="auto"/>
        </w:rPr>
      </w:pPr>
    </w:p>
    <w:p>
      <w:pPr>
        <w:ind w:left="656" w:hanging="656"/>
        <w:spacing w:after="0"/>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TREATMENT OF GASTRIC CANCER; Publication number: 20170157245. </w:t>
      </w:r>
      <w:r>
        <w:rPr>
          <w:rFonts w:ascii="Arial" w:cs="Arial" w:eastAsia="Arial" w:hAnsi="Arial"/>
          <w:sz w:val="18"/>
          <w:szCs w:val="18"/>
          <w:b w:val="1"/>
          <w:bCs w:val="1"/>
          <w:color w:val="auto"/>
        </w:rPr>
        <w:t>Jakob Dupont</w:t>
      </w:r>
      <w:r>
        <w:rPr>
          <w:rFonts w:ascii="Arial" w:cs="Arial" w:eastAsia="Arial" w:hAnsi="Arial"/>
          <w:sz w:val="18"/>
          <w:szCs w:val="18"/>
          <w:color w:val="auto"/>
        </w:rPr>
        <w:t>; OncoMed Pharmaceuticals Inc.</w:t>
      </w:r>
    </w:p>
    <w:p>
      <w:pPr>
        <w:spacing w:after="0" w:line="121" w:lineRule="exact"/>
        <w:rPr>
          <w:rFonts w:ascii="Arial" w:cs="Arial" w:eastAsia="Arial" w:hAnsi="Arial"/>
          <w:sz w:val="18"/>
          <w:szCs w:val="18"/>
          <w:color w:val="auto"/>
        </w:rPr>
      </w:pPr>
    </w:p>
    <w:p>
      <w:pPr>
        <w:ind w:left="656" w:right="420" w:hanging="65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Combination Therapy for the Treatment of Disease; Publication number: 20160176962. Inventors: Christopher Lamond Murriel, Timothy Charles Hoey, Austin L. Gurney, Julie Michelle Roda, Minu K. Srivastava, Inkyung Park, </w:t>
      </w:r>
      <w:r>
        <w:rPr>
          <w:rFonts w:ascii="Arial" w:cs="Arial" w:eastAsia="Arial" w:hAnsi="Arial"/>
          <w:sz w:val="18"/>
          <w:szCs w:val="18"/>
          <w:b w:val="1"/>
          <w:bCs w:val="1"/>
          <w:color w:val="auto"/>
        </w:rPr>
        <w:t>Jakob Dupont</w:t>
      </w:r>
    </w:p>
    <w:p>
      <w:pPr>
        <w:spacing w:after="0" w:line="58" w:lineRule="exact"/>
        <w:rPr>
          <w:rFonts w:ascii="Arial" w:cs="Arial" w:eastAsia="Arial" w:hAnsi="Arial"/>
          <w:sz w:val="18"/>
          <w:szCs w:val="18"/>
          <w:color w:val="auto"/>
        </w:rPr>
      </w:pPr>
    </w:p>
    <w:p>
      <w:pPr>
        <w:ind w:left="656" w:hanging="656"/>
        <w:spacing w:after="0"/>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METHODS FOR TREATING CANCER WITH NOTCH1 ANTIBOIDES; </w:t>
      </w:r>
      <w:r>
        <w:rPr>
          <w:rFonts w:ascii="Arial" w:cs="Arial" w:eastAsia="Arial" w:hAnsi="Arial"/>
          <w:sz w:val="18"/>
          <w:szCs w:val="18"/>
          <w:b w:val="1"/>
          <w:bCs w:val="1"/>
          <w:color w:val="auto"/>
        </w:rPr>
        <w:t>Publication number:</w:t>
      </w:r>
      <w:r>
        <w:rPr>
          <w:rFonts w:ascii="Arial" w:cs="Arial" w:eastAsia="Arial" w:hAnsi="Arial"/>
          <w:sz w:val="18"/>
          <w:szCs w:val="18"/>
          <w:color w:val="auto"/>
        </w:rPr>
        <w:t xml:space="preserve"> 20170022289: January 26, 2017;</w:t>
      </w:r>
    </w:p>
    <w:p>
      <w:pPr>
        <w:spacing w:after="0" w:line="27" w:lineRule="exact"/>
        <w:rPr>
          <w:rFonts w:ascii="Arial" w:cs="Arial" w:eastAsia="Arial" w:hAnsi="Arial"/>
          <w:sz w:val="18"/>
          <w:szCs w:val="18"/>
          <w:color w:val="auto"/>
        </w:rPr>
      </w:pPr>
    </w:p>
    <w:p>
      <w:pPr>
        <w:ind w:left="656"/>
        <w:spacing w:after="0"/>
        <w:rPr>
          <w:rFonts w:ascii="Arial" w:cs="Arial" w:eastAsia="Arial" w:hAnsi="Arial"/>
          <w:sz w:val="18"/>
          <w:szCs w:val="18"/>
          <w:color w:val="auto"/>
        </w:rPr>
      </w:pPr>
      <w:r>
        <w:rPr>
          <w:rFonts w:ascii="Arial" w:cs="Arial" w:eastAsia="Arial" w:hAnsi="Arial"/>
          <w:sz w:val="18"/>
          <w:szCs w:val="18"/>
          <w:color w:val="auto"/>
        </w:rPr>
        <w:t xml:space="preserve">ONCOMED PHARMACEUTICALS, INC.; </w:t>
      </w:r>
      <w:r>
        <w:rPr>
          <w:rFonts w:ascii="Arial" w:cs="Arial" w:eastAsia="Arial" w:hAnsi="Arial"/>
          <w:sz w:val="18"/>
          <w:szCs w:val="18"/>
          <w:b w:val="1"/>
          <w:bCs w:val="1"/>
          <w:color w:val="auto"/>
        </w:rPr>
        <w:t>Inventors: Jakob Dupont</w:t>
      </w:r>
      <w:r>
        <w:rPr>
          <w:rFonts w:ascii="Arial" w:cs="Arial" w:eastAsia="Arial" w:hAnsi="Arial"/>
          <w:sz w:val="18"/>
          <w:szCs w:val="18"/>
          <w:color w:val="auto"/>
        </w:rPr>
        <w:t>, Ann M. Kapoun, Belinda Cancilla</w:t>
      </w:r>
    </w:p>
    <w:p>
      <w:pPr>
        <w:spacing w:after="0" w:line="98" w:lineRule="exact"/>
        <w:rPr>
          <w:rFonts w:ascii="Arial" w:cs="Arial" w:eastAsia="Arial" w:hAnsi="Arial"/>
          <w:sz w:val="18"/>
          <w:szCs w:val="18"/>
          <w:color w:val="auto"/>
        </w:rPr>
      </w:pPr>
    </w:p>
    <w:p>
      <w:pPr>
        <w:ind w:left="656" w:hanging="656"/>
        <w:spacing w:after="0"/>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Combination Therapy For Treatment Of Disease; </w:t>
      </w:r>
      <w:r>
        <w:rPr>
          <w:rFonts w:ascii="Arial" w:cs="Arial" w:eastAsia="Arial" w:hAnsi="Arial"/>
          <w:sz w:val="18"/>
          <w:szCs w:val="18"/>
          <w:b w:val="1"/>
          <w:bCs w:val="1"/>
          <w:color w:val="auto"/>
        </w:rPr>
        <w:t>Publication number:</w:t>
      </w:r>
      <w:r>
        <w:rPr>
          <w:rFonts w:ascii="Arial" w:cs="Arial" w:eastAsia="Arial" w:hAnsi="Arial"/>
          <w:sz w:val="18"/>
          <w:szCs w:val="18"/>
          <w:color w:val="auto"/>
        </w:rPr>
        <w:t xml:space="preserve"> 20160176962</w:t>
      </w:r>
      <w:r>
        <w:rPr>
          <w:rFonts w:ascii="Arial" w:cs="Arial" w:eastAsia="Arial" w:hAnsi="Arial"/>
          <w:sz w:val="18"/>
          <w:szCs w:val="18"/>
          <w:b w:val="1"/>
          <w:bCs w:val="1"/>
          <w:color w:val="auto"/>
        </w:rPr>
        <w:t>: Publication date:</w:t>
      </w:r>
      <w:r>
        <w:rPr>
          <w:rFonts w:ascii="Arial" w:cs="Arial" w:eastAsia="Arial" w:hAnsi="Arial"/>
          <w:sz w:val="18"/>
          <w:szCs w:val="18"/>
          <w:color w:val="auto"/>
        </w:rPr>
        <w:t xml:space="preserve"> June 23, 2016.</w:t>
      </w:r>
    </w:p>
    <w:p>
      <w:pPr>
        <w:spacing w:after="0" w:line="27" w:lineRule="exact"/>
        <w:rPr>
          <w:rFonts w:ascii="Arial" w:cs="Arial" w:eastAsia="Arial" w:hAnsi="Arial"/>
          <w:sz w:val="18"/>
          <w:szCs w:val="18"/>
          <w:color w:val="auto"/>
        </w:rPr>
      </w:pPr>
    </w:p>
    <w:p>
      <w:pPr>
        <w:ind w:left="656" w:right="2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Inventors: </w:t>
      </w:r>
      <w:r>
        <w:rPr>
          <w:rFonts w:ascii="Arial" w:cs="Arial" w:eastAsia="Arial" w:hAnsi="Arial"/>
          <w:sz w:val="18"/>
          <w:szCs w:val="18"/>
          <w:color w:val="auto"/>
        </w:rPr>
        <w:t>Christopher Lamond Murriel, Timothy Charles Hoey, Austin L. Gurney, Julie Michelle Roda, Minu K. Srivastava, Inkyung Park,</w:t>
      </w:r>
      <w:r>
        <w:rPr>
          <w:rFonts w:ascii="Arial" w:cs="Arial" w:eastAsia="Arial" w:hAnsi="Arial"/>
          <w:sz w:val="18"/>
          <w:szCs w:val="18"/>
          <w:b w:val="1"/>
          <w:bCs w:val="1"/>
          <w:color w:val="auto"/>
        </w:rPr>
        <w:t xml:space="preserve"> </w:t>
      </w:r>
      <w:r>
        <w:rPr>
          <w:rFonts w:ascii="Arial" w:cs="Arial" w:eastAsia="Arial" w:hAnsi="Arial"/>
          <w:sz w:val="18"/>
          <w:szCs w:val="18"/>
          <w:color w:val="auto"/>
        </w:rPr>
        <w:t>Jakob Dupont</w:t>
      </w:r>
    </w:p>
    <w:p>
      <w:pPr>
        <w:spacing w:after="0" w:line="75" w:lineRule="exact"/>
        <w:rPr>
          <w:rFonts w:ascii="Arial" w:cs="Arial" w:eastAsia="Arial" w:hAnsi="Arial"/>
          <w:sz w:val="18"/>
          <w:szCs w:val="18"/>
          <w:color w:val="auto"/>
        </w:rPr>
      </w:pPr>
    </w:p>
    <w:p>
      <w:pPr>
        <w:ind w:left="656" w:right="60" w:hanging="656"/>
        <w:spacing w:after="0" w:line="277" w:lineRule="auto"/>
        <w:tabs>
          <w:tab w:leader="none" w:pos="65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Method and Monitoring of Treatment with an RSPO Antagonist; August 16, 2017; OncoMed Pharmaceuticals Inc; Inventors: Leonardo Faoro, Rainer Brachmann, </w:t>
      </w:r>
      <w:r>
        <w:rPr>
          <w:rFonts w:ascii="Arial" w:cs="Arial" w:eastAsia="Arial" w:hAnsi="Arial"/>
          <w:sz w:val="18"/>
          <w:szCs w:val="18"/>
          <w:b w:val="1"/>
          <w:bCs w:val="1"/>
          <w:color w:val="auto"/>
        </w:rPr>
        <w:t>Jakob Dupont</w:t>
      </w:r>
      <w:r>
        <w:rPr>
          <w:rFonts w:ascii="Arial" w:cs="Arial" w:eastAsia="Arial" w:hAnsi="Arial"/>
          <w:sz w:val="18"/>
          <w:szCs w:val="18"/>
          <w:color w:val="auto"/>
        </w:rPr>
        <w:t>, Ann Kapoun, Lu Xu</w:t>
      </w:r>
    </w:p>
    <w:p>
      <w:pPr>
        <w:spacing w:after="0" w:line="62" w:lineRule="exact"/>
        <w:rPr>
          <w:rFonts w:ascii="Arial" w:cs="Arial" w:eastAsia="Arial" w:hAnsi="Arial"/>
          <w:sz w:val="18"/>
          <w:szCs w:val="18"/>
          <w:color w:val="auto"/>
        </w:rPr>
      </w:pPr>
    </w:p>
    <w:p>
      <w:pPr>
        <w:ind w:left="656" w:right="40" w:hanging="656"/>
        <w:spacing w:after="0" w:line="308" w:lineRule="auto"/>
        <w:tabs>
          <w:tab w:leader="none" w:pos="656" w:val="left"/>
        </w:tabs>
        <w:numPr>
          <w:ilvl w:val="0"/>
          <w:numId w:val="478"/>
        </w:numPr>
        <w:rPr>
          <w:rFonts w:ascii="Arial" w:cs="Arial" w:eastAsia="Arial" w:hAnsi="Arial"/>
          <w:sz w:val="17"/>
          <w:szCs w:val="17"/>
          <w:color w:val="auto"/>
        </w:rPr>
      </w:pPr>
      <w:r>
        <w:rPr>
          <w:rFonts w:ascii="Arial" w:cs="Arial" w:eastAsia="Arial" w:hAnsi="Arial"/>
          <w:sz w:val="17"/>
          <w:szCs w:val="17"/>
          <w:color w:val="auto"/>
        </w:rPr>
        <w:t>METHODS FOR TREATMENT OF CANCER COMPRISING TIGIT-BINDING AGENTS; March 31, 2017; OncoMed Pharmaceuticals Inc.; Inventors: Jakob Dupont and Hema Parmar; assigned International Patent Application No. PCT/US2017/063918,</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16"/>
          </w:cols>
          <w:pgMar w:left="444" w:top="266" w:right="439" w:bottom="1440" w:gutter="0" w:footer="0" w:header="0"/>
        </w:sectPr>
      </w:pPr>
    </w:p>
    <w:bookmarkStart w:id="617" w:name="page618"/>
    <w:bookmarkEnd w:id="61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Luisa Salter-Cid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Gossamer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Luisa:</w:t>
      </w:r>
    </w:p>
    <w:p>
      <w:pPr>
        <w:spacing w:after="0" w:line="11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continuing employment with Gossamer Bio, Inc. (“</w:t>
      </w:r>
      <w:r>
        <w:rPr>
          <w:rFonts w:ascii="Arial" w:cs="Arial" w:eastAsia="Arial" w:hAnsi="Arial"/>
          <w:sz w:val="18"/>
          <w:szCs w:val="18"/>
          <w:u w:val="single" w:color="auto"/>
          <w:color w:val="auto"/>
        </w:rPr>
        <w:t>Parent</w:t>
      </w:r>
      <w:r>
        <w:rPr>
          <w:rFonts w:ascii="Arial" w:cs="Arial" w:eastAsia="Arial" w:hAnsi="Arial"/>
          <w:sz w:val="18"/>
          <w:szCs w:val="18"/>
          <w:color w:val="auto"/>
        </w:rPr>
        <w:t>”) and, effective January 1, 2019, with Gossamer Bio Services, Inc., a wholly-owned subsidiary of Parent (“</w:t>
      </w:r>
      <w:r>
        <w:rPr>
          <w:rFonts w:ascii="Arial" w:cs="Arial" w:eastAsia="Arial" w:hAnsi="Arial"/>
          <w:sz w:val="18"/>
          <w:szCs w:val="18"/>
          <w:u w:val="single" w:color="auto"/>
          <w:color w:val="auto"/>
        </w:rPr>
        <w:t>Gossamer Services</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Company</w:t>
      </w:r>
      <w:r>
        <w:rPr>
          <w:rFonts w:ascii="Arial" w:cs="Arial" w:eastAsia="Arial" w:hAnsi="Arial"/>
          <w:sz w:val="18"/>
          <w:szCs w:val="18"/>
          <w:color w:val="auto"/>
        </w:rPr>
        <w:t>”). This Agreement is effective as of December 4,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0"/>
          <w:szCs w:val="20"/>
          <w:color w:val="auto"/>
        </w:rPr>
      </w:pPr>
    </w:p>
    <w:p>
      <w:pPr>
        <w:ind w:left="760" w:hanging="316"/>
        <w:spacing w:after="0"/>
        <w:tabs>
          <w:tab w:leader="none" w:pos="76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Title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85"/>
        <w:spacing w:after="0" w:line="276" w:lineRule="auto"/>
        <w:tabs>
          <w:tab w:leader="none" w:pos="1261" w:val="left"/>
        </w:tabs>
        <w:numPr>
          <w:ilvl w:val="1"/>
          <w:numId w:val="479"/>
        </w:numPr>
        <w:rPr>
          <w:rFonts w:ascii="Arial" w:cs="Arial" w:eastAsia="Arial" w:hAnsi="Arial"/>
          <w:sz w:val="17"/>
          <w:szCs w:val="17"/>
          <w:color w:val="auto"/>
        </w:rPr>
      </w:pPr>
      <w:r>
        <w:rPr>
          <w:rFonts w:ascii="Arial" w:cs="Arial" w:eastAsia="Arial" w:hAnsi="Arial"/>
          <w:sz w:val="17"/>
          <w:szCs w:val="17"/>
          <w:u w:val="single" w:color="auto"/>
          <w:color w:val="auto"/>
        </w:rPr>
        <w:t>Title and Duties</w:t>
      </w:r>
      <w:r>
        <w:rPr>
          <w:rFonts w:ascii="Arial" w:cs="Arial" w:eastAsia="Arial" w:hAnsi="Arial"/>
          <w:sz w:val="17"/>
          <w:szCs w:val="17"/>
          <w:color w:val="auto"/>
        </w:rPr>
        <w:t>. You will be employed by the Company, on a full-time basis, as its Chief Scientific Officer and to serve as an officer with that same position of Parent, working out of the Company’s headquarters located in San Diego, California. You shall have all the duties, responsibilities and authority commensurate with these positions, subject to the supervision of, and reporting directly to, the Chief Executive Officer of the Company (the “</w:t>
      </w:r>
      <w:r>
        <w:rPr>
          <w:rFonts w:ascii="Arial" w:cs="Arial" w:eastAsia="Arial" w:hAnsi="Arial"/>
          <w:sz w:val="17"/>
          <w:szCs w:val="17"/>
          <w:u w:val="single" w:color="auto"/>
          <w:color w:val="auto"/>
        </w:rPr>
        <w:t>Supervising Officer</w:t>
      </w:r>
      <w:r>
        <w:rPr>
          <w:rFonts w:ascii="Arial" w:cs="Arial" w:eastAsia="Arial" w:hAnsi="Arial"/>
          <w:sz w:val="17"/>
          <w:szCs w:val="17"/>
          <w:color w:val="auto"/>
        </w:rPr>
        <w:t>”). For the avoidance of doubt, all references in this Agreement to your “employment with the Company” shall include your employment with the Company and any of its affiliates and subsidiaries, as applicable.</w:t>
      </w:r>
    </w:p>
    <w:p>
      <w:pPr>
        <w:spacing w:after="0" w:line="172" w:lineRule="exact"/>
        <w:rPr>
          <w:rFonts w:ascii="Arial" w:cs="Arial" w:eastAsia="Arial" w:hAnsi="Arial"/>
          <w:sz w:val="17"/>
          <w:szCs w:val="17"/>
          <w:color w:val="auto"/>
        </w:rPr>
      </w:pPr>
    </w:p>
    <w:p>
      <w:pPr>
        <w:ind w:right="20" w:firstLine="885"/>
        <w:spacing w:after="0" w:line="270" w:lineRule="auto"/>
        <w:tabs>
          <w:tab w:leader="none" w:pos="1271" w:val="left"/>
        </w:tabs>
        <w:numPr>
          <w:ilvl w:val="1"/>
          <w:numId w:val="479"/>
        </w:numPr>
        <w:rPr>
          <w:rFonts w:ascii="Arial" w:cs="Arial" w:eastAsia="Arial" w:hAnsi="Arial"/>
          <w:sz w:val="17"/>
          <w:szCs w:val="17"/>
          <w:color w:val="auto"/>
        </w:rPr>
      </w:pPr>
      <w:r>
        <w:rPr>
          <w:rFonts w:ascii="Arial" w:cs="Arial" w:eastAsia="Arial" w:hAnsi="Arial"/>
          <w:sz w:val="17"/>
          <w:szCs w:val="17"/>
          <w:u w:val="single" w:color="auto"/>
          <w:color w:val="auto"/>
        </w:rPr>
        <w:t>Time Commitment; Outside Activities</w:t>
      </w:r>
      <w:r>
        <w:rPr>
          <w:rFonts w:ascii="Arial" w:cs="Arial" w:eastAsia="Arial" w:hAnsi="Arial"/>
          <w:sz w:val="17"/>
          <w:szCs w:val="17"/>
          <w:color w:val="auto"/>
        </w:rPr>
        <w:t xml:space="preserve">. You agree to perform the duties and responsibilities of your positions, and such other duties and responsibilities as shall from time to time be mutually agreed upon between you and the Supervising Officer. You agree that, while employed by the Company, you will devote substantially all of your business time and your best efforts, business judgment, skill and knowledge exclusively to the advancement of the business and interests of the Company and to the discharge of your duties and responsibilities for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it is agreed that you may participate in outside charitable, civic, educational, professional, community or industry activities to the extent such activities do not individually or in the aggregate interfere with your duties and responsibilities to the Company or create an actual or potential conflict of interest with the Company’s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your service on any outside boards (whether for profit or non-profit) shall require the prior consent of the Supervising Officer. You agree to abide by the rules, regulations, instructions, personnel practices and policies of the Company, as adopted and amended from time to time by the Company.</w:t>
      </w:r>
    </w:p>
    <w:p>
      <w:pPr>
        <w:spacing w:after="0" w:line="181" w:lineRule="exact"/>
        <w:rPr>
          <w:rFonts w:ascii="Arial" w:cs="Arial" w:eastAsia="Arial" w:hAnsi="Arial"/>
          <w:sz w:val="17"/>
          <w:szCs w:val="17"/>
          <w:color w:val="auto"/>
        </w:rPr>
      </w:pPr>
    </w:p>
    <w:p>
      <w:pPr>
        <w:ind w:right="420" w:firstLine="885"/>
        <w:spacing w:after="0" w:line="342" w:lineRule="auto"/>
        <w:tabs>
          <w:tab w:leader="none" w:pos="1261" w:val="left"/>
        </w:tabs>
        <w:numPr>
          <w:ilvl w:val="1"/>
          <w:numId w:val="479"/>
        </w:numPr>
        <w:rPr>
          <w:rFonts w:ascii="Arial" w:cs="Arial" w:eastAsia="Arial" w:hAnsi="Arial"/>
          <w:sz w:val="16"/>
          <w:szCs w:val="16"/>
          <w:color w:val="auto"/>
        </w:rPr>
      </w:pPr>
      <w:r>
        <w:rPr>
          <w:rFonts w:ascii="Arial" w:cs="Arial" w:eastAsia="Arial" w:hAnsi="Arial"/>
          <w:sz w:val="16"/>
          <w:szCs w:val="16"/>
          <w:u w:val="single" w:color="auto"/>
          <w:color w:val="auto"/>
        </w:rPr>
        <w:t>Transfer of Employment to Gossamer Services</w:t>
      </w:r>
      <w:r>
        <w:rPr>
          <w:rFonts w:ascii="Arial" w:cs="Arial" w:eastAsia="Arial" w:hAnsi="Arial"/>
          <w:sz w:val="16"/>
          <w:szCs w:val="16"/>
          <w:color w:val="auto"/>
        </w:rPr>
        <w:t>. Effective January 1, 2019, the Company will undertake an internal reorganization pursuant to which the employment of all employees will be transferred from Parent to Gossamer Services. As a result, effective January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2" w:right="439" w:bottom="1440" w:gutter="0" w:footer="0" w:header="0"/>
        </w:sectPr>
      </w:pPr>
    </w:p>
    <w:bookmarkStart w:id="618" w:name="page619"/>
    <w:bookmarkEnd w:id="6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2019, Gossamer Services will be your employer of record. There will be no break in service as a result of this transfer of employment. You will continue to work in your same position, with the same terms and conditions of employment, and with the same Supervising Officer, as is currently in effect. In addition, you will continue to participate in substantially the same employee benefit plans that you participated in prior to the transfer, with no immediate changes in benefits or coverage (unless you elect any such changes during open enrollment for 2019). Subject to your elections, all applicable benefits withholdings and elections will continue following the transfer of your employment. Except as described in Section 2(e) below, all other terms and conditions related to your employment will be assigned to Gossamer Services and will remain in full force and effect after the transfer of your employment.</w:t>
      </w:r>
    </w:p>
    <w:p>
      <w:pPr>
        <w:spacing w:after="0" w:line="189" w:lineRule="exact"/>
        <w:rPr>
          <w:sz w:val="20"/>
          <w:szCs w:val="20"/>
          <w:color w:val="auto"/>
        </w:rPr>
      </w:pPr>
    </w:p>
    <w:p>
      <w:pPr>
        <w:ind w:left="760" w:hanging="316"/>
        <w:spacing w:after="0"/>
        <w:tabs>
          <w:tab w:leader="none" w:pos="760"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885"/>
        <w:spacing w:after="0" w:line="259" w:lineRule="auto"/>
        <w:tabs>
          <w:tab w:leader="none" w:pos="1261"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receive an annual base salary of $350,000, payable in accordance with the normal payroll practices of the Company in effect from time to time. Your performance will be reviewed by the Compensation Committee of the Board of Directors of Parent (the “</w:t>
      </w:r>
      <w:r>
        <w:rPr>
          <w:rFonts w:ascii="Arial" w:cs="Arial" w:eastAsia="Arial" w:hAnsi="Arial"/>
          <w:sz w:val="18"/>
          <w:szCs w:val="18"/>
          <w:u w:val="single" w:color="auto"/>
          <w:color w:val="auto"/>
        </w:rPr>
        <w:t>Board</w:t>
      </w:r>
      <w:r>
        <w:rPr>
          <w:rFonts w:ascii="Arial" w:cs="Arial" w:eastAsia="Arial" w:hAnsi="Arial"/>
          <w:sz w:val="18"/>
          <w:szCs w:val="18"/>
          <w:color w:val="auto"/>
        </w:rPr>
        <w:t>”) or the Supervising Officer on an annual basis in conjunction with an annual salary review. Effective upon the completion of the IPO (as defined below), your annual base salary shall be increased to $380,000.</w:t>
      </w:r>
    </w:p>
    <w:p>
      <w:pPr>
        <w:spacing w:after="0" w:line="186" w:lineRule="exact"/>
        <w:rPr>
          <w:rFonts w:ascii="Arial" w:cs="Arial" w:eastAsia="Arial" w:hAnsi="Arial"/>
          <w:sz w:val="18"/>
          <w:szCs w:val="18"/>
          <w:color w:val="auto"/>
        </w:rPr>
      </w:pPr>
    </w:p>
    <w:p>
      <w:pPr>
        <w:ind w:right="420" w:firstLine="885"/>
        <w:spacing w:after="0" w:line="293" w:lineRule="auto"/>
        <w:tabs>
          <w:tab w:leader="none" w:pos="1271" w:val="left"/>
        </w:tabs>
        <w:numPr>
          <w:ilvl w:val="1"/>
          <w:numId w:val="480"/>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Commencing with calendar year 2018, you will be eligible to receive an annual cash incentive bonus with a target amount equal to 40% of your then-current annual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Your bonus in respect of 2018, and any future bonuses, will be subject to the terms of the applicable bonus plan developed and approved by the Board or the Compensation Committee of the Board. Any bonus awarded will be paid on or before March 15 of the calendar year immediately following the year for which the bonus was awarded, subject to your employment at the end of the calendar year for which the bonus is due, except as otherwise expressly provided for herein. To the extent your employment with Parent commenced following January 1, 2018, your 2018 annual bonus will be pro-rated to reflect your service during 2018.</w:t>
      </w:r>
    </w:p>
    <w:p>
      <w:pPr>
        <w:spacing w:after="0" w:line="164" w:lineRule="exact"/>
        <w:rPr>
          <w:rFonts w:ascii="Arial" w:cs="Arial" w:eastAsia="Arial" w:hAnsi="Arial"/>
          <w:sz w:val="16"/>
          <w:szCs w:val="16"/>
          <w:color w:val="auto"/>
        </w:rPr>
      </w:pPr>
    </w:p>
    <w:p>
      <w:pPr>
        <w:jc w:val="both"/>
        <w:ind w:right="320" w:firstLine="885"/>
        <w:spacing w:after="0" w:line="264" w:lineRule="auto"/>
        <w:tabs>
          <w:tab w:leader="none" w:pos="1261"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eligible to participate in any and all benefit programs that the Company establishes and makes available to its employees from time to, time, provided that you are eligible under (and subject to all provisions of) the plan documents that govern those programs. Benefits are subject to change at any time in the Company’s sole discretion.</w:t>
      </w:r>
    </w:p>
    <w:p>
      <w:pPr>
        <w:spacing w:after="0" w:line="181" w:lineRule="exact"/>
        <w:rPr>
          <w:rFonts w:ascii="Arial" w:cs="Arial" w:eastAsia="Arial" w:hAnsi="Arial"/>
          <w:sz w:val="18"/>
          <w:szCs w:val="18"/>
          <w:color w:val="auto"/>
        </w:rPr>
      </w:pPr>
    </w:p>
    <w:p>
      <w:pPr>
        <w:ind w:right="120" w:firstLine="885"/>
        <w:spacing w:after="0" w:line="308" w:lineRule="auto"/>
        <w:tabs>
          <w:tab w:leader="none" w:pos="1271" w:val="left"/>
        </w:tabs>
        <w:numPr>
          <w:ilvl w:val="1"/>
          <w:numId w:val="480"/>
        </w:numPr>
        <w:rPr>
          <w:rFonts w:ascii="Arial" w:cs="Arial" w:eastAsia="Arial" w:hAnsi="Arial"/>
          <w:sz w:val="17"/>
          <w:szCs w:val="17"/>
          <w:color w:val="auto"/>
        </w:rPr>
      </w:pPr>
      <w:r>
        <w:rPr>
          <w:rFonts w:ascii="Arial" w:cs="Arial" w:eastAsia="Arial" w:hAnsi="Arial"/>
          <w:sz w:val="17"/>
          <w:szCs w:val="17"/>
          <w:u w:val="single" w:color="auto"/>
          <w:color w:val="auto"/>
        </w:rPr>
        <w:t>Expense Reimbursements</w:t>
      </w:r>
      <w:r>
        <w:rPr>
          <w:rFonts w:ascii="Arial" w:cs="Arial" w:eastAsia="Arial" w:hAnsi="Arial"/>
          <w:sz w:val="17"/>
          <w:szCs w:val="17"/>
          <w:color w:val="auto"/>
        </w:rPr>
        <w:t>. The Company will reimburse you for all reasonable business expenses incurred by you in the performance of your duties, subject to the Company’s expense reimbursement policies applicable to senior executives in effect from time to time.</w:t>
      </w:r>
    </w:p>
    <w:p>
      <w:pPr>
        <w:spacing w:after="0" w:line="146" w:lineRule="exact"/>
        <w:rPr>
          <w:rFonts w:ascii="Arial" w:cs="Arial" w:eastAsia="Arial" w:hAnsi="Arial"/>
          <w:sz w:val="17"/>
          <w:szCs w:val="17"/>
          <w:color w:val="auto"/>
        </w:rPr>
      </w:pPr>
    </w:p>
    <w:p>
      <w:pPr>
        <w:ind w:right="180" w:firstLine="885"/>
        <w:spacing w:after="0" w:line="255" w:lineRule="auto"/>
        <w:tabs>
          <w:tab w:leader="none" w:pos="1261"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You will be entitled to paid time off in accordance with the policies of the Company. In connection with your transfer of employment to Gossamer Services effective January 1, 2019, you may be entitled to receive payment of any accrued, unused paid time off that you have accrued with Parent. However, if you receive a payout of all accrued, unused paid time off, please understand you will have no paid time off available to you immediately after the transfer of your employment. In order to avoid this result, Parent and Gossamer Services have arranged to rollover your accrued, unused paid time off to Gossamer Services. If you do not want to rollover your accrued, unused paid time off to the Company, please check the “</w:t>
      </w:r>
      <w:r>
        <w:rPr>
          <w:rFonts w:ascii="Arial" w:cs="Arial" w:eastAsia="Arial" w:hAnsi="Arial"/>
          <w:sz w:val="18"/>
          <w:szCs w:val="18"/>
          <w:i w:val="1"/>
          <w:iCs w:val="1"/>
          <w:color w:val="auto"/>
        </w:rPr>
        <w:t>No Rollover</w:t>
      </w:r>
      <w:r>
        <w:rPr>
          <w:rFonts w:ascii="Arial" w:cs="Arial" w:eastAsia="Arial" w:hAnsi="Arial"/>
          <w:sz w:val="18"/>
          <w:szCs w:val="18"/>
          <w:color w:val="auto"/>
        </w:rPr>
        <w:t>” box</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619" w:name="page620"/>
    <w:bookmarkEnd w:id="61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the signature line below. If you do want to rollover your accrued, unused paid time off, and have it available for use with the Company, please check the “</w:t>
      </w:r>
      <w:r>
        <w:rPr>
          <w:rFonts w:ascii="Arial" w:cs="Arial" w:eastAsia="Arial" w:hAnsi="Arial"/>
          <w:sz w:val="18"/>
          <w:szCs w:val="18"/>
          <w:i w:val="1"/>
          <w:iCs w:val="1"/>
          <w:color w:val="auto"/>
        </w:rPr>
        <w:t>Rollover PTO</w:t>
      </w:r>
      <w:r>
        <w:rPr>
          <w:rFonts w:ascii="Arial" w:cs="Arial" w:eastAsia="Arial" w:hAnsi="Arial"/>
          <w:sz w:val="18"/>
          <w:szCs w:val="18"/>
          <w:color w:val="auto"/>
        </w:rPr>
        <w:t>” box below the signature line below. Gossamer Services’ paid time off policy will be the same as the policy currently in effect at Parent.</w:t>
      </w:r>
    </w:p>
    <w:p>
      <w:pPr>
        <w:spacing w:after="0" w:line="181" w:lineRule="exact"/>
        <w:rPr>
          <w:sz w:val="20"/>
          <w:szCs w:val="20"/>
          <w:color w:val="auto"/>
        </w:rPr>
      </w:pPr>
    </w:p>
    <w:p>
      <w:pPr>
        <w:ind w:left="760" w:hanging="316"/>
        <w:spacing w:after="0"/>
        <w:tabs>
          <w:tab w:leader="none" w:pos="760"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At-Will Employment;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885"/>
        <w:spacing w:after="0" w:line="291" w:lineRule="auto"/>
        <w:tabs>
          <w:tab w:leader="none" w:pos="1261"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At-Will Employment; Notice of Resignation</w:t>
      </w:r>
      <w:r>
        <w:rPr>
          <w:rFonts w:ascii="Arial" w:cs="Arial" w:eastAsia="Arial" w:hAnsi="Arial"/>
          <w:sz w:val="16"/>
          <w:szCs w:val="16"/>
          <w:color w:val="auto"/>
        </w:rPr>
        <w:t>. This Agreement shall not be construed as an agreement, either express or implied, to employ you for any stated term, and shall in no way alter the Company’s policy of employment at-will, under which both the Company and you 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an executive officer of the Company, which expressly states the intention to modify the at-will nature of your employment. Similarly, nothing in this Agreement shall be construed as an agreement, either express or implied, to pay you any compensation or grant you any benefit beyond the end of your employment with the Company, except as otherwise explicitly set forth herein.</w:t>
      </w:r>
    </w:p>
    <w:p>
      <w:pPr>
        <w:spacing w:after="0" w:line="167" w:lineRule="exact"/>
        <w:rPr>
          <w:rFonts w:ascii="Arial" w:cs="Arial" w:eastAsia="Arial" w:hAnsi="Arial"/>
          <w:sz w:val="16"/>
          <w:szCs w:val="16"/>
          <w:color w:val="auto"/>
        </w:rPr>
      </w:pPr>
    </w:p>
    <w:p>
      <w:pPr>
        <w:ind w:right="220" w:firstLine="885"/>
        <w:spacing w:after="0" w:line="264" w:lineRule="auto"/>
        <w:tabs>
          <w:tab w:leader="none" w:pos="1271" w:val="left"/>
        </w:tabs>
        <w:numPr>
          <w:ilvl w:val="1"/>
          <w:numId w:val="481"/>
        </w:numPr>
        <w:rPr>
          <w:rFonts w:ascii="Arial" w:cs="Arial" w:eastAsia="Arial" w:hAnsi="Arial"/>
          <w:sz w:val="18"/>
          <w:szCs w:val="18"/>
          <w:color w:val="auto"/>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In the event your employment with the Company ever terminates, on your last day of employment, you will receive your accrued but unpaid base salary and all accrued but unused paid time off through the last day of your employment, in accordance with the Company’s then-current payroll policies and practices (the “</w:t>
      </w:r>
      <w:r>
        <w:rPr>
          <w:rFonts w:ascii="Arial" w:cs="Arial" w:eastAsia="Arial" w:hAnsi="Arial"/>
          <w:sz w:val="18"/>
          <w:szCs w:val="18"/>
          <w:u w:val="single" w:color="auto"/>
          <w:color w:val="auto"/>
        </w:rPr>
        <w:t>Termination 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885"/>
        <w:spacing w:after="0" w:line="268" w:lineRule="auto"/>
        <w:tabs>
          <w:tab w:leader="none" w:pos="1261" w:val="left"/>
        </w:tabs>
        <w:numPr>
          <w:ilvl w:val="1"/>
          <w:numId w:val="48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Prior to a Change in Control or More Than 12 Months Following a Change in Control</w:t>
      </w:r>
      <w:r>
        <w:rPr>
          <w:rFonts w:ascii="Arial" w:cs="Arial" w:eastAsia="Arial" w:hAnsi="Arial"/>
          <w:sz w:val="17"/>
          <w:szCs w:val="17"/>
          <w:color w:val="auto"/>
        </w:rPr>
        <w:t>. Without otherwise limiting the “at-will” nature of your employment, in the event your employment is terminated at any time by the Company (or any of its subsidiaries or affiliates, as applicable, or any of their respective successors or assigns) without Cause (as defined below) (excluding by reason of your death and Disability (as defined below)) or by you for Good Reason in each case prior to a Change in Control (as defined below) or more than twelve (12) months following a Change in Control, then, in addition to the Termination Payment, the Company shall provide the following payments and benefits (“</w:t>
      </w:r>
      <w:r>
        <w:rPr>
          <w:rFonts w:ascii="Arial" w:cs="Arial" w:eastAsia="Arial" w:hAnsi="Arial"/>
          <w:sz w:val="17"/>
          <w:szCs w:val="17"/>
          <w:u w:val="single" w:color="auto"/>
          <w:color w:val="auto"/>
        </w:rPr>
        <w:t>Severance Benefits</w:t>
      </w:r>
      <w:r>
        <w:rPr>
          <w:rFonts w:ascii="Arial" w:cs="Arial" w:eastAsia="Arial" w:hAnsi="Arial"/>
          <w:sz w:val="17"/>
          <w:szCs w:val="17"/>
          <w:color w:val="auto"/>
        </w:rPr>
        <w:t>”): (i) continued payment of your base salary at the then-current rate per pay period for a period of nine (9) months following your termination date, in accordance with the Company’s then-current payroll policies and practices; and (ii) provided you timely elect and remain eligible for coverage pursuant to Part 6 of Title I of ERISA, or similar state law (collectively, “</w:t>
      </w:r>
      <w:r>
        <w:rPr>
          <w:rFonts w:ascii="Arial" w:cs="Arial" w:eastAsia="Arial" w:hAnsi="Arial"/>
          <w:sz w:val="17"/>
          <w:szCs w:val="17"/>
          <w:u w:val="single" w:color="auto"/>
          <w:color w:val="auto"/>
        </w:rPr>
        <w:t>COBRA</w:t>
      </w:r>
      <w:r>
        <w:rPr>
          <w:rFonts w:ascii="Arial" w:cs="Arial" w:eastAsia="Arial" w:hAnsi="Arial"/>
          <w:sz w:val="17"/>
          <w:szCs w:val="17"/>
          <w:color w:val="auto"/>
        </w:rPr>
        <w:t>”),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nine (9) months following such date and (y) the date you become eligible for coverage under a subsequent employer’s medical plan.</w:t>
      </w:r>
    </w:p>
    <w:p>
      <w:pPr>
        <w:spacing w:after="0" w:line="187" w:lineRule="exact"/>
        <w:rPr>
          <w:rFonts w:ascii="Arial" w:cs="Arial" w:eastAsia="Arial" w:hAnsi="Arial"/>
          <w:sz w:val="17"/>
          <w:szCs w:val="17"/>
          <w:color w:val="auto"/>
        </w:rPr>
      </w:pPr>
    </w:p>
    <w:p>
      <w:pPr>
        <w:ind w:right="360" w:firstLine="885"/>
        <w:spacing w:after="0" w:line="308" w:lineRule="auto"/>
        <w:tabs>
          <w:tab w:leader="none" w:pos="1271" w:val="left"/>
        </w:tabs>
        <w:numPr>
          <w:ilvl w:val="1"/>
          <w:numId w:val="48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Within 12 Months Following a Change in Control</w:t>
      </w:r>
      <w:r>
        <w:rPr>
          <w:rFonts w:ascii="Arial" w:cs="Arial" w:eastAsia="Arial" w:hAnsi="Arial"/>
          <w:sz w:val="17"/>
          <w:szCs w:val="17"/>
          <w:color w:val="auto"/>
        </w:rPr>
        <w:t>. In the event your employment is terminated at any time by the Company (or any of its subsidiaries or affiliates, as applicable, or any of their respective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20" w:name="page621"/>
    <w:bookmarkEnd w:id="6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or assigns) without Cause (excluding by reason of your death and Disability) or by you for Good Reason, in each case on or within twelve</w:t>
      </w:r>
    </w:p>
    <w:p>
      <w:pPr>
        <w:spacing w:after="0" w:line="46" w:lineRule="exact"/>
        <w:rPr>
          <w:sz w:val="20"/>
          <w:szCs w:val="20"/>
          <w:color w:val="auto"/>
        </w:rPr>
      </w:pPr>
    </w:p>
    <w:p>
      <w:pPr>
        <w:ind w:right="260" w:firstLine="4"/>
        <w:spacing w:after="0" w:line="281" w:lineRule="auto"/>
        <w:tabs>
          <w:tab w:leader="none" w:pos="34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months after a Change in Control, then, in addition to the Termination Payment, the Company shall provide the following payments and benefits (“</w:t>
      </w:r>
      <w:r>
        <w:rPr>
          <w:rFonts w:ascii="Arial" w:cs="Arial" w:eastAsia="Arial" w:hAnsi="Arial"/>
          <w:sz w:val="16"/>
          <w:szCs w:val="16"/>
          <w:u w:val="single" w:color="auto"/>
          <w:color w:val="auto"/>
        </w:rPr>
        <w:t>Change in Control Severance Benefits</w:t>
      </w:r>
      <w:r>
        <w:rPr>
          <w:rFonts w:ascii="Arial" w:cs="Arial" w:eastAsia="Arial" w:hAnsi="Arial"/>
          <w:sz w:val="16"/>
          <w:szCs w:val="16"/>
          <w:color w:val="auto"/>
        </w:rPr>
        <w:t>”): (i) continued payment of your base salary at the then-current rate per pay period for a period of twelve</w:t>
      </w:r>
    </w:p>
    <w:p>
      <w:pPr>
        <w:spacing w:after="0" w:line="1" w:lineRule="exact"/>
        <w:rPr>
          <w:rFonts w:ascii="Arial" w:cs="Arial" w:eastAsia="Arial" w:hAnsi="Arial"/>
          <w:sz w:val="16"/>
          <w:szCs w:val="16"/>
          <w:color w:val="auto"/>
        </w:rPr>
      </w:pPr>
    </w:p>
    <w:p>
      <w:pPr>
        <w:ind w:right="40" w:firstLine="4"/>
        <w:spacing w:after="0" w:line="286" w:lineRule="auto"/>
        <w:tabs>
          <w:tab w:leader="none" w:pos="34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months following your termination date, in accordance with the Company’s then-current payroll policies and practices; (ii) payment of your Target Bonus for the calendar year during which your date of termination occurs, on the Payment Date; (iii) full vesting of any unvested portion of any equity awards then held by you, which shall no longer be subject to any restrictions or forfeiture, and full exercisability with respect to stock options and similar awards; and (iv) provided you timely elect and remain eligible for coverage pursuant to COBRA, payment or reimbursement to you of an amount equal to the full monthly premium for COBRA continuation coverage under the Company’s medical plans as in effect on the date of your termination with respect to the level of coverage in effect for you and your eligible dependents as of the date of your termination, on a monthly basis on the first business day of the calendar month next following the calendar month in which the applicable COBRA premiums were paid, with respect to the period from the date of your termination until the earlier of (x) twelve (12) months following such date and (y) the date you become eligible for coverage under a subsequent employer’s medical plan. Notwithstanding anything to the contrary and for the avoidance of doubt, any Change in Control Severance Benefits paid to you shall be instead of, and not in addition to, any Severance Benefits that may be paid to you.</w:t>
      </w:r>
    </w:p>
    <w:p>
      <w:pPr>
        <w:spacing w:after="0" w:line="170" w:lineRule="exact"/>
        <w:rPr>
          <w:rFonts w:ascii="Arial" w:cs="Arial" w:eastAsia="Arial" w:hAnsi="Arial"/>
          <w:sz w:val="16"/>
          <w:szCs w:val="16"/>
          <w:color w:val="auto"/>
        </w:rPr>
      </w:pPr>
    </w:p>
    <w:p>
      <w:pPr>
        <w:ind w:right="80" w:firstLine="885"/>
        <w:spacing w:after="0" w:line="255" w:lineRule="auto"/>
        <w:tabs>
          <w:tab w:leader="none" w:pos="1261" w:val="left"/>
        </w:tabs>
        <w:numPr>
          <w:ilvl w:val="1"/>
          <w:numId w:val="483"/>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your employment is terminated at any time by the Company (or any of its subsidiaries or affiliates, as applicable, or any of their respective successors or assigns) by reason of your death or Disability, then, in addition to the Termination Payment, the Company shall provide that the greater of (i) fifty percent (50%) of the unvested portion of any equity awards then held by you immediately prior to such termination or (ii) the portion of such equity awards that would have otherwise vested in the nine (9) month period following the date of such termination of employment, shall vest and shall no longer be subject to restrictions or forfeiture on the date of such termination (“</w:t>
      </w:r>
      <w:r>
        <w:rPr>
          <w:rFonts w:ascii="Arial" w:cs="Arial" w:eastAsia="Arial" w:hAnsi="Arial"/>
          <w:sz w:val="18"/>
          <w:szCs w:val="18"/>
          <w:u w:val="single" w:color="auto"/>
          <w:color w:val="auto"/>
        </w:rPr>
        <w:t>Qualified Accelerated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right="80" w:firstLine="885"/>
        <w:spacing w:after="0" w:line="291" w:lineRule="auto"/>
        <w:tabs>
          <w:tab w:leader="none" w:pos="1241"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anything to the contrary in the foregoing, you will not be entitled to receive any Severance Benefits, Change in Control Severance Benefits or Qualified Accelerated Vesting, as applicable (to the extent applicable, the “</w:t>
      </w:r>
      <w:r>
        <w:rPr>
          <w:rFonts w:ascii="Arial" w:cs="Arial" w:eastAsia="Arial" w:hAnsi="Arial"/>
          <w:sz w:val="16"/>
          <w:szCs w:val="16"/>
          <w:u w:val="single" w:color="auto"/>
          <w:color w:val="auto"/>
        </w:rPr>
        <w:t>Termination Benefits</w:t>
      </w:r>
      <w:r>
        <w:rPr>
          <w:rFonts w:ascii="Arial" w:cs="Arial" w:eastAsia="Arial" w:hAnsi="Arial"/>
          <w:sz w:val="16"/>
          <w:szCs w:val="16"/>
          <w:color w:val="auto"/>
        </w:rPr>
        <w:t>”) unless, within sixty</w:t>
      </w:r>
    </w:p>
    <w:p>
      <w:pPr>
        <w:ind w:firstLine="4"/>
        <w:spacing w:after="0" w:line="254" w:lineRule="auto"/>
        <w:tabs>
          <w:tab w:leader="none" w:pos="34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days following the date of termination, you, or in the event of your death or Disability, your legal representatives, have executed a general release of all known and unknown claims and covenant not to sue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to such form to help ensure enforceability under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any revocation period thereunder has lapsed without exercise by you (or your legal representatives) of such revocation right.</w:t>
      </w:r>
    </w:p>
    <w:p>
      <w:pPr>
        <w:spacing w:after="0" w:line="189" w:lineRule="exact"/>
        <w:rPr>
          <w:rFonts w:ascii="Arial" w:cs="Arial" w:eastAsia="Arial" w:hAnsi="Arial"/>
          <w:sz w:val="18"/>
          <w:szCs w:val="18"/>
          <w:color w:val="auto"/>
        </w:rPr>
      </w:pPr>
    </w:p>
    <w:p>
      <w:pPr>
        <w:jc w:val="both"/>
        <w:ind w:right="100" w:firstLine="885"/>
        <w:spacing w:after="0" w:line="259" w:lineRule="auto"/>
        <w:tabs>
          <w:tab w:leader="none" w:pos="1271" w:val="left"/>
        </w:tabs>
        <w:numPr>
          <w:ilvl w:val="1"/>
          <w:numId w:val="484"/>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The Termination Benefits shall be paid or provided or shall commence on the first payroll period following the date the Release becomes effective (the “</w:t>
      </w:r>
      <w:r>
        <w:rPr>
          <w:rFonts w:ascii="Arial" w:cs="Arial" w:eastAsia="Arial" w:hAnsi="Arial"/>
          <w:sz w:val="18"/>
          <w:szCs w:val="18"/>
          <w:u w:val="single" w:color="auto"/>
          <w:color w:val="auto"/>
        </w:rPr>
        <w:t>Payment Date</w:t>
      </w:r>
      <w:r>
        <w:rPr>
          <w:rFonts w:ascii="Arial" w:cs="Arial" w:eastAsia="Arial" w:hAnsi="Arial"/>
          <w:sz w:val="18"/>
          <w:szCs w:val="18"/>
          <w:color w:val="auto"/>
        </w:rPr>
        <w:t>”) and the first payment shall include all accrued amounts from the date of termination, provided that if the period during which you may deliver the Release required hereunder spans two (2) calendar years, the Payment Date shall be no earlier than January 1 of the second calendar year.</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1"/>
          <w:numId w:val="48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621" w:name="page622"/>
    <w:bookmarkEnd w:id="621"/>
    <w:p>
      <w:pPr>
        <w:ind w:right="40" w:firstLine="1436"/>
        <w:spacing w:after="0" w:line="259" w:lineRule="auto"/>
        <w:tabs>
          <w:tab w:leader="none" w:pos="1783" w:val="left"/>
        </w:tabs>
        <w:numPr>
          <w:ilvl w:val="2"/>
          <w:numId w:val="4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the Gossamer Bio, Inc. 2017 Equity Incentive Plan, as in effect on the Effective Date (the “</w:t>
      </w:r>
      <w:r>
        <w:rPr>
          <w:rFonts w:ascii="Arial" w:cs="Arial" w:eastAsia="Arial" w:hAnsi="Arial"/>
          <w:sz w:val="18"/>
          <w:szCs w:val="18"/>
          <w:u w:val="single" w:color="auto"/>
          <w:color w:val="auto"/>
        </w:rPr>
        <w:t>Equity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effective on the date on which the Company’s Registration Statement on Form S-1 filed with respect to the Company’s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becomes effective, “Change in Control” shall have the meaning set forth in the equity plan adopted by Parent in connection with the IPO.</w:t>
      </w:r>
    </w:p>
    <w:p>
      <w:pPr>
        <w:spacing w:after="0" w:line="186" w:lineRule="exact"/>
        <w:rPr>
          <w:rFonts w:ascii="Arial" w:cs="Arial" w:eastAsia="Arial" w:hAnsi="Arial"/>
          <w:sz w:val="18"/>
          <w:szCs w:val="18"/>
          <w:color w:val="auto"/>
        </w:rPr>
      </w:pPr>
    </w:p>
    <w:p>
      <w:pPr>
        <w:ind w:firstLine="1436"/>
        <w:spacing w:after="0" w:line="286" w:lineRule="auto"/>
        <w:tabs>
          <w:tab w:leader="none" w:pos="1823" w:val="left"/>
        </w:tabs>
        <w:numPr>
          <w:ilvl w:val="2"/>
          <w:numId w:val="48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means: (A) a willful and material act of dishonesty by you in connection with the performance of your duties as an employee of the Company; (B) your conviction of, or plea of guilty or nolo contendere to, a felony, or any crime involving fraud or embezzlement that the Board reasonably determines has had or is reasonably likely to have a materially detrimental effect on the Company’s reputation or business; (C) your gross misconduct in the performance of your duties as an employee of the Company; (D) your willful and material unauthorized use or disclosure of any proprietary information or trade secrets of the Company or any other party to whom you owe an obligation of nondisclosure as a result of your relationship with the Company; (E) your willful and material breach of any obligations under any written agreement or written covenant with the Company; or (F) your continued willful and substantial failure to perform your material employment duties that are lawfully assigned to you in good faith by your reporting superior (other than as a result of your death or Disability) after written notice. Cause shall not exist unless, in any case, you have first received a written notice from the Board that sets forth the factual basis for the Board’s determination as to any behavior or occurrence claimed as Cause and you fail to cure such claimed behavior or occurrence, if curable, to the reasonable satisfaction of a majority of the Board within ten (10) business days after receiving such written notice, in which case your termination date will be the expiration date of the cure period, if any. For purposes of this paragraph, no act or failure to act on your part shall be considered “willful” unless it is done or omitted to be done by you in bad faith and without reasonable belief that the act or failure to act was in the best interest of the Company.</w:t>
      </w:r>
    </w:p>
    <w:p>
      <w:pPr>
        <w:spacing w:after="0" w:line="174" w:lineRule="exact"/>
        <w:rPr>
          <w:rFonts w:ascii="Arial" w:cs="Arial" w:eastAsia="Arial" w:hAnsi="Arial"/>
          <w:sz w:val="16"/>
          <w:szCs w:val="16"/>
          <w:color w:val="auto"/>
        </w:rPr>
      </w:pPr>
    </w:p>
    <w:p>
      <w:pPr>
        <w:ind w:right="280" w:firstLine="1436"/>
        <w:spacing w:after="0" w:line="288" w:lineRule="auto"/>
        <w:tabs>
          <w:tab w:leader="none" w:pos="1873" w:val="left"/>
        </w:tabs>
        <w:numPr>
          <w:ilvl w:val="2"/>
          <w:numId w:val="48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one or more of the following, without your written consent: (A) a material reduction in your base salary or target annual bonus; (B) a material diminution of your title, duties, responsibilities or reporting lines; (C) a material change in the principal geographic location at which you must perform services, more than fifty (50) miles from the Company’s head office;</w:t>
      </w:r>
    </w:p>
    <w:p>
      <w:pPr>
        <w:ind w:right="260" w:firstLine="4"/>
        <w:spacing w:after="0" w:line="254" w:lineRule="auto"/>
        <w:tabs>
          <w:tab w:leader="none" w:pos="29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 material breach by the Company of this Agreement. Any such event shall not constitute Good Reason unless and until you have provided the Company with written notice thereof no later than sixty (60) days following the initial occurrence of such event and the Company shall have failed to remedy such event (if capable of being remedied) within thirty (30) days of receipt of such notice, and you must terminate your employment with the Company within sixty (60) days after the expiration of such thirty (30)-day remedial period.</w:t>
      </w:r>
    </w:p>
    <w:p>
      <w:pPr>
        <w:spacing w:after="0" w:line="189" w:lineRule="exact"/>
        <w:rPr>
          <w:rFonts w:ascii="Arial" w:cs="Arial" w:eastAsia="Arial" w:hAnsi="Arial"/>
          <w:sz w:val="18"/>
          <w:szCs w:val="18"/>
          <w:color w:val="auto"/>
        </w:rPr>
      </w:pPr>
    </w:p>
    <w:p>
      <w:pPr>
        <w:ind w:right="180" w:firstLine="1436"/>
        <w:spacing w:after="0" w:line="277" w:lineRule="auto"/>
        <w:tabs>
          <w:tab w:leader="none" w:pos="1863" w:val="left"/>
        </w:tabs>
        <w:numPr>
          <w:ilvl w:val="2"/>
          <w:numId w:val="486"/>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within the meaning of Section 22(e)(3) of the Code, as it may be amended from time to time.</w:t>
      </w:r>
    </w:p>
    <w:p>
      <w:pPr>
        <w:spacing w:after="0" w:line="170" w:lineRule="exact"/>
        <w:rPr>
          <w:rFonts w:ascii="Arial" w:cs="Arial" w:eastAsia="Arial" w:hAnsi="Arial"/>
          <w:sz w:val="18"/>
          <w:szCs w:val="18"/>
          <w:color w:val="auto"/>
        </w:rPr>
      </w:pPr>
    </w:p>
    <w:p>
      <w:pPr>
        <w:ind w:right="300" w:firstLine="885"/>
        <w:spacing w:after="0" w:line="259" w:lineRule="auto"/>
        <w:tabs>
          <w:tab w:leader="none" w:pos="1231"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Any severance payments to you under this Agreement shall begin only after the date of your “separation from service” within the meaning of Internal Revenue Code Section 409A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determined as set forth below, which occurs on or after date of the termination of your employment, and shall be subject to the following provisions: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22" w:name="page623"/>
    <w:bookmarkEnd w:id="622"/>
    <w:p>
      <w:pPr>
        <w:ind w:right="20" w:firstLine="1436"/>
        <w:spacing w:after="0" w:line="257" w:lineRule="auto"/>
        <w:tabs>
          <w:tab w:leader="none" w:pos="1779" w:val="left"/>
        </w:tabs>
        <w:numPr>
          <w:ilvl w:val="1"/>
          <w:numId w:val="4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intent of the parties is that payments and benefits under this Agreement comply with, or be exempt from Section 409A and, accordingly, to the maximum extent permitted, this Agreement shall be interpreted to be in compliance therewith. For purposes of Section 409A, your right to receive any installment payments pursuant to this Agreement will be treated as a right to receive a series of separate and distinct payments. Neither the Company nor you shall have the right to accelerate or defer the delivery of any such payments except to the extent specifically permitted or required by Section 409A.</w:t>
      </w:r>
    </w:p>
    <w:p>
      <w:pPr>
        <w:spacing w:after="0" w:line="188" w:lineRule="exact"/>
        <w:rPr>
          <w:rFonts w:ascii="Arial" w:cs="Arial" w:eastAsia="Arial" w:hAnsi="Arial"/>
          <w:sz w:val="18"/>
          <w:szCs w:val="18"/>
          <w:color w:val="auto"/>
        </w:rPr>
      </w:pPr>
    </w:p>
    <w:p>
      <w:pPr>
        <w:ind w:right="40" w:firstLine="1436"/>
        <w:spacing w:after="0" w:line="308" w:lineRule="auto"/>
        <w:tabs>
          <w:tab w:leader="none" w:pos="1833" w:val="left"/>
        </w:tabs>
        <w:numPr>
          <w:ilvl w:val="1"/>
          <w:numId w:val="487"/>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not a “specified employee” (within the meaning of Section 409A), then each installment of the severance payments shall be made on the dates and terms set forth in this Agreement.</w:t>
      </w:r>
    </w:p>
    <w:p>
      <w:pPr>
        <w:spacing w:after="0" w:line="146" w:lineRule="exact"/>
        <w:rPr>
          <w:rFonts w:ascii="Arial" w:cs="Arial" w:eastAsia="Arial" w:hAnsi="Arial"/>
          <w:sz w:val="17"/>
          <w:szCs w:val="17"/>
          <w:color w:val="auto"/>
        </w:rPr>
      </w:pPr>
    </w:p>
    <w:p>
      <w:pPr>
        <w:ind w:left="1880" w:hanging="444"/>
        <w:spacing w:after="0"/>
        <w:tabs>
          <w:tab w:leader="none" w:pos="188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from the Company, you are a “specified employee” (within the meaning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then:</w:t>
      </w:r>
    </w:p>
    <w:p>
      <w:pPr>
        <w:spacing w:after="0" w:line="102" w:lineRule="exact"/>
        <w:rPr>
          <w:rFonts w:ascii="Arial" w:cs="Arial" w:eastAsia="Arial" w:hAnsi="Arial"/>
          <w:sz w:val="16"/>
          <w:szCs w:val="16"/>
          <w:color w:val="auto"/>
        </w:rPr>
      </w:pPr>
    </w:p>
    <w:p>
      <w:pPr>
        <w:jc w:val="both"/>
        <w:ind w:right="20" w:firstLine="1877"/>
        <w:spacing w:after="0" w:line="259" w:lineRule="auto"/>
        <w:tabs>
          <w:tab w:leader="none" w:pos="2303" w:val="left"/>
        </w:tabs>
        <w:numPr>
          <w:ilvl w:val="2"/>
          <w:numId w:val="487"/>
        </w:numPr>
        <w:rPr>
          <w:rFonts w:ascii="Arial" w:cs="Arial" w:eastAsia="Arial" w:hAnsi="Arial"/>
          <w:sz w:val="18"/>
          <w:szCs w:val="18"/>
          <w:color w:val="auto"/>
        </w:rPr>
      </w:pPr>
      <w:r>
        <w:rPr>
          <w:rFonts w:ascii="Arial" w:cs="Arial" w:eastAsia="Arial" w:hAnsi="Arial"/>
          <w:sz w:val="18"/>
          <w:szCs w:val="18"/>
          <w:color w:val="auto"/>
        </w:rPr>
        <w:t>Each installment of the severance payments that, in accordance with the dates and terms set forth in this Agreement,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 shall be paid on the dates and terms set forth in this Agreement; and</w:t>
      </w:r>
    </w:p>
    <w:p>
      <w:pPr>
        <w:spacing w:after="0" w:line="186" w:lineRule="exact"/>
        <w:rPr>
          <w:rFonts w:ascii="Arial" w:cs="Arial" w:eastAsia="Arial" w:hAnsi="Arial"/>
          <w:sz w:val="18"/>
          <w:szCs w:val="18"/>
          <w:color w:val="auto"/>
        </w:rPr>
      </w:pPr>
    </w:p>
    <w:p>
      <w:pPr>
        <w:ind w:right="240" w:firstLine="1877"/>
        <w:spacing w:after="0" w:line="291" w:lineRule="auto"/>
        <w:tabs>
          <w:tab w:leader="none" w:pos="2293" w:val="left"/>
        </w:tabs>
        <w:numPr>
          <w:ilvl w:val="2"/>
          <w:numId w:val="487"/>
        </w:numPr>
        <w:rPr>
          <w:rFonts w:ascii="Arial" w:cs="Arial" w:eastAsia="Arial" w:hAnsi="Arial"/>
          <w:sz w:val="16"/>
          <w:szCs w:val="16"/>
          <w:color w:val="auto"/>
        </w:rPr>
      </w:pPr>
      <w:r>
        <w:rPr>
          <w:rFonts w:ascii="Arial" w:cs="Arial" w:eastAsia="Arial" w:hAnsi="Arial"/>
          <w:sz w:val="16"/>
          <w:szCs w:val="16"/>
          <w:color w:val="auto"/>
        </w:rPr>
        <w:t>Each installment of the severance payments that is not described in clause (iii)(A) above and that would, absent this clause (B), be paid within the six-month period following your “separation from service” from the Company shall not be paid until the date that is six</w:t>
      </w:r>
    </w:p>
    <w:p>
      <w:pPr>
        <w:ind w:firstLine="4"/>
        <w:spacing w:after="0" w:line="268" w:lineRule="auto"/>
        <w:tabs>
          <w:tab w:leader="none" w:pos="255"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months and one (1) day after such “separation from service” (or, if earlier, your death), with any such installments that are required to be delayed being accumulated during the six-month period and paid in a lump sum on the date that is six (6) months and one (1) day following your “separation from service” and any subsequent installments, if any, being paid in accordance with the dates and terms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preceding provisions of this clause (B) shall not apply to any installment of severance payments if and to the maximum extent that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84" w:lineRule="exact"/>
        <w:rPr>
          <w:rFonts w:ascii="Arial" w:cs="Arial" w:eastAsia="Arial" w:hAnsi="Arial"/>
          <w:sz w:val="17"/>
          <w:szCs w:val="17"/>
          <w:color w:val="auto"/>
        </w:rPr>
      </w:pPr>
    </w:p>
    <w:p>
      <w:pPr>
        <w:ind w:right="60" w:firstLine="1436"/>
        <w:spacing w:after="0" w:line="312" w:lineRule="auto"/>
        <w:tabs>
          <w:tab w:leader="none" w:pos="1869" w:val="left"/>
        </w:tabs>
        <w:numPr>
          <w:ilvl w:val="1"/>
          <w:numId w:val="488"/>
        </w:numPr>
        <w:rPr>
          <w:rFonts w:ascii="Arial" w:cs="Arial" w:eastAsia="Arial" w:hAnsi="Arial"/>
          <w:sz w:val="16"/>
          <w:szCs w:val="16"/>
          <w:color w:val="auto"/>
        </w:rPr>
      </w:pPr>
      <w:r>
        <w:rPr>
          <w:rFonts w:ascii="Arial" w:cs="Arial" w:eastAsia="Arial" w:hAnsi="Arial"/>
          <w:sz w:val="16"/>
          <w:szCs w:val="16"/>
          <w:color w:val="auto"/>
        </w:rPr>
        <w:t>The determination of whether and when your “separation from service” from the Company has occurred shall be made in a manner consistent with, and based on the presumptions set forth in, Treasury Regulation Section l.409A-1(h). Solely for purposes of this paragraph (iv), “Company” shall include all persons with whom the Company would be considered a single employer under Section 414(b) and 414(c) of the Code.</w:t>
      </w:r>
    </w:p>
    <w:p>
      <w:pPr>
        <w:spacing w:after="0" w:line="146" w:lineRule="exact"/>
        <w:rPr>
          <w:rFonts w:ascii="Arial" w:cs="Arial" w:eastAsia="Arial" w:hAnsi="Arial"/>
          <w:sz w:val="16"/>
          <w:szCs w:val="16"/>
          <w:color w:val="auto"/>
        </w:rPr>
      </w:pPr>
    </w:p>
    <w:p>
      <w:pPr>
        <w:ind w:right="140" w:firstLine="1436"/>
        <w:spacing w:after="0" w:line="288" w:lineRule="auto"/>
        <w:tabs>
          <w:tab w:leader="none" w:pos="1813" w:val="left"/>
        </w:tabs>
        <w:numPr>
          <w:ilvl w:val="1"/>
          <w:numId w:val="488"/>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(A) any reimbursement is for expenses incurred during your lifetime (or during a shorter period of time specified in this Agreement),</w:t>
      </w:r>
    </w:p>
    <w:p>
      <w:pPr>
        <w:spacing w:after="0"/>
        <w:rPr>
          <w:rFonts w:ascii="Arial" w:cs="Arial" w:eastAsia="Arial" w:hAnsi="Arial"/>
          <w:sz w:val="16"/>
          <w:szCs w:val="16"/>
          <w:color w:val="auto"/>
        </w:rPr>
      </w:pPr>
      <w:r>
        <w:rPr>
          <w:rFonts w:ascii="Arial" w:cs="Arial" w:eastAsia="Arial" w:hAnsi="Arial"/>
          <w:sz w:val="18"/>
          <w:szCs w:val="18"/>
          <w:color w:val="auto"/>
        </w:rPr>
        <w:t>(B) the amount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5" w:right="439" w:bottom="1440" w:gutter="0" w:footer="0" w:header="0"/>
        </w:sectPr>
      </w:pPr>
    </w:p>
    <w:bookmarkStart w:id="623" w:name="page624"/>
    <w:bookmarkEnd w:id="623"/>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eligible for reimbursement during a calendar year may not affect the expenses eligible for reimbursement in any other calendar year, (C) the reimbursement of any eligible expense will be made on or before the last day of the calendar year following the year in which the expense is incurred, and (D) the right to reimbursement is not subject to set off or liquidation or exchange for any other benefit.</w:t>
      </w:r>
    </w:p>
    <w:p>
      <w:pPr>
        <w:spacing w:after="0" w:line="166" w:lineRule="exact"/>
        <w:rPr>
          <w:sz w:val="20"/>
          <w:szCs w:val="20"/>
          <w:color w:val="auto"/>
        </w:rPr>
      </w:pPr>
    </w:p>
    <w:p>
      <w:pPr>
        <w:ind w:firstLine="1436"/>
        <w:spacing w:after="0" w:line="287" w:lineRule="auto"/>
        <w:tabs>
          <w:tab w:leader="none" w:pos="1873" w:val="left"/>
        </w:tabs>
        <w:numPr>
          <w:ilvl w:val="2"/>
          <w:numId w:val="489"/>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Company makes no representation or warranty and shall have no liability to you or to any other person if any provisions of this Agreement are determined to constitute deferred compensation subject to Section 409A but do not satisfy an exemption from, or the conditions of, that section. If either you or the Company reasonably determines that any payment to you will violate Section 409A, you and the Company agree to use reasonable best efforts to restructure the payment in a manner that is either exempt from or compliant with Section 409A to the extent that the restructuring is consistent with the original economic intent of the parties. You and the Company agree to execute any and all amendments to this Agreement (or any other applicable agreement) that are consistent with the original economic intent of the parties and promote compliance with the distribution provisions of Section 409A in an effort to avoid or minimize, to the extent allowable by law, the tax (and any interest or penalties thereon) associated with Section 409A. If it is determined that a payment to you was (or may be) made in violation of Section 409A, the Company will cooperate, to the extent commercially reasonable, with any effort by you to mitigate the tax consequences of such violation, including cooperation with your participation in any IRS voluntary compliance program or other correction procedure under Section 409A that may be available to you;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correction is consistent with the commercial intent of the parties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Company be obligated to incur any material cost in connection with its obligations under this sentence.</w:t>
      </w:r>
    </w:p>
    <w:p>
      <w:pPr>
        <w:spacing w:after="0" w:line="168" w:lineRule="exact"/>
        <w:rPr>
          <w:rFonts w:ascii="Arial" w:cs="Arial" w:eastAsia="Arial" w:hAnsi="Arial"/>
          <w:sz w:val="16"/>
          <w:szCs w:val="16"/>
          <w:color w:val="auto"/>
        </w:rPr>
      </w:pPr>
    </w:p>
    <w:p>
      <w:pPr>
        <w:ind w:right="240" w:firstLine="1436"/>
        <w:spacing w:after="0" w:line="259" w:lineRule="auto"/>
        <w:tabs>
          <w:tab w:leader="none" w:pos="1923" w:val="left"/>
        </w:tabs>
        <w:numPr>
          <w:ilvl w:val="2"/>
          <w:numId w:val="489"/>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86" w:lineRule="exact"/>
        <w:rPr>
          <w:rFonts w:ascii="Arial" w:cs="Arial" w:eastAsia="Arial" w:hAnsi="Arial"/>
          <w:sz w:val="18"/>
          <w:szCs w:val="18"/>
          <w:color w:val="auto"/>
        </w:rPr>
      </w:pPr>
    </w:p>
    <w:p>
      <w:pPr>
        <w:ind w:left="760" w:hanging="316"/>
        <w:spacing w:after="0"/>
        <w:tabs>
          <w:tab w:leader="none" w:pos="76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5"/>
        <w:spacing w:after="0" w:line="288" w:lineRule="auto"/>
        <w:tabs>
          <w:tab w:leader="none" w:pos="1261"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Best Pay Provision</w:t>
      </w:r>
      <w:r>
        <w:rPr>
          <w:rFonts w:ascii="Arial" w:cs="Arial" w:eastAsia="Arial" w:hAnsi="Arial"/>
          <w:sz w:val="16"/>
          <w:szCs w:val="16"/>
          <w:color w:val="auto"/>
        </w:rPr>
        <w:t>. Notwithstanding anything to the contrary contained in this Agreement, to the extent that any of the payments and benefits provided for under this Agreement or any other agreement or arrangement between the Company and you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(i) constitute a “parachute payment” within the meaning of Section 280G of the Code and (ii) but for this paragraph, would be subject to the excise tax imposed by Section 4999 of the Code, then the Payments shall be reduced to the extent necessary so that no portion of such Payments retained by you shall be subject to excise tax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such reduction shall only occur if after taking into account the applicable federal, state and local income taxes and the excise tax imposed by Section 4999 of the Code, such reduction results in your receipt on an after-tax basis, of the greatest amount of benefits under this Agreement, notwithstanding that all or some portion of such benefits may be taxable under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sentence shall not apply if, immediately before the change in ownership or control on which such Payment is contingent or otherwise relates, no stock in the Company is readily tradeable on an established securities market or otherwise (as determined in accordance with Treasury Reg. Section 1.280G-1 Q&amp;A 6). In the event of a determination that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24" w:name="page625"/>
    <w:bookmarkEnd w:id="62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reduction is to take place, reduction shall occur in the following order: first, reduction of cash payments, which shall occur in reverse chronological order such that the cash payment owed on the latest date following the occurrence of the event triggering such excise tax will be the first cash payment to be reduced; second, cancellation of accelerated vesting of equity awards, which shall occur in the reverse order of the date of grant for such stock awards (i.e., the vesting of the most recently granted stock awards will be reduced first); and third, reduction of employee benefits, which shall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w:t>
      </w:r>
    </w:p>
    <w:p>
      <w:pPr>
        <w:spacing w:after="0" w:line="165" w:lineRule="exact"/>
        <w:rPr>
          <w:sz w:val="20"/>
          <w:szCs w:val="20"/>
          <w:color w:val="auto"/>
        </w:rPr>
      </w:pPr>
    </w:p>
    <w:p>
      <w:pPr>
        <w:ind w:right="40" w:firstLine="885"/>
        <w:spacing w:after="0" w:line="270" w:lineRule="auto"/>
        <w:tabs>
          <w:tab w:leader="none" w:pos="1271" w:val="left"/>
        </w:tabs>
        <w:numPr>
          <w:ilvl w:val="0"/>
          <w:numId w:val="491"/>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Notwithstanding the foregoing, if any Payments would not be subject to such excise tax if the stockholder approval requirements of Section 280G(b)(5) of the Code are satisfied, subject to your waiver of the rights to such Payments in accordance with Section 280G of the Code with respect to any portion of the Payments that would otherwise be subject to excise tax imposed by Section 4999 of the Code (before giving effect to any reduction in Payments contemplated in the two preceding sentences), the Company shall use its reasonable best efforts to cause such payments to be submitted for such approval prior to the event giving rise to such payments. To the extent the Company submits any payment or benefit payable to you under this Agreement or otherwise to the Company’s stockholders for approval in accordance with Treasury Reg.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you and in the order prescribed in the preceding paragraph. In no event shall you have any discretion with respect to the ordering of payment reductions.</w:t>
      </w:r>
    </w:p>
    <w:p>
      <w:pPr>
        <w:spacing w:after="0" w:line="177" w:lineRule="exact"/>
        <w:rPr>
          <w:rFonts w:ascii="Arial" w:cs="Arial" w:eastAsia="Arial" w:hAnsi="Arial"/>
          <w:sz w:val="17"/>
          <w:szCs w:val="17"/>
          <w:color w:val="auto"/>
        </w:rPr>
      </w:pPr>
    </w:p>
    <w:p>
      <w:pPr>
        <w:ind w:firstLine="885"/>
        <w:spacing w:after="0" w:line="287" w:lineRule="auto"/>
        <w:tabs>
          <w:tab w:leader="none" w:pos="1261"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Unless you and the Company otherwise agree in writing, any determination required under this paragraph shall be made in writing by the Company’s independent public accountants immediately preceding the change in ownership or control on which such Payments are contingent or otherwise relate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you and the Company for all purposes. For purposes of making the calculations required by this Section 4, the Accountants may make reasonable assumptions and approximations concerning applicable taxes and may rely in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Company shall bear all costs the Accountants may reasonably incur in connection with any calculations contemplated by this paragraph. If the limitation set forth in Section 4(a) is applied to reduce an amount payable to you, and the Internal Revenue Service successfully asserts that, despite the reduction, you have nonetheless received payments which are in excess of the maximum amount that could have been paid to you without being subjected to any excise tax, then, unless it would be unlawful for the Company to make such a loan or similar extension of credit to you, you may repay such excess amount to the Company as though such amount constitutes a loan to you made at the date of payment of such excess amount, bearing interest at 120% of the applicable federal rate (as determined under Section 1274(d) of the Code in respect of such loan).</w:t>
      </w:r>
    </w:p>
    <w:p>
      <w:pPr>
        <w:spacing w:after="0" w:line="169" w:lineRule="exact"/>
        <w:rPr>
          <w:sz w:val="20"/>
          <w:szCs w:val="20"/>
          <w:color w:val="auto"/>
        </w:rPr>
      </w:pPr>
    </w:p>
    <w:p>
      <w:pPr>
        <w:ind w:left="760" w:hanging="316"/>
        <w:spacing w:after="0"/>
        <w:tabs>
          <w:tab w:leader="none" w:pos="76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25" w:name="page626"/>
    <w:bookmarkEnd w:id="625"/>
    <w:p>
      <w:pPr>
        <w:ind w:left="-40" w:right="100" w:firstLine="885"/>
        <w:spacing w:after="0" w:line="264" w:lineRule="auto"/>
        <w:tabs>
          <w:tab w:leader="none" w:pos="1221"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Other Agreements</w:t>
      </w:r>
      <w:r>
        <w:rPr>
          <w:rFonts w:ascii="Arial" w:cs="Arial" w:eastAsia="Arial" w:hAnsi="Arial"/>
          <w:sz w:val="18"/>
          <w:szCs w:val="18"/>
          <w:color w:val="auto"/>
        </w:rPr>
        <w:t>. You represent that you are not bound by any employment contract, restrictive covenant or other restriction preventing you from entering into employment with or carrying out your responsibilities for the Company, or which is in any way inconsistent with the terms of this Agreement.</w:t>
      </w:r>
    </w:p>
    <w:p>
      <w:pPr>
        <w:spacing w:after="0" w:line="181" w:lineRule="exact"/>
        <w:rPr>
          <w:rFonts w:ascii="Arial" w:cs="Arial" w:eastAsia="Arial" w:hAnsi="Arial"/>
          <w:sz w:val="18"/>
          <w:szCs w:val="18"/>
          <w:color w:val="auto"/>
        </w:rPr>
      </w:pPr>
    </w:p>
    <w:p>
      <w:pPr>
        <w:ind w:left="-40" w:right="40" w:firstLine="885"/>
        <w:spacing w:after="0" w:line="277" w:lineRule="auto"/>
        <w:tabs>
          <w:tab w:leader="none" w:pos="1231"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t>PIIA</w:t>
      </w:r>
      <w:r>
        <w:rPr>
          <w:rFonts w:ascii="Arial" w:cs="Arial" w:eastAsia="Arial" w:hAnsi="Arial"/>
          <w:sz w:val="18"/>
          <w:szCs w:val="18"/>
          <w:color w:val="auto"/>
        </w:rPr>
        <w:t xml:space="preserve">. You have previously executed the Company’s Proprietary Information and Inventions Assignment Agreement,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PIIA</w:t>
      </w:r>
      <w:r>
        <w:rPr>
          <w:rFonts w:ascii="Arial" w:cs="Arial" w:eastAsia="Arial" w:hAnsi="Arial"/>
          <w:sz w:val="18"/>
          <w:szCs w:val="18"/>
          <w:color w:val="auto"/>
        </w:rPr>
        <w:t>”), and you hereby reaffirm your agreements and obligations thereunder.</w:t>
      </w:r>
    </w:p>
    <w:p>
      <w:pPr>
        <w:spacing w:after="0" w:line="170" w:lineRule="exact"/>
        <w:rPr>
          <w:rFonts w:ascii="Arial" w:cs="Arial" w:eastAsia="Arial" w:hAnsi="Arial"/>
          <w:sz w:val="18"/>
          <w:szCs w:val="18"/>
          <w:color w:val="auto"/>
        </w:rPr>
      </w:pPr>
    </w:p>
    <w:p>
      <w:pPr>
        <w:ind w:left="-40" w:firstLine="885"/>
        <w:spacing w:after="0" w:line="253" w:lineRule="auto"/>
        <w:tabs>
          <w:tab w:leader="none" w:pos="1221"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t>Defend Trade Secrets Act Notice of Immunity Rights</w:t>
      </w:r>
      <w:r>
        <w:rPr>
          <w:rFonts w:ascii="Arial" w:cs="Arial" w:eastAsia="Arial" w:hAnsi="Arial"/>
          <w:sz w:val="18"/>
          <w:szCs w:val="18"/>
          <w:color w:val="auto"/>
        </w:rPr>
        <w:t>.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Proprietary Information (as defined in the PIIA)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Proprietary Information that is made in a complaint or other document filed in a lawsuit or other proceeding, if such filing is made under seal; and (iii) if you file a lawsuit for retaliation by the Company for reporting a suspected violation of law, you may disclose the Proprietary Information to your attorney and use the Proprietary Information in the court proceeding, if you file any document containing the Proprietary Information under seal, and do not disclose the Proprietary Information, except pursuant to court order.</w:t>
      </w:r>
    </w:p>
    <w:p>
      <w:pPr>
        <w:spacing w:after="0" w:line="197" w:lineRule="exact"/>
        <w:rPr>
          <w:rFonts w:ascii="Arial" w:cs="Arial" w:eastAsia="Arial" w:hAnsi="Arial"/>
          <w:sz w:val="18"/>
          <w:szCs w:val="18"/>
          <w:color w:val="auto"/>
        </w:rPr>
      </w:pPr>
    </w:p>
    <w:p>
      <w:pPr>
        <w:ind w:left="-40" w:right="80" w:firstLine="444"/>
        <w:spacing w:after="0" w:line="273" w:lineRule="auto"/>
        <w:tabs>
          <w:tab w:leader="none" w:pos="716"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48 hours thereafter by a signed original sent in the manner provided in the preceding sentence. Notice to you shall be sent to your most recent residence and personal email address on file with the Company. Notice to the Company shall be sent to its physical address set forth on the first page hereto and addressed to the Chairperson of the Board at the email address provided by the Company for such person.</w:t>
      </w:r>
    </w:p>
    <w:p>
      <w:pPr>
        <w:spacing w:after="0" w:line="178" w:lineRule="exact"/>
        <w:rPr>
          <w:rFonts w:ascii="Arial" w:cs="Arial" w:eastAsia="Arial" w:hAnsi="Arial"/>
          <w:sz w:val="17"/>
          <w:szCs w:val="17"/>
          <w:color w:val="auto"/>
        </w:rPr>
      </w:pPr>
    </w:p>
    <w:p>
      <w:pPr>
        <w:ind w:left="-40" w:firstLine="444"/>
        <w:spacing w:after="0" w:line="269" w:lineRule="auto"/>
        <w:tabs>
          <w:tab w:leader="none" w:pos="716"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Entire Agreement; Miscellaneous</w:t>
      </w:r>
      <w:r>
        <w:rPr>
          <w:rFonts w:ascii="Arial" w:cs="Arial" w:eastAsia="Arial" w:hAnsi="Arial"/>
          <w:sz w:val="17"/>
          <w:szCs w:val="17"/>
          <w:color w:val="auto"/>
        </w:rPr>
        <w:t>. This Agreement, together with any documents relating to the Company equity held by you, any stock grant notices or stock agreements referenced herein and the PIIA, constitutes the entire agreement and understanding between the parties as to the subject matter herein and supersedes all prior or contemporaneous agreements whether written or oral. The terms of this Agreement may only be modified in a specific writing signed by you and an authorized representative of the Company. The invalidity or unenforceability of any provision or provisions of this Agreement will not affect the validity or enforceability of any other provision hereof, which will remain in full force and effect. The terms in this Agreement may only be modified in writing and signed by you and an executive officer of the Company. In the event of any conflict between any of the terms in this Agreement and the terms of any other agreement between you and the Company, the terms of this Agreement will control. This Agreement may be executed in any number of counterparts, all of which taken together shall constitute one instrument. Execution and delivery of this Agreement by facsimile or other electronic signature is legal, valid and binding for all purposes. This Agreement is intended to bind and inure to the benefit of and be enforceable by you and the 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4" w:right="459" w:bottom="1440" w:gutter="0" w:footer="0" w:header="0"/>
        </w:sectPr>
      </w:pPr>
    </w:p>
    <w:bookmarkStart w:id="626" w:name="page627"/>
    <w:bookmarkEnd w:id="626"/>
    <w:p>
      <w:pPr>
        <w:ind w:left="-40" w:right="80" w:firstLine="444"/>
        <w:spacing w:after="0" w:line="277" w:lineRule="auto"/>
        <w:tabs>
          <w:tab w:leader="none" w:pos="716"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Your employment and this Agreement will be governed by the laws of the State of California, without reference to conflicts of laws principles which would result in the application of the law of any other jurisdiction.</w:t>
      </w:r>
    </w:p>
    <w:p>
      <w:pPr>
        <w:spacing w:after="0" w:line="170" w:lineRule="exact"/>
        <w:rPr>
          <w:rFonts w:ascii="Arial" w:cs="Arial" w:eastAsia="Arial" w:hAnsi="Arial"/>
          <w:sz w:val="18"/>
          <w:szCs w:val="18"/>
          <w:color w:val="auto"/>
        </w:rPr>
      </w:pPr>
    </w:p>
    <w:p>
      <w:pPr>
        <w:ind w:left="-40" w:firstLine="444"/>
        <w:spacing w:after="0" w:line="267" w:lineRule="auto"/>
        <w:tabs>
          <w:tab w:leader="none" w:pos="716"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To aid in the rapid and economical resolution of any disputes that may arise in the course of the employment relationship, you and the Company agree that any and all disputes, claims, or demands in any way arising out of or relating to the terms of this Agreement, Company equity held by you, your employment relationship with the Company, or the termination of your employment relationship with the Company, shall be resolved, to the fullest extent permitted by law, by final, binding and confidential arbitration in San Diego, California, conducted before a single neutral arbitrator selected and administered in accordance with the employment arbitration rules &amp; procedures or then applicable equivalent rules of JAMS (the “</w:t>
      </w:r>
      <w:r>
        <w:rPr>
          <w:rFonts w:ascii="Arial" w:cs="Arial" w:eastAsia="Arial" w:hAnsi="Arial"/>
          <w:sz w:val="17"/>
          <w:szCs w:val="17"/>
          <w:u w:val="single" w:color="auto"/>
          <w:color w:val="auto"/>
        </w:rPr>
        <w:t>JAMS Rules</w:t>
      </w:r>
      <w:r>
        <w:rPr>
          <w:rFonts w:ascii="Arial" w:cs="Arial" w:eastAsia="Arial" w:hAnsi="Arial"/>
          <w:sz w:val="17"/>
          <w:szCs w:val="17"/>
          <w:color w:val="auto"/>
        </w:rPr>
        <w:t xml:space="preserve">”) and the Federal Arbitration Act, 9 U.S.C. Sec. 1, et seq. A copy of the JAMS rules may be found on the JAMS website at </w:t>
      </w:r>
      <w:r>
        <w:rPr>
          <w:rFonts w:ascii="Arial" w:cs="Arial" w:eastAsia="Arial" w:hAnsi="Arial"/>
          <w:sz w:val="17"/>
          <w:szCs w:val="17"/>
          <w:u w:val="single" w:color="auto"/>
          <w:color w:val="auto"/>
        </w:rPr>
        <w:t>www.jamsadr.com</w:t>
      </w:r>
      <w:r>
        <w:rPr>
          <w:rFonts w:ascii="Arial" w:cs="Arial" w:eastAsia="Arial" w:hAnsi="Arial"/>
          <w:sz w:val="17"/>
          <w:szCs w:val="17"/>
          <w:color w:val="auto"/>
        </w:rPr>
        <w:t xml:space="preserve"> and will be provided to you by the Company upon request. BY AGREEING TO THIS ARBITRATION PROCEDURE, YOU AND THE COMPANY WAIVE THE RIGHT TO RESOLVE ANY SUCH DISPUTE, CLAIM OR DEMAND THROUGH A TRIAL BY JURY OR JUDGE OR BY ADMINISTRATIVE PROCEEDING IN ANY JURISDICTION. You will have the right to be represented by legal counsel at any arbitration proceeding, at your expense.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you or the Company from obtaining injunctive relief (or any other provisional remedy) in any court of competent jurisdiction pursuant to California Code of Civil Procedure Section 1281.8 to prevent irreparable harm (including, without limitation, pending the conclusion of any arbitration). The Company shall pay the arbitrator’s fees, arbitration expenses and any other costs unique to the arbitration proceeding (recognizing that each side shall bear its own deposition, witness, expert and attorney’s fees and other expenses to the same extent as if the matter were being heard in court).</w:t>
      </w:r>
    </w:p>
    <w:p>
      <w:pPr>
        <w:spacing w:after="0" w:line="187" w:lineRule="exact"/>
        <w:rPr>
          <w:rFonts w:ascii="Arial" w:cs="Arial" w:eastAsia="Arial" w:hAnsi="Arial"/>
          <w:sz w:val="17"/>
          <w:szCs w:val="17"/>
          <w:color w:val="auto"/>
        </w:rPr>
      </w:pPr>
    </w:p>
    <w:p>
      <w:pPr>
        <w:ind w:left="-40" w:right="100" w:firstLine="444"/>
        <w:spacing w:after="0" w:line="277" w:lineRule="auto"/>
        <w:tabs>
          <w:tab w:leader="none" w:pos="806"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Withholding and other Deductions</w:t>
      </w:r>
      <w:r>
        <w:rPr>
          <w:rFonts w:ascii="Arial" w:cs="Arial" w:eastAsia="Arial" w:hAnsi="Arial"/>
          <w:sz w:val="18"/>
          <w:szCs w:val="18"/>
          <w:color w:val="auto"/>
        </w:rPr>
        <w:t>. All compensation payable to you hereunder shall be subject to such deductions as the Company is from time to time required to make pursuant to law, governmental regulation or order.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627" w:name="page628"/>
    <w:bookmarkEnd w:id="6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acknowledge your acceptance of the terms of this Agreement by returning a signed copy of this Agreement.</w:t>
      </w:r>
    </w:p>
    <w:p>
      <w:pPr>
        <w:spacing w:after="0" w:line="200" w:lineRule="exact"/>
        <w:rPr>
          <w:sz w:val="20"/>
          <w:szCs w:val="20"/>
          <w:color w:val="auto"/>
        </w:rPr>
      </w:pPr>
    </w:p>
    <w:p>
      <w:pPr>
        <w:spacing w:after="0" w:line="29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Sheila Gujrathi,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Gossamer Bio Services,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Sheila Gujrathi, M.D.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Sheila Gujrathi, M.D.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read and understood this Agreement and hereby acknowledge, accept and agree to the terms as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Luisa Salter-Cid</w:t>
            </w:r>
          </w:p>
        </w:tc>
        <w:tc>
          <w:tcPr>
            <w:tcW w:w="4080" w:type="dxa"/>
            <w:vAlign w:val="bottom"/>
            <w:gridSpan w:val="2"/>
          </w:tcPr>
          <w:p>
            <w:pPr>
              <w:ind w:left="780"/>
              <w:spacing w:after="0"/>
              <w:rPr>
                <w:sz w:val="20"/>
                <w:szCs w:val="20"/>
                <w:color w:val="auto"/>
              </w:rPr>
            </w:pPr>
            <w:r>
              <w:rPr>
                <w:rFonts w:ascii="Arial" w:cs="Arial" w:eastAsia="Arial" w:hAnsi="Arial"/>
                <w:sz w:val="18"/>
                <w:szCs w:val="18"/>
                <w:color w:val="auto"/>
              </w:rPr>
              <w:t>Date:   December 4, 2018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Dr. Luisa Salter-Cid</w:t>
            </w:r>
          </w:p>
        </w:tc>
        <w:tc>
          <w:tcPr>
            <w:tcW w:w="13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0" w:right="260" w:hanging="436"/>
        <w:spacing w:after="0" w:line="282" w:lineRule="auto"/>
        <w:tabs>
          <w:tab w:leader="none" w:pos="440" w:val="left"/>
        </w:tabs>
        <w:numPr>
          <w:ilvl w:val="0"/>
          <w:numId w:val="496"/>
        </w:numPr>
        <w:rPr>
          <w:rFonts w:ascii="MS PGothic" w:cs="MS PGothic" w:eastAsia="MS PGothic" w:hAnsi="MS PGothic"/>
          <w:sz w:val="18"/>
          <w:szCs w:val="18"/>
          <w:color w:val="auto"/>
        </w:rPr>
      </w:pPr>
      <w:r>
        <w:rPr>
          <w:rFonts w:ascii="Arial" w:cs="Arial" w:eastAsia="Arial" w:hAnsi="Arial"/>
          <w:sz w:val="18"/>
          <w:szCs w:val="18"/>
          <w:b w:val="1"/>
          <w:bCs w:val="1"/>
          <w:color w:val="auto"/>
        </w:rPr>
        <w:t>Rollover PTO</w:t>
      </w:r>
      <w:r>
        <w:rPr>
          <w:rFonts w:ascii="Arial" w:cs="Arial" w:eastAsia="Arial" w:hAnsi="Arial"/>
          <w:sz w:val="18"/>
          <w:szCs w:val="18"/>
          <w:color w:val="auto"/>
        </w:rPr>
        <w:t>. I want to rollover my accrued, unused paid time off, and to have it available for use with the Company following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my employment.</w:t>
      </w:r>
    </w:p>
    <w:p>
      <w:pPr>
        <w:spacing w:after="0" w:line="67" w:lineRule="exact"/>
        <w:rPr>
          <w:sz w:val="20"/>
          <w:szCs w:val="20"/>
          <w:color w:val="auto"/>
        </w:rPr>
      </w:pPr>
    </w:p>
    <w:p>
      <w:pPr>
        <w:ind w:left="440" w:right="200" w:hanging="436"/>
        <w:spacing w:after="0" w:line="313" w:lineRule="auto"/>
        <w:tabs>
          <w:tab w:leader="none" w:pos="440" w:val="left"/>
        </w:tabs>
        <w:numPr>
          <w:ilvl w:val="0"/>
          <w:numId w:val="497"/>
        </w:numPr>
        <w:rPr>
          <w:rFonts w:ascii="MS PGothic" w:cs="MS PGothic" w:eastAsia="MS PGothic" w:hAnsi="MS PGothic"/>
          <w:sz w:val="17"/>
          <w:szCs w:val="17"/>
          <w:color w:val="auto"/>
        </w:rPr>
      </w:pPr>
      <w:r>
        <w:rPr>
          <w:rFonts w:ascii="Arial" w:cs="Arial" w:eastAsia="Arial" w:hAnsi="Arial"/>
          <w:sz w:val="17"/>
          <w:szCs w:val="17"/>
          <w:b w:val="1"/>
          <w:bCs w:val="1"/>
          <w:color w:val="auto"/>
        </w:rPr>
        <w:t>No Rollover</w:t>
      </w:r>
      <w:r>
        <w:rPr>
          <w:rFonts w:ascii="Arial" w:cs="Arial" w:eastAsia="Arial" w:hAnsi="Arial"/>
          <w:sz w:val="17"/>
          <w:szCs w:val="17"/>
          <w:color w:val="auto"/>
        </w:rPr>
        <w:t>. I do not want to rollover my accrued, unused paid time off, and understand that I will receive a payout of my accrued, unused paid</w:t>
      </w:r>
      <w:r>
        <w:rPr>
          <w:rFonts w:ascii="Arial" w:cs="Arial" w:eastAsia="Arial" w:hAnsi="Arial"/>
          <w:sz w:val="17"/>
          <w:szCs w:val="17"/>
          <w:b w:val="1"/>
          <w:bCs w:val="1"/>
          <w:color w:val="auto"/>
        </w:rPr>
        <w:t xml:space="preserve"> </w:t>
      </w:r>
      <w:r>
        <w:rPr>
          <w:rFonts w:ascii="Arial" w:cs="Arial" w:eastAsia="Arial" w:hAnsi="Arial"/>
          <w:sz w:val="17"/>
          <w:szCs w:val="17"/>
          <w:color w:val="auto"/>
        </w:rPr>
        <w:t>time off and I will not have any paid time off available immediately following the transfer of my employment to the Company.</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4" w:right="419" w:bottom="1440" w:gutter="0" w:footer="0" w:header="0"/>
        </w:sectPr>
      </w:pPr>
    </w:p>
    <w:bookmarkStart w:id="628" w:name="page629"/>
    <w:bookmarkEnd w:id="62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 consideration of the Termination Benefits (as defined in the Agreement) provided and to be provided to me by Gossamer Bio, Inc., or any affiliate or successor thereof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my Agreement with Company dated December 4, 2018 (the “</w:t>
      </w:r>
      <w:r>
        <w:rPr>
          <w:rFonts w:ascii="Arial" w:cs="Arial" w:eastAsia="Arial" w:hAnsi="Arial"/>
          <w:sz w:val="16"/>
          <w:szCs w:val="16"/>
          <w:u w:val="single" w:color="auto"/>
          <w:color w:val="auto"/>
        </w:rPr>
        <w:t>Agreement</w:t>
      </w:r>
      <w:r>
        <w:rPr>
          <w:rFonts w:ascii="Arial" w:cs="Arial" w:eastAsia="Arial" w:hAnsi="Arial"/>
          <w:sz w:val="16"/>
          <w:szCs w:val="16"/>
          <w:color w:val="auto"/>
        </w:rPr>
        <w:t>”), and in connection with the termination of my employment, the Company and I agree to the following, including a general release as specified below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47" w:lineRule="exact"/>
        <w:rPr>
          <w:sz w:val="20"/>
          <w:szCs w:val="20"/>
          <w:color w:val="auto"/>
        </w:rPr>
      </w:pPr>
    </w:p>
    <w:p>
      <w:pPr>
        <w:ind w:right="20" w:firstLine="885"/>
        <w:spacing w:after="0" w:line="286" w:lineRule="auto"/>
        <w:tabs>
          <w:tab w:leader="none" w:pos="1196" w:val="left"/>
        </w:tabs>
        <w:numPr>
          <w:ilvl w:val="0"/>
          <w:numId w:val="498"/>
        </w:numPr>
        <w:rPr>
          <w:rFonts w:ascii="Arial" w:cs="Arial" w:eastAsia="Arial" w:hAnsi="Arial"/>
          <w:sz w:val="16"/>
          <w:szCs w:val="16"/>
          <w:color w:val="auto"/>
        </w:rPr>
      </w:pPr>
      <w:r>
        <w:rPr>
          <w:rFonts w:ascii="Arial" w:cs="Arial" w:eastAsia="Arial" w:hAnsi="Arial"/>
          <w:sz w:val="16"/>
          <w:szCs w:val="16"/>
          <w:color w:val="auto"/>
        </w:rPr>
        <w:t>On behalf of myself, my heirs, executors, administrators, successors and assigns, I hereby fully and forever generally release and discharge Company, its current, former and future parents, subsidiaries, affiliated companies, related entities, employee benefit plans and their fiduciaries, predecessors, successors, officers, directors, shareholders, agents, employees and assigns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causes of action, and liabilities up through the date of my execution of the Release (except with respect to Termination Benefits under the Agreement and any other rights that I have accrued under the employee benefit plans and equity award plans of the Company). The claims subject to this release include, but are not limited to, those relating to my employment with Company and/or any predecessor to the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the Workers Adjustment and Retraining Notification Act; the California Fair Employment and Housing Act (if applicable); the provisions of the California Labor Code (if applicable); the Equal Pay Act of 1963; and any similar law of any other state or governmental entity.</w:t>
      </w:r>
    </w:p>
    <w:p>
      <w:pPr>
        <w:spacing w:after="0" w:line="174" w:lineRule="exact"/>
        <w:rPr>
          <w:rFonts w:ascii="Arial" w:cs="Arial" w:eastAsia="Arial" w:hAnsi="Arial"/>
          <w:sz w:val="16"/>
          <w:szCs w:val="16"/>
          <w:color w:val="auto"/>
        </w:rPr>
      </w:pPr>
    </w:p>
    <w:p>
      <w:pPr>
        <w:ind w:right="140" w:firstLine="885"/>
        <w:spacing w:after="0" w:line="277" w:lineRule="auto"/>
        <w:tabs>
          <w:tab w:leader="none" w:pos="119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parties agree to apply California law in interpreting the Release. Accordingly, I further waive any rights under Section 1542 of the Civil Code of the State of California or any similar state statute. Section 1542 states:</w:t>
      </w:r>
    </w:p>
    <w:p>
      <w:pPr>
        <w:spacing w:after="0" w:line="58" w:lineRule="exact"/>
        <w:rPr>
          <w:sz w:val="20"/>
          <w:szCs w:val="20"/>
          <w:color w:val="auto"/>
        </w:rPr>
      </w:pPr>
    </w:p>
    <w:p>
      <w:pPr>
        <w:ind w:left="880" w:right="260"/>
        <w:spacing w:after="0" w:line="347"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to him or her, must have materially affected his or her settlement with the debtor.”</w:t>
      </w:r>
    </w:p>
    <w:p>
      <w:pPr>
        <w:spacing w:after="0" w:line="12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This Release does not extend to, and has no effect upon, (a) any benefits that have previously accrued, and to which I have become vested or otherwise entitled to, under any agreement, employee benefit plan, program or policy sponsored or maintained by the Company; (b) my right to indemnification and/or contribution, advancement or payment of related expenses by the Company under any written indemnification or other agreement between the parties; (c) my right to continued coverage by the Company’s director’s and officer’s insurance, other insurance policies of the Company, COBRA or any similar state law; (d) any claims for breach of this Release or the Agreement; (e) any claims that may not be released by private agreement; and (f) any claims arising after the date I sign the Release.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3" w:right="439" w:bottom="1440" w:gutter="0" w:footer="0" w:header="0"/>
        </w:sectPr>
      </w:pPr>
    </w:p>
    <w:bookmarkStart w:id="629" w:name="page630"/>
    <w:bookmarkEnd w:id="629"/>
    <w:p>
      <w:pPr>
        <w:ind w:firstLine="885"/>
        <w:spacing w:after="0" w:line="287" w:lineRule="auto"/>
        <w:tabs>
          <w:tab w:leader="none" w:pos="1196" w:val="left"/>
        </w:tabs>
        <w:numPr>
          <w:ilvl w:val="0"/>
          <w:numId w:val="4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understanding the terms of the Release and my rights, I have been advised to consult with an attorney of my choice prior to executing the Release. I understand that nothing in the Release will prohibit me from exercising legal rights that are, as a matter of law, not subject to waiver, such as: (a) my rights under applicable workers’ compensation laws; (b) my right, if any, to seek state disability or unemployment benefits; (c) my right to indemnity under California Labor Code section 2802 or other applicable state-law right to indemnity; (d) my right to file a charge or complaint with a government agency such as but not limited to the Equal Employment Opportunity Commission, the National Labor Relations Board, the Department of Labor, the California Department of Fair Employment and Housing, or other applicable state agency; and (e) my right to communicate or cooperate with any governmental agency and to receive awards from or by a government agency for providing information. Moreover, I will continue to be indemnified for my actions taken while employed by the Company to the same extent as other then-current or former directors and officers of the Company under the Company’s Certificate of Incorporation and Bylaws and the Indemnification Agreement between me and the Company, if any, and I will continue to be covered by the Company’s directors and officers liability insurance policy as in effect from time to time to the same extent as are other then-current or former directors and officers of the Company, each subject to the requirements of the laws of the State of Delaware.</w:t>
      </w:r>
    </w:p>
    <w:p>
      <w:pPr>
        <w:spacing w:after="0" w:line="172" w:lineRule="exact"/>
        <w:rPr>
          <w:rFonts w:ascii="Arial" w:cs="Arial" w:eastAsia="Arial" w:hAnsi="Arial"/>
          <w:sz w:val="16"/>
          <w:szCs w:val="16"/>
          <w:color w:val="auto"/>
        </w:rPr>
      </w:pPr>
    </w:p>
    <w:p>
      <w:pPr>
        <w:jc w:val="both"/>
        <w:ind w:right="20" w:firstLine="885"/>
        <w:spacing w:after="0" w:line="264" w:lineRule="auto"/>
        <w:tabs>
          <w:tab w:leader="none" w:pos="119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 understand and agree that Company will not provide me with the Termination Benefits unless I execute the Release. I also understand that I have received or will receive, regardless of the execution of the Release, all wages owed to me together with any accrued but unused paid time off, less applicable withholdings and deductions, earned through my termination date.</w:t>
      </w:r>
    </w:p>
    <w:p>
      <w:pPr>
        <w:spacing w:after="0" w:line="181" w:lineRule="exact"/>
        <w:rPr>
          <w:rFonts w:ascii="Arial" w:cs="Arial" w:eastAsia="Arial" w:hAnsi="Arial"/>
          <w:sz w:val="18"/>
          <w:szCs w:val="18"/>
          <w:color w:val="auto"/>
        </w:rPr>
      </w:pPr>
    </w:p>
    <w:p>
      <w:pPr>
        <w:ind w:right="20" w:firstLine="885"/>
        <w:spacing w:after="0" w:line="291" w:lineRule="auto"/>
        <w:tabs>
          <w:tab w:leader="none" w:pos="119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In my existing and continuing obligations to Company, I have returned to Company all Company documents (and all copies thereof) and other Company property that I have had in my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I understand that, even if I did not sign the Release, I am still bound by any and all confidential/proprietary/trade secret information, non-disclosure and inventions assignment agreement(s) signed by me in connection with my employment with Company, or with a predecessor or successor of Company pursuant to the terms of such agreement(s).</w:t>
      </w:r>
    </w:p>
    <w:p>
      <w:pPr>
        <w:spacing w:after="0" w:line="167" w:lineRule="exact"/>
        <w:rPr>
          <w:rFonts w:ascii="Arial" w:cs="Arial" w:eastAsia="Arial" w:hAnsi="Arial"/>
          <w:sz w:val="16"/>
          <w:szCs w:val="16"/>
          <w:color w:val="auto"/>
        </w:rPr>
      </w:pPr>
    </w:p>
    <w:p>
      <w:pPr>
        <w:ind w:right="60" w:firstLine="885"/>
        <w:spacing w:after="0" w:line="277" w:lineRule="auto"/>
        <w:tabs>
          <w:tab w:leader="none" w:pos="119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 represent and warrant that I am the sole owner of all claims relating to my employment with Company and/or with any predecessor of Company and that I have not assigned or transferred any claims relating to my employment to any other person or entity.</w:t>
      </w:r>
    </w:p>
    <w:p>
      <w:pPr>
        <w:spacing w:after="0" w:line="170" w:lineRule="exact"/>
        <w:rPr>
          <w:rFonts w:ascii="Arial" w:cs="Arial" w:eastAsia="Arial" w:hAnsi="Arial"/>
          <w:sz w:val="18"/>
          <w:szCs w:val="18"/>
          <w:color w:val="auto"/>
        </w:rPr>
      </w:pPr>
    </w:p>
    <w:p>
      <w:pPr>
        <w:ind w:firstLine="885"/>
        <w:spacing w:after="0" w:line="293" w:lineRule="auto"/>
        <w:tabs>
          <w:tab w:leader="none" w:pos="119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 agree to keep the Termination Benefits and the provisions of the Release confidential and not to reveal its contents to anyone except my lawyer, my accountant, my spouse or other immediate family member and/or my financial consultant, or as required by legal process or applicable law or otherwise responding accurately and fully to any question, inquiry or request for information or documents, including, without limitation, in any criminal, civil, or regulatory proceeding or investigation, or as necessary in any action for enforcement or claimed breach of this Release or any other legal dispute with the Company. Nothing in this Agreement shall prohibit me from reporting or disclosing information under the terms of the Company’s Reporting Suspected Violations of Law Policy or such similar policy as the Company may have in effect from time to time.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5" w:right="439" w:bottom="1440" w:gutter="0" w:footer="0" w:header="0"/>
        </w:sectPr>
      </w:pPr>
    </w:p>
    <w:bookmarkStart w:id="630" w:name="page631"/>
    <w:bookmarkEnd w:id="630"/>
    <w:p>
      <w:pPr>
        <w:ind w:right="540" w:firstLine="885"/>
        <w:spacing w:after="0" w:line="277" w:lineRule="auto"/>
        <w:tabs>
          <w:tab w:leader="none" w:pos="1196"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understand and agree that the Release will not be construed at any time as an admission of liability or wrongdoing by either the Company Releasees or me.</w:t>
      </w:r>
    </w:p>
    <w:p>
      <w:pPr>
        <w:spacing w:after="0" w:line="170" w:lineRule="exact"/>
        <w:rPr>
          <w:rFonts w:ascii="Arial" w:cs="Arial" w:eastAsia="Arial" w:hAnsi="Arial"/>
          <w:sz w:val="18"/>
          <w:szCs w:val="18"/>
          <w:color w:val="auto"/>
        </w:rPr>
      </w:pPr>
    </w:p>
    <w:p>
      <w:pPr>
        <w:ind w:firstLine="885"/>
        <w:spacing w:after="0" w:line="257" w:lineRule="auto"/>
        <w:tabs>
          <w:tab w:leader="none" w:pos="119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 agree that I will not make any negative or disparaging statements or comments, either as fact or as opinion, about the Company, its employees, officers, directors, shareholders, vendors, products or services, business, technologies, market position or performance. The Company agrees that it shall not, and shall cause its directors, executive officers, employees and representatives not to, make any negative or disparaging statements or comments, either as fact or as opinion, about you. Nothing in this paragraph will prohibit me or the Company from providing truthful information in response to a subpoena or other legal process.</w:t>
      </w:r>
    </w:p>
    <w:p>
      <w:pPr>
        <w:spacing w:after="0" w:line="188" w:lineRule="exact"/>
        <w:rPr>
          <w:rFonts w:ascii="Arial" w:cs="Arial" w:eastAsia="Arial" w:hAnsi="Arial"/>
          <w:sz w:val="18"/>
          <w:szCs w:val="18"/>
          <w:color w:val="auto"/>
        </w:rPr>
      </w:pPr>
    </w:p>
    <w:p>
      <w:pPr>
        <w:ind w:right="360" w:firstLine="885"/>
        <w:spacing w:after="0" w:line="342" w:lineRule="auto"/>
        <w:tabs>
          <w:tab w:leader="none" w:pos="1277" w:val="left"/>
        </w:tabs>
        <w:numPr>
          <w:ilvl w:val="0"/>
          <w:numId w:val="500"/>
        </w:numPr>
        <w:rPr>
          <w:rFonts w:ascii="Arial" w:cs="Arial" w:eastAsia="Arial" w:hAnsi="Arial"/>
          <w:sz w:val="16"/>
          <w:szCs w:val="16"/>
          <w:color w:val="auto"/>
        </w:rPr>
      </w:pPr>
      <w:r>
        <w:rPr>
          <w:rFonts w:ascii="Arial" w:cs="Arial" w:eastAsia="Arial" w:hAnsi="Arial"/>
          <w:sz w:val="16"/>
          <w:szCs w:val="16"/>
          <w:color w:val="auto"/>
        </w:rPr>
        <w:t>Any controversy or claim arising out of or relating this Release, its enforcement or interpretation, or because of an alleged breach, default or misrepresentation in connection with any of its provisions, will be submitted to arbitration consistent with the terms of the Agreement.</w:t>
      </w:r>
    </w:p>
    <w:p>
      <w:pPr>
        <w:spacing w:after="0" w:line="123" w:lineRule="exact"/>
        <w:rPr>
          <w:rFonts w:ascii="Arial" w:cs="Arial" w:eastAsia="Arial" w:hAnsi="Arial"/>
          <w:sz w:val="16"/>
          <w:szCs w:val="16"/>
          <w:color w:val="auto"/>
        </w:rPr>
      </w:pPr>
    </w:p>
    <w:p>
      <w:pPr>
        <w:ind w:right="20" w:firstLine="885"/>
        <w:spacing w:after="0" w:line="269" w:lineRule="auto"/>
        <w:tabs>
          <w:tab w:leader="none" w:pos="127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As a condition of my receipt of the Termination Benefits, I agree that, upon reasonable notice (after taking into account, to the extent reasonably practicable, my other personal and business commitments) and without the necessity of Company obtaining a subpoena or court order, I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my employment as to which I may have relevant information and any other matter for which I was responsible or had knowledge of through date of my termination of employment. Such cooperation may include, but will not be limited to, providing background information within my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I agree to cooperate with the transition of my job responsibilities on any termination of employment and cooperate in providing information on matters on which I was involved while an employee.</w:t>
      </w:r>
    </w:p>
    <w:p>
      <w:pPr>
        <w:spacing w:after="0" w:line="179" w:lineRule="exact"/>
        <w:rPr>
          <w:rFonts w:ascii="Arial" w:cs="Arial" w:eastAsia="Arial" w:hAnsi="Arial"/>
          <w:sz w:val="17"/>
          <w:szCs w:val="17"/>
          <w:color w:val="auto"/>
        </w:rPr>
      </w:pPr>
    </w:p>
    <w:p>
      <w:pPr>
        <w:ind w:left="1280" w:hanging="395"/>
        <w:spacing w:after="0"/>
        <w:tabs>
          <w:tab w:leader="none" w:pos="12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As provided in the Older Workers Benefit Protection Act, I am hereby advised and agree that:</w:t>
      </w:r>
    </w:p>
    <w:p>
      <w:pPr>
        <w:spacing w:after="0" w:line="117" w:lineRule="exact"/>
        <w:rPr>
          <w:rFonts w:ascii="Arial" w:cs="Arial" w:eastAsia="Arial" w:hAnsi="Arial"/>
          <w:sz w:val="18"/>
          <w:szCs w:val="18"/>
          <w:color w:val="auto"/>
        </w:rPr>
      </w:pPr>
    </w:p>
    <w:p>
      <w:pPr>
        <w:ind w:right="120" w:firstLine="1436"/>
        <w:spacing w:after="0" w:line="257" w:lineRule="auto"/>
        <w:tabs>
          <w:tab w:leader="none" w:pos="181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 have had at least twenty-one (21) calendar days in which to consider whether to execute the Release, no one hurried me into executing the Release during that period and no one coerced me into executing the Release. If I signed this Release prior to the expiration of the twenty-one (21) day period, I did so voluntarily and waive the balance of the twenty-one (21) day period. I understand that the offer of the Termination Benefits and the Release will expire on the twenty-second (22nd) calendar day after my employment termination date if I have not accepted it by that time.</w:t>
      </w:r>
    </w:p>
    <w:p>
      <w:pPr>
        <w:spacing w:after="0" w:line="188" w:lineRule="exact"/>
        <w:rPr>
          <w:rFonts w:ascii="Arial" w:cs="Arial" w:eastAsia="Arial" w:hAnsi="Arial"/>
          <w:sz w:val="18"/>
          <w:szCs w:val="18"/>
          <w:color w:val="auto"/>
        </w:rPr>
      </w:pPr>
    </w:p>
    <w:p>
      <w:pPr>
        <w:ind w:left="1820" w:hanging="384"/>
        <w:spacing w:after="0"/>
        <w:tabs>
          <w:tab w:leader="none" w:pos="182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 am hereby advised to consult with a lawyer before signing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500"/>
        </w:numPr>
        <w:rPr>
          <w:rFonts w:ascii="Arial" w:cs="Arial" w:eastAsia="Arial" w:hAnsi="Arial"/>
          <w:sz w:val="17"/>
          <w:szCs w:val="17"/>
          <w:color w:val="auto"/>
        </w:rPr>
      </w:pPr>
      <w:r>
        <w:rPr>
          <w:rFonts w:ascii="Arial" w:cs="Arial" w:eastAsia="Arial" w:hAnsi="Arial"/>
          <w:sz w:val="17"/>
          <w:szCs w:val="17"/>
          <w:color w:val="auto"/>
        </w:rPr>
        <w:t>This Release provides for consideration in addition to any amount I am otherwise entitled to receive without signing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31" w:name="page632"/>
    <w:bookmarkEnd w:id="631"/>
    <w:p>
      <w:pPr>
        <w:ind w:left="1760" w:hanging="384"/>
        <w:spacing w:after="0"/>
        <w:tabs>
          <w:tab w:leader="none" w:pos="1760" w:val="left"/>
        </w:tabs>
        <w:numPr>
          <w:ilvl w:val="1"/>
          <w:numId w:val="5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does not release any claims arising out of events occurring after I sign this Release</w:t>
      </w:r>
    </w:p>
    <w:p>
      <w:pPr>
        <w:spacing w:after="0" w:line="225" w:lineRule="exact"/>
        <w:rPr>
          <w:rFonts w:ascii="Arial" w:cs="Arial" w:eastAsia="Arial" w:hAnsi="Arial"/>
          <w:sz w:val="18"/>
          <w:szCs w:val="18"/>
          <w:color w:val="auto"/>
        </w:rPr>
      </w:pPr>
    </w:p>
    <w:p>
      <w:pPr>
        <w:ind w:left="-60" w:right="200" w:firstLine="1436"/>
        <w:spacing w:after="0" w:line="257" w:lineRule="auto"/>
        <w:tabs>
          <w:tab w:leader="none" w:pos="175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 may revoke this Agreement within the seven (7) day period following the date on which I signed this Release. I understand that if I revoke this release, the Company will not be obligated to provide the Termination Benefits. I further understand that Company’s obligations under the Release will not become effective or enforceable until the eighth (8th) calendar day after the date I sign the Release provided that I have timely delivered it to Company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and have not timely revoked it. I understand that the Termination Benefits will become available to me at such time after the Release Effective Date.</w:t>
      </w:r>
    </w:p>
    <w:p>
      <w:pPr>
        <w:spacing w:after="0" w:line="188" w:lineRule="exact"/>
        <w:rPr>
          <w:rFonts w:ascii="Arial" w:cs="Arial" w:eastAsia="Arial" w:hAnsi="Arial"/>
          <w:sz w:val="18"/>
          <w:szCs w:val="18"/>
          <w:color w:val="auto"/>
        </w:rPr>
      </w:pPr>
    </w:p>
    <w:p>
      <w:pPr>
        <w:ind w:left="-60" w:right="20" w:firstLine="885"/>
        <w:spacing w:after="0" w:line="272" w:lineRule="auto"/>
        <w:tabs>
          <w:tab w:leader="none" w:pos="122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In executing the Release, I acknowledge that I have not relied upon any statement made by Company, or any of its representatives or employees, with regard to the Release unless the representation is specifically included herein. Furthermore, the Release contains our entire understanding regarding eligibility for Termination Benefits and supersedes any or all prior representations and agreements regarding the subject matter of the Release. However, the Release does not modify, amend or supersede written Company agreements that are consistent with enforceable provisions of the Release such as my Agreement, confidential information and invention assignment agreement, and any stock, stock option and/or stock purchase agreements between Company and me. Once effective and enforceable, this Release can be changed only by another written agreement signed by me and an authorized representative of Company.</w:t>
      </w:r>
    </w:p>
    <w:p>
      <w:pPr>
        <w:spacing w:after="0" w:line="177" w:lineRule="exact"/>
        <w:rPr>
          <w:rFonts w:ascii="Arial" w:cs="Arial" w:eastAsia="Arial" w:hAnsi="Arial"/>
          <w:sz w:val="17"/>
          <w:szCs w:val="17"/>
          <w:color w:val="auto"/>
        </w:rPr>
      </w:pPr>
    </w:p>
    <w:p>
      <w:pPr>
        <w:ind w:left="-60" w:firstLine="885"/>
        <w:spacing w:after="0" w:line="255" w:lineRule="auto"/>
        <w:tabs>
          <w:tab w:leader="none" w:pos="122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Should any provision of the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I acknowledge that I have obtained sufficient information to intelligently exercise my own judgment regarding the terms of the Release before executing the Release.</w:t>
      </w:r>
    </w:p>
    <w:p>
      <w:pPr>
        <w:spacing w:after="0" w:line="193" w:lineRule="exact"/>
        <w:rPr>
          <w:rFonts w:ascii="Arial" w:cs="Arial" w:eastAsia="Arial" w:hAnsi="Arial"/>
          <w:sz w:val="18"/>
          <w:szCs w:val="18"/>
          <w:color w:val="auto"/>
        </w:rPr>
      </w:pPr>
    </w:p>
    <w:p>
      <w:pPr>
        <w:ind w:left="-60" w:right="460" w:firstLine="885"/>
        <w:spacing w:after="0" w:line="277" w:lineRule="auto"/>
        <w:tabs>
          <w:tab w:leader="none" w:pos="122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Termination Benefits provided and to be provided to me by the Company consist of the applicable benefits and payments in accordance with the Agreement.</w:t>
      </w:r>
    </w:p>
    <w:p>
      <w:pPr>
        <w:spacing w:after="0" w:line="170" w:lineRule="exact"/>
        <w:rPr>
          <w:rFonts w:ascii="Arial" w:cs="Arial" w:eastAsia="Arial" w:hAnsi="Arial"/>
          <w:sz w:val="18"/>
          <w:szCs w:val="18"/>
          <w:color w:val="auto"/>
        </w:rPr>
      </w:pPr>
    </w:p>
    <w:p>
      <w:pPr>
        <w:ind w:left="-60" w:right="260" w:firstLine="885"/>
        <w:spacing w:after="0" w:line="277" w:lineRule="auto"/>
        <w:tabs>
          <w:tab w:leader="none" w:pos="122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Release may be executed in any number of counterparts, all of which taken together shall constitute one instrument. Execution and delivery of the Release by facsimile or other electronic signature is legal, valid and binding for all purposes.</w:t>
      </w:r>
    </w:p>
    <w:p>
      <w:pPr>
        <w:spacing w:after="0" w:line="170" w:lineRule="exact"/>
        <w:rPr>
          <w:rFonts w:ascii="Arial" w:cs="Arial" w:eastAsia="Arial" w:hAnsi="Arial"/>
          <w:sz w:val="18"/>
          <w:szCs w:val="18"/>
          <w:color w:val="auto"/>
        </w:rPr>
      </w:pPr>
    </w:p>
    <w:p>
      <w:pPr>
        <w:ind w:left="-60" w:right="80" w:firstLine="885"/>
        <w:spacing w:after="0" w:line="277" w:lineRule="auto"/>
        <w:tabs>
          <w:tab w:leader="none" w:pos="122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Release will be governed by and enforced under California law, without regard to its conflict of law rules that would result in the application of the laws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500" w:top="273" w:right="479" w:bottom="1440" w:gutter="0" w:footer="0" w:header="0"/>
        </w:sectPr>
      </w:pPr>
    </w:p>
    <w:bookmarkStart w:id="632" w:name="page633"/>
    <w:bookmarkEnd w:id="632"/>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ACCEPTANCE OF RELEASE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BEFORE SIGNING MY NAME TO THE RELEASE, I STATE THE FOLLOWING: I HAVE READ THE RELEASE, I UNDERSTAND IT AND I KNOW THAT I AM GIVING UP IMPORTANT RIGHTS. I HAVE OBTAINED SUFFICIENT INFORMATION TO INTELLIGENTLY EXERCISE MY OWN JUDGMENT. I HAVE BEEN ADVISED THAT I SHOULD CONSULT WITH AN ATTORNEY BEFORE SIGNING IT, AND I HAVE SIGNED THE RELEASE KNOWINGLY AND VOLUNTARILY.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UPON EXECUTION BY EMPLOYEE AND THE COMPANY.</w:t>
      </w:r>
    </w:p>
    <w:p>
      <w:pPr>
        <w:spacing w:after="0" w:line="135" w:lineRule="exact"/>
        <w:rPr>
          <w:sz w:val="20"/>
          <w:szCs w:val="20"/>
          <w:color w:val="auto"/>
        </w:rPr>
      </w:pPr>
    </w:p>
    <w:p>
      <w:pPr>
        <w:ind w:left="6620"/>
        <w:spacing w:after="0"/>
        <w:tabs>
          <w:tab w:leader="none" w:pos="7840" w:val="left"/>
          <w:tab w:leader="none" w:pos="9240" w:val="left"/>
        </w:tabs>
        <w:rPr>
          <w:sz w:val="20"/>
          <w:szCs w:val="20"/>
          <w:color w:val="auto"/>
        </w:rPr>
      </w:pPr>
      <w:r>
        <w:rPr>
          <w:rFonts w:ascii="Arial" w:cs="Arial" w:eastAsia="Arial" w:hAnsi="Arial"/>
          <w:sz w:val="18"/>
          <w:szCs w:val="18"/>
          <w:color w:val="auto"/>
        </w:rPr>
        <w:t>Executed this</w:t>
        <w:tab/>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332105</wp:posOffset>
            </wp:positionV>
            <wp:extent cx="279590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Agreed and Accepted</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Gossamer Bio Services,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440" w:top="271" w:right="699" w:bottom="1440" w:gutter="0" w:footer="0" w:header="0"/>
        </w:sectPr>
      </w:pPr>
    </w:p>
    <w:bookmarkStart w:id="633" w:name="page634"/>
    <w:bookmarkEnd w:id="633"/>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Proprietary Information and Inventions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4" w:right="1440" w:bottom="1440" w:gutter="0" w:footer="0" w:header="0"/>
        </w:sectPr>
      </w:pPr>
    </w:p>
    <w:bookmarkStart w:id="634" w:name="page635"/>
    <w:bookmarkEnd w:id="6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GOSSAMER BIO 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confirms an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you and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term includes the Company’s parent, Gossamer Bio, Inc.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Parent’s subsidiaries, and any other entity in which I am asked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provide services for, and each of their respective successors and assigns), which is a material part of the consideration for my employment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continued employment by the Company:</w:t>
      </w:r>
    </w:p>
    <w:p>
      <w:pPr>
        <w:spacing w:after="0" w:line="207" w:lineRule="exact"/>
        <w:rPr>
          <w:sz w:val="20"/>
          <w:szCs w:val="20"/>
          <w:color w:val="auto"/>
        </w:rPr>
      </w:pPr>
    </w:p>
    <w:p>
      <w:pPr>
        <w:ind w:left="760" w:hanging="316"/>
        <w:spacing w:after="0"/>
        <w:tabs>
          <w:tab w:leader="none" w:pos="760" w:val="left"/>
        </w:tabs>
        <w:numPr>
          <w:ilvl w:val="0"/>
          <w:numId w:val="503"/>
        </w:numPr>
        <w:rPr>
          <w:rFonts w:ascii="Arial" w:cs="Arial" w:eastAsia="Arial" w:hAnsi="Arial"/>
          <w:sz w:val="17"/>
          <w:szCs w:val="17"/>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creates a relationship of confidence and trust between me and the</w:t>
      </w:r>
    </w:p>
    <w:p>
      <w:pPr>
        <w:spacing w:after="0" w:line="38"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Company with respect to Proprietary Information of the Company, its business partners or its customers or suppliers which may be learned by me during the period of my employment or any period prior thereto wherein I was performing services for the Company or any predecessor thereof. For purposes of this Agreement,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is any information, data, trade secret or know-how (whether in tangible or electronic form or maintained in mind or memory or in another intangible form of expression) that was or is developed by, or became or becomes known by the Company or me in relation to my employment with the Company or otherwise concerns the business, operations, products, or technology of the Company, or was or is assigned or otherwise conveyed to the Company. “Proprietary Information” also includes, without limitation, all financial, business, scientific, technical, economic and/or engineering information, including without limitation, business strategies, business plans, forecasts, strategies, development plans, promotional and marketing objectives, results of research, trials or operations, pricing, customer lists, supplier lists, patent disclosures, patent applications, know-how, trade secrets, compilations, ideas, inventions, improvements, research, discoveries, techniques, methods, processes, manufacturing techniques, procedures, formulations, designs, patterns, drawings, flow charts, schematics, tooling, plans, configurations, specifications, documents, data sheets, mock-ups, models, compounds, compositions, structures, prototypes, programs, computer code, algorithms, mechanisms, materials, equipment, samples, test results, opinions, data, analysis, the salaries, duties, qualifications, performance levels, and terms of compensation of other employees and other proprietary information. Proprietary Information does not include any of the foregoing items that is or has become publicly and widely known and made generally available through no wrongful act of mine or of others who were under confidentiality obligations as to the item or items involved.</w:t>
      </w:r>
    </w:p>
    <w:p>
      <w:pPr>
        <w:spacing w:after="0" w:line="177" w:lineRule="exact"/>
        <w:rPr>
          <w:rFonts w:ascii="Arial" w:cs="Arial" w:eastAsia="Arial" w:hAnsi="Arial"/>
          <w:sz w:val="17"/>
          <w:szCs w:val="17"/>
          <w:color w:val="auto"/>
        </w:rPr>
      </w:pPr>
    </w:p>
    <w:p>
      <w:pPr>
        <w:ind w:right="460" w:firstLine="444"/>
        <w:spacing w:after="0" w:line="282" w:lineRule="auto"/>
        <w:tabs>
          <w:tab w:leader="none" w:pos="756"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my employment by the Company and the compensation received by me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I hereby agree as follows:</w:t>
      </w:r>
    </w:p>
    <w:p>
      <w:pPr>
        <w:spacing w:after="0" w:line="161" w:lineRule="exact"/>
        <w:rPr>
          <w:rFonts w:ascii="Arial" w:cs="Arial" w:eastAsia="Arial" w:hAnsi="Arial"/>
          <w:sz w:val="18"/>
          <w:szCs w:val="18"/>
          <w:color w:val="auto"/>
        </w:rPr>
      </w:pPr>
    </w:p>
    <w:p>
      <w:pPr>
        <w:jc w:val="both"/>
        <w:ind w:right="280" w:firstLine="885"/>
        <w:spacing w:after="0" w:line="266" w:lineRule="auto"/>
        <w:tabs>
          <w:tab w:leader="none" w:pos="1261" w:val="left"/>
        </w:tabs>
        <w:numPr>
          <w:ilvl w:val="1"/>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At all times, both during my employment by the Company and after its termination, I will keep in confidence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trust and will not use or disclose any Proprietary Information or anything relating to it without the written consent of the Company, except as may be necessary in the ordinary course of performing my duties to the Company.</w:t>
      </w:r>
    </w:p>
    <w:p>
      <w:pPr>
        <w:spacing w:after="0" w:line="176" w:lineRule="exact"/>
        <w:rPr>
          <w:rFonts w:ascii="Arial" w:cs="Arial" w:eastAsia="Arial" w:hAnsi="Arial"/>
          <w:sz w:val="18"/>
          <w:szCs w:val="18"/>
          <w:color w:val="auto"/>
        </w:rPr>
      </w:pPr>
    </w:p>
    <w:p>
      <w:pPr>
        <w:ind w:right="40" w:firstLine="885"/>
        <w:spacing w:after="0" w:line="255" w:lineRule="auto"/>
        <w:tabs>
          <w:tab w:leader="none" w:pos="1271" w:val="left"/>
        </w:tabs>
        <w:numPr>
          <w:ilvl w:val="1"/>
          <w:numId w:val="503"/>
        </w:numPr>
        <w:rPr>
          <w:rFonts w:ascii="Arial" w:cs="Arial" w:eastAsia="Arial" w:hAnsi="Arial"/>
          <w:sz w:val="18"/>
          <w:szCs w:val="18"/>
          <w:color w:val="auto"/>
        </w:rPr>
      </w:pPr>
      <w:r>
        <w:rPr>
          <w:rFonts w:ascii="Arial" w:cs="Arial" w:eastAsia="Arial" w:hAnsi="Arial"/>
          <w:sz w:val="18"/>
          <w:szCs w:val="18"/>
          <w:b w:val="1"/>
          <w:bCs w:val="1"/>
          <w:color w:val="auto"/>
        </w:rPr>
        <w:t>Defend Trade Secrets Act Notice of Immunity Rights</w:t>
      </w:r>
      <w:r>
        <w:rPr>
          <w:rFonts w:ascii="Arial" w:cs="Arial" w:eastAsia="Arial" w:hAnsi="Arial"/>
          <w:sz w:val="18"/>
          <w:szCs w:val="18"/>
          <w:color w:val="auto"/>
        </w:rPr>
        <w:t>. I acknowledge that the Company has provided me with the following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635" w:name="page636"/>
    <w:bookmarkEnd w:id="63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166" w:lineRule="exact"/>
        <w:rPr>
          <w:sz w:val="20"/>
          <w:szCs w:val="20"/>
          <w:color w:val="auto"/>
        </w:rPr>
      </w:pPr>
    </w:p>
    <w:p>
      <w:pPr>
        <w:jc w:val="both"/>
        <w:ind w:right="80" w:firstLine="885"/>
        <w:spacing w:after="0" w:line="261" w:lineRule="auto"/>
        <w:tabs>
          <w:tab w:leader="none" w:pos="1261" w:val="left"/>
        </w:tabs>
        <w:numPr>
          <w:ilvl w:val="1"/>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Return of Company Documents. </w:t>
      </w:r>
      <w:r>
        <w:rPr>
          <w:rFonts w:ascii="Arial" w:cs="Arial" w:eastAsia="Arial" w:hAnsi="Arial"/>
          <w:sz w:val="18"/>
          <w:szCs w:val="18"/>
          <w:color w:val="auto"/>
        </w:rPr>
        <w:t>In the event of the termination of my employment by me or by the Company for any reason, I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return all physical and electronic documents and records and all apparatus, equipment and other property, or any reproduction of such property, whether or not pertaining to Proprietary Information, furnished to me by the Company or produced by myself or others in connection with my employment, to the Company immediately as and when requested by the Company.</w:t>
      </w:r>
    </w:p>
    <w:p>
      <w:pPr>
        <w:spacing w:after="0" w:line="180" w:lineRule="exact"/>
        <w:rPr>
          <w:rFonts w:ascii="Arial" w:cs="Arial" w:eastAsia="Arial" w:hAnsi="Arial"/>
          <w:sz w:val="18"/>
          <w:szCs w:val="18"/>
          <w:color w:val="auto"/>
        </w:rPr>
      </w:pPr>
    </w:p>
    <w:p>
      <w:pPr>
        <w:ind w:right="100" w:firstLine="885"/>
        <w:spacing w:after="0" w:line="289" w:lineRule="auto"/>
        <w:tabs>
          <w:tab w:leader="none" w:pos="1271" w:val="left"/>
        </w:tabs>
        <w:numPr>
          <w:ilvl w:val="1"/>
          <w:numId w:val="504"/>
        </w:numPr>
        <w:rPr>
          <w:rFonts w:ascii="Arial" w:cs="Arial" w:eastAsia="Arial" w:hAnsi="Arial"/>
          <w:sz w:val="16"/>
          <w:szCs w:val="16"/>
          <w:color w:val="auto"/>
        </w:rPr>
      </w:pPr>
      <w:r>
        <w:rPr>
          <w:rFonts w:ascii="Arial" w:cs="Arial" w:eastAsia="Arial" w:hAnsi="Arial"/>
          <w:sz w:val="16"/>
          <w:szCs w:val="16"/>
          <w:b w:val="1"/>
          <w:bCs w:val="1"/>
          <w:color w:val="auto"/>
        </w:rPr>
        <w:t xml:space="preserve">Disclosure of Inventions. </w:t>
      </w:r>
      <w:r>
        <w:rPr>
          <w:rFonts w:ascii="Arial" w:cs="Arial" w:eastAsia="Arial" w:hAnsi="Arial"/>
          <w:sz w:val="16"/>
          <w:szCs w:val="16"/>
          <w:color w:val="auto"/>
        </w:rPr>
        <w:t>I will promptly disclose to the Company, or any persons designated by it, all Inventions made or conceived</w:t>
      </w:r>
      <w:r>
        <w:rPr>
          <w:rFonts w:ascii="Arial" w:cs="Arial" w:eastAsia="Arial" w:hAnsi="Arial"/>
          <w:sz w:val="16"/>
          <w:szCs w:val="16"/>
          <w:b w:val="1"/>
          <w:bCs w:val="1"/>
          <w:color w:val="auto"/>
        </w:rPr>
        <w:t xml:space="preserve"> </w:t>
      </w:r>
      <w:r>
        <w:rPr>
          <w:rFonts w:ascii="Arial" w:cs="Arial" w:eastAsia="Arial" w:hAnsi="Arial"/>
          <w:sz w:val="16"/>
          <w:szCs w:val="16"/>
          <w:color w:val="auto"/>
        </w:rPr>
        <w:t>or reduced to practice or developed by me, either alone or jointly with others, during the term of my employment or any period prior thereto wherein I was performing services for the Company or any predecessor thereof, in sufficient detail to enable the Company to practice such inventions.</w:t>
      </w:r>
    </w:p>
    <w:p>
      <w:pPr>
        <w:spacing w:after="0" w:line="1"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includes all improvements, inventions, discoveries, formulas, ideas, circuits, mask works, works of authorship, processes, computer programs, algorithms, techniques, schematics, industrial designs, know-how and data, whether or not patentable. I will also disclose to the Company all Inventions conceived, reduced to practice, or developed by me within six (6) months of the termination of my employment with the Company. Such disclosure shall be received by the Company in confidence and does not extend the assignment made in Section 2(e) below.</w:t>
      </w:r>
    </w:p>
    <w:p>
      <w:pPr>
        <w:spacing w:after="0" w:line="172" w:lineRule="exact"/>
        <w:rPr>
          <w:rFonts w:ascii="Arial" w:cs="Arial" w:eastAsia="Arial" w:hAnsi="Arial"/>
          <w:sz w:val="16"/>
          <w:szCs w:val="16"/>
          <w:color w:val="auto"/>
        </w:rPr>
      </w:pPr>
    </w:p>
    <w:p>
      <w:pPr>
        <w:ind w:right="60" w:firstLine="885"/>
        <w:spacing w:after="0" w:line="285" w:lineRule="auto"/>
        <w:tabs>
          <w:tab w:leader="none" w:pos="1261" w:val="left"/>
        </w:tabs>
        <w:numPr>
          <w:ilvl w:val="1"/>
          <w:numId w:val="504"/>
        </w:numPr>
        <w:rPr>
          <w:rFonts w:ascii="Arial" w:cs="Arial" w:eastAsia="Arial" w:hAnsi="Arial"/>
          <w:sz w:val="16"/>
          <w:szCs w:val="16"/>
          <w:color w:val="auto"/>
        </w:rPr>
      </w:pPr>
      <w:r>
        <w:rPr>
          <w:rFonts w:ascii="Arial" w:cs="Arial" w:eastAsia="Arial" w:hAnsi="Arial"/>
          <w:sz w:val="16"/>
          <w:szCs w:val="16"/>
          <w:b w:val="1"/>
          <w:bCs w:val="1"/>
          <w:color w:val="auto"/>
        </w:rPr>
        <w:t xml:space="preserve">Ownership; Assignment of Inventions. </w:t>
      </w:r>
      <w:r>
        <w:rPr>
          <w:rFonts w:ascii="Arial" w:cs="Arial" w:eastAsia="Arial" w:hAnsi="Arial"/>
          <w:sz w:val="16"/>
          <w:szCs w:val="16"/>
          <w:color w:val="auto"/>
        </w:rPr>
        <w:t>I agree that all Proprietary Information, and all Inventions which I make, conceive, reduce to</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or develop (in whole or in part, either alone or jointly with others) during my employment or any period prior thereto wherein I was performing services for the Company or any predecessor thereof, are and shall be the sole property of the Company to the maximum extent permitted by law. I hereby assign to the Company any and all rights I may have or acquire in such Inventions and/or in any other Proprietary Information of the Company and any and all worldwide patents, patent applications, copyrights, mask work rights, industrial design rights, trade secret rights and other intellectual property rights related thereto or resulting therefrom. The Company’s ownership and my assignment hereunder shall not extend to Inventions that</w:t>
      </w:r>
    </w:p>
    <w:p>
      <w:pPr>
        <w:spacing w:after="0" w:line="3" w:lineRule="exact"/>
        <w:rPr>
          <w:rFonts w:ascii="Arial" w:cs="Arial" w:eastAsia="Arial" w:hAnsi="Arial"/>
          <w:sz w:val="16"/>
          <w:szCs w:val="16"/>
          <w:color w:val="auto"/>
        </w:rPr>
      </w:pPr>
    </w:p>
    <w:p>
      <w:pPr>
        <w:jc w:val="both"/>
        <w:ind w:firstLine="4"/>
        <w:spacing w:after="0" w:line="273" w:lineRule="auto"/>
        <w:tabs>
          <w:tab w:leader="none" w:pos="245" w:val="left"/>
        </w:tabs>
        <w:numPr>
          <w:ilvl w:val="0"/>
          <w:numId w:val="505"/>
        </w:numPr>
        <w:rPr>
          <w:rFonts w:ascii="Arial" w:cs="Arial" w:eastAsia="Arial" w:hAnsi="Arial"/>
          <w:sz w:val="17"/>
          <w:szCs w:val="17"/>
          <w:color w:val="auto"/>
        </w:rPr>
      </w:pPr>
      <w:r>
        <w:rPr>
          <w:rFonts w:ascii="Arial" w:cs="Arial" w:eastAsia="Arial" w:hAnsi="Arial"/>
          <w:sz w:val="17"/>
          <w:szCs w:val="17"/>
          <w:color w:val="auto"/>
        </w:rPr>
        <w:t xml:space="preserve">qualify fully under the provisions of Section 2870 of the California Labor Code,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if I am employed in California or (b) I developed entirely on my own time without using the Company’s equipment, supplies, facilities, or trade secret information except for those inventions that either: (1) relate at the time of conception or reduction to practice of the invention to the Company’s business, or actual or demonstrably anticipated research or development of the Company; or (2) result from any work performed by me for the Company.</w:t>
      </w:r>
    </w:p>
    <w:p>
      <w:pPr>
        <w:spacing w:after="0" w:line="172" w:lineRule="exact"/>
        <w:rPr>
          <w:rFonts w:ascii="Arial" w:cs="Arial" w:eastAsia="Arial" w:hAnsi="Arial"/>
          <w:sz w:val="17"/>
          <w:szCs w:val="17"/>
          <w:color w:val="auto"/>
        </w:rPr>
      </w:pPr>
    </w:p>
    <w:p>
      <w:pPr>
        <w:ind w:right="60" w:firstLine="885"/>
        <w:spacing w:after="0" w:line="295" w:lineRule="auto"/>
        <w:tabs>
          <w:tab w:leader="none" w:pos="1241" w:val="left"/>
        </w:tabs>
        <w:numPr>
          <w:ilvl w:val="1"/>
          <w:numId w:val="505"/>
        </w:numPr>
        <w:rPr>
          <w:rFonts w:ascii="Arial" w:cs="Arial" w:eastAsia="Arial" w:hAnsi="Arial"/>
          <w:sz w:val="16"/>
          <w:szCs w:val="16"/>
          <w:color w:val="auto"/>
        </w:rPr>
      </w:pPr>
      <w:r>
        <w:rPr>
          <w:rFonts w:ascii="Arial" w:cs="Arial" w:eastAsia="Arial" w:hAnsi="Arial"/>
          <w:sz w:val="16"/>
          <w:szCs w:val="16"/>
          <w:b w:val="1"/>
          <w:bCs w:val="1"/>
          <w:color w:val="auto"/>
        </w:rPr>
        <w:t xml:space="preserve">Assignment of Moral Rights. </w:t>
      </w:r>
      <w:r>
        <w:rPr>
          <w:rFonts w:ascii="Arial" w:cs="Arial" w:eastAsia="Arial" w:hAnsi="Arial"/>
          <w:sz w:val="16"/>
          <w:szCs w:val="16"/>
          <w:color w:val="auto"/>
        </w:rPr>
        <w:t>In addition to the foregoing assignment of Inventions to the Company, I hereby irrevocably transfer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to the Company any and all “Moral Rights” (as defined below) that I may have in or with respect to any Invention. I also hereby forever waive and agree never to assert any and all Moral Rights I may have in or with respect to any Invention, even after termination of my work on behalf of the Company. “Moral Rights” mean any rights to claim authorship of an invention to object to or prevent the modification of any Invention, or to withdraw from circulation or control the publication or distribution of any Invention, and any similar right, existing under judicial or statutory law of any country in the world, or under any treaty, regardless of whether or not such right is denominated or generally referred to as a “moral right.”</w:t>
      </w:r>
    </w:p>
    <w:p>
      <w:pPr>
        <w:spacing w:after="0" w:line="155" w:lineRule="exact"/>
        <w:rPr>
          <w:rFonts w:ascii="Arial" w:cs="Arial" w:eastAsia="Arial" w:hAnsi="Arial"/>
          <w:sz w:val="16"/>
          <w:szCs w:val="16"/>
          <w:color w:val="auto"/>
        </w:rPr>
      </w:pPr>
    </w:p>
    <w:p>
      <w:pPr>
        <w:ind w:right="540" w:firstLine="885"/>
        <w:spacing w:after="0" w:line="347" w:lineRule="auto"/>
        <w:tabs>
          <w:tab w:leader="none" w:pos="1271" w:val="left"/>
        </w:tabs>
        <w:numPr>
          <w:ilvl w:val="1"/>
          <w:numId w:val="505"/>
        </w:numPr>
        <w:rPr>
          <w:rFonts w:ascii="Arial" w:cs="Arial" w:eastAsia="Arial" w:hAnsi="Arial"/>
          <w:sz w:val="16"/>
          <w:szCs w:val="16"/>
          <w:color w:val="auto"/>
        </w:rPr>
      </w:pPr>
      <w:r>
        <w:rPr>
          <w:rFonts w:ascii="Arial" w:cs="Arial" w:eastAsia="Arial" w:hAnsi="Arial"/>
          <w:sz w:val="16"/>
          <w:szCs w:val="16"/>
          <w:b w:val="1"/>
          <w:bCs w:val="1"/>
          <w:color w:val="auto"/>
        </w:rPr>
        <w:t>Work for Hire</w:t>
      </w:r>
      <w:r>
        <w:rPr>
          <w:rFonts w:ascii="Arial" w:cs="Arial" w:eastAsia="Arial" w:hAnsi="Arial"/>
          <w:sz w:val="16"/>
          <w:szCs w:val="16"/>
          <w:color w:val="auto"/>
        </w:rPr>
        <w:t>. I acknowledge and agree that any copyrightable works prepared by me within the scope of my employment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“works for hire” under the Copyright Act and that the Company will be considered the author and owner of such copyrightable works.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636" w:name="page637"/>
    <w:bookmarkEnd w:id="636"/>
    <w:p>
      <w:pPr>
        <w:ind w:firstLine="885"/>
        <w:spacing w:after="0" w:line="272" w:lineRule="auto"/>
        <w:tabs>
          <w:tab w:leader="none" w:pos="1271" w:val="left"/>
        </w:tabs>
        <w:numPr>
          <w:ilvl w:val="0"/>
          <w:numId w:val="50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Prior Inventions. </w:t>
      </w:r>
      <w:r>
        <w:rPr>
          <w:rFonts w:ascii="Arial" w:cs="Arial" w:eastAsia="Arial" w:hAnsi="Arial"/>
          <w:sz w:val="17"/>
          <w:szCs w:val="17"/>
          <w:color w:val="auto"/>
        </w:rPr>
        <w:t>I have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all Inventions or improvements that relate to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this Agreement, and I covenant that such list is complete. If no such list is attached to this Agreement, I represent that I have no such Inventions and improvements at the time of signing this Agreement. I will not use any prior Inventions in the performance of my duties without the prior express written consent of my supervisor, and if I do (but only if I do), I hereby grant to Company a perpetual, irrevocable, royalty-free, worldwide, full paid-up, transferable, sub-licensable, right and license to use and exploit the same.</w:t>
      </w:r>
    </w:p>
    <w:p>
      <w:pPr>
        <w:spacing w:after="0" w:line="172" w:lineRule="exact"/>
        <w:rPr>
          <w:rFonts w:ascii="Arial" w:cs="Arial" w:eastAsia="Arial" w:hAnsi="Arial"/>
          <w:sz w:val="17"/>
          <w:szCs w:val="17"/>
          <w:color w:val="auto"/>
        </w:rPr>
      </w:pPr>
    </w:p>
    <w:p>
      <w:pPr>
        <w:ind w:right="20" w:firstLine="885"/>
        <w:spacing w:after="0" w:line="272" w:lineRule="auto"/>
        <w:tabs>
          <w:tab w:leader="none" w:pos="1231" w:val="left"/>
        </w:tabs>
        <w:numPr>
          <w:ilvl w:val="0"/>
          <w:numId w:val="506"/>
        </w:numPr>
        <w:rPr>
          <w:rFonts w:ascii="Arial" w:cs="Arial" w:eastAsia="Arial" w:hAnsi="Arial"/>
          <w:sz w:val="17"/>
          <w:szCs w:val="17"/>
          <w:color w:val="auto"/>
        </w:rPr>
      </w:pPr>
      <w:r>
        <w:rPr>
          <w:rFonts w:ascii="Arial" w:cs="Arial" w:eastAsia="Arial" w:hAnsi="Arial"/>
          <w:sz w:val="17"/>
          <w:szCs w:val="17"/>
          <w:b w:val="1"/>
          <w:bCs w:val="1"/>
          <w:color w:val="auto"/>
        </w:rPr>
        <w:t xml:space="preserve">Enforcement of Inventions; Further Actions. </w:t>
      </w:r>
      <w:r>
        <w:rPr>
          <w:rFonts w:ascii="Arial" w:cs="Arial" w:eastAsia="Arial" w:hAnsi="Arial"/>
          <w:sz w:val="17"/>
          <w:szCs w:val="17"/>
          <w:color w:val="auto"/>
        </w:rPr>
        <w:t>I agree to perform, during and after my employment, all acts deemed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desirable by the Company to permit and assist it, at the Company’s expense, in obtaining, maintaining and enforcing patents, copyrights, trade secret rights, rights with respect to mask works or other rights on such Inventions and/or any other Inventions I have or may at any time assign to the Company and any designee of the Company in any and all countries. Such acts may include, but are not limited to, execution of documents and assistance or cooperation in legal proceedings. I hereby irrevocably designate and appoint the Company and its duly authorized officers and agents, as my agents and attorneys-in-fact to act for and in my behalf and instead of me, to execute and file any applications or related filings and to do all other lawfully permitted acts to further the prosecution and issuance of patents, copyrights, trade secret rights, rights with respect to mask works or other rights thereon with the same legal force and effect as if executed by me.</w:t>
      </w:r>
    </w:p>
    <w:p>
      <w:pPr>
        <w:spacing w:after="0" w:line="172" w:lineRule="exact"/>
        <w:rPr>
          <w:rFonts w:ascii="Arial" w:cs="Arial" w:eastAsia="Arial" w:hAnsi="Arial"/>
          <w:sz w:val="17"/>
          <w:szCs w:val="17"/>
          <w:color w:val="auto"/>
        </w:rPr>
      </w:pPr>
    </w:p>
    <w:p>
      <w:pPr>
        <w:ind w:firstLine="885"/>
        <w:spacing w:after="0" w:line="266" w:lineRule="auto"/>
        <w:tabs>
          <w:tab w:leader="none" w:pos="1231"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 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76" w:lineRule="exact"/>
        <w:rPr>
          <w:rFonts w:ascii="Arial" w:cs="Arial" w:eastAsia="Arial" w:hAnsi="Arial"/>
          <w:sz w:val="18"/>
          <w:szCs w:val="18"/>
          <w:color w:val="auto"/>
        </w:rPr>
      </w:pPr>
    </w:p>
    <w:p>
      <w:pPr>
        <w:ind w:firstLine="885"/>
        <w:spacing w:after="0" w:line="255" w:lineRule="auto"/>
        <w:tabs>
          <w:tab w:leader="none" w:pos="1271"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period of my employment with the Company, without the prior written approval of an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if I am an executive officer of the Company, without the prior approval of the Company’s Board of Directors), I will not, either as an employee, employer, consultant, agent, principal, partner or officer, engage or participate in any employment, business or activity that is directly competitive with the business or proposed business of the Company, and will not assist any other person or organization in directly competing with the Company, or in preparing to engage in direct competition with the business or proposed business of the Company. The provisions of this section shall apply both during normal working hours and at all other times, including, without limitation, nights, weekends and vacation time, while I am employed by the Company.</w:t>
      </w:r>
    </w:p>
    <w:p>
      <w:pPr>
        <w:spacing w:after="0" w:line="189" w:lineRule="exact"/>
        <w:rPr>
          <w:rFonts w:ascii="Arial" w:cs="Arial" w:eastAsia="Arial" w:hAnsi="Arial"/>
          <w:sz w:val="18"/>
          <w:szCs w:val="18"/>
          <w:color w:val="auto"/>
        </w:rPr>
      </w:pPr>
    </w:p>
    <w:p>
      <w:pPr>
        <w:ind w:right="100" w:firstLine="885"/>
        <w:spacing w:after="0" w:line="256" w:lineRule="auto"/>
        <w:tabs>
          <w:tab w:leader="none" w:pos="1231"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w:t>
      </w:r>
      <w:r>
        <w:rPr>
          <w:rFonts w:ascii="Arial" w:cs="Arial" w:eastAsia="Arial" w:hAnsi="Arial"/>
          <w:sz w:val="18"/>
          <w:szCs w:val="18"/>
          <w:color w:val="auto"/>
        </w:rPr>
        <w:t>During the term of my employment and for one (1) year thereafter, I will not, either directly or through others,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or attempt to solicit any employee, independent contractor or consultant of the Company to terminate his or her relationship with the Company in order to become an employee, consultant or independent contractor to or for any other person or entity, or otherwise encourage or solicit any employee of the Company to leave the Company for any reason or to devote less than all of any such employee’s efforts to the affairs of the Company; provided that the foregoing shall not affect any responsibility I may have as an employee of the Company with respect to the bona fide hiring and firing of Company personnel.</w:t>
      </w:r>
    </w:p>
    <w:p>
      <w:pPr>
        <w:spacing w:after="0" w:line="187" w:lineRule="exact"/>
        <w:rPr>
          <w:rFonts w:ascii="Arial" w:cs="Arial" w:eastAsia="Arial" w:hAnsi="Arial"/>
          <w:sz w:val="18"/>
          <w:szCs w:val="18"/>
          <w:color w:val="auto"/>
        </w:rPr>
      </w:pPr>
    </w:p>
    <w:p>
      <w:pPr>
        <w:ind w:right="360" w:firstLine="885"/>
        <w:spacing w:after="0" w:line="282" w:lineRule="auto"/>
        <w:tabs>
          <w:tab w:leader="none" w:pos="1321"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t xml:space="preserve">No Conflicting Obligations. </w:t>
      </w:r>
      <w:r>
        <w:rPr>
          <w:rFonts w:ascii="Arial" w:cs="Arial" w:eastAsia="Arial" w:hAnsi="Arial"/>
          <w:sz w:val="18"/>
          <w:szCs w:val="18"/>
          <w:color w:val="auto"/>
        </w:rPr>
        <w:t>I represent that my performance of all the terms of this Agreement will not breach any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keep in confidence proprietary information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637" w:name="page638"/>
    <w:bookmarkEnd w:id="637"/>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by me in confidence or in trust prior to my employment with the Company. I have not entered into, and I agree I will not enter into, any agreement either written or oral in conflict with this Agreement or in conflict with my employment with the Company.</w:t>
      </w:r>
    </w:p>
    <w:p>
      <w:pPr>
        <w:spacing w:after="0" w:line="166" w:lineRule="exact"/>
        <w:rPr>
          <w:sz w:val="20"/>
          <w:szCs w:val="20"/>
          <w:color w:val="auto"/>
        </w:rPr>
      </w:pPr>
    </w:p>
    <w:p>
      <w:pPr>
        <w:ind w:firstLine="885"/>
        <w:spacing w:after="0" w:line="255" w:lineRule="auto"/>
        <w:tabs>
          <w:tab w:leader="none" w:pos="1271" w:val="left"/>
        </w:tabs>
        <w:numPr>
          <w:ilvl w:val="1"/>
          <w:numId w:val="507"/>
        </w:numPr>
        <w:rPr>
          <w:rFonts w:ascii="Arial" w:cs="Arial" w:eastAsia="Arial" w:hAnsi="Arial"/>
          <w:sz w:val="18"/>
          <w:szCs w:val="18"/>
          <w:color w:val="auto"/>
        </w:rPr>
      </w:pPr>
      <w:r>
        <w:rPr>
          <w:rFonts w:ascii="Arial" w:cs="Arial" w:eastAsia="Arial" w:hAnsi="Arial"/>
          <w:sz w:val="18"/>
          <w:szCs w:val="18"/>
          <w:b w:val="1"/>
          <w:bCs w:val="1"/>
          <w:color w:val="auto"/>
        </w:rPr>
        <w:t xml:space="preserve">No Improper Use of Information of Prior Employers and Others. </w:t>
      </w:r>
      <w:r>
        <w:rPr>
          <w:rFonts w:ascii="Arial" w:cs="Arial" w:eastAsia="Arial" w:hAnsi="Arial"/>
          <w:sz w:val="18"/>
          <w:szCs w:val="18"/>
          <w:color w:val="auto"/>
        </w:rPr>
        <w:t>During my employment by the Company, I will not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expressly authorized in writing by that former employer or person. Unless disclosed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89" w:lineRule="exact"/>
        <w:rPr>
          <w:rFonts w:ascii="Arial" w:cs="Arial" w:eastAsia="Arial" w:hAnsi="Arial"/>
          <w:sz w:val="18"/>
          <w:szCs w:val="18"/>
          <w:color w:val="auto"/>
        </w:rPr>
      </w:pPr>
    </w:p>
    <w:p>
      <w:pPr>
        <w:ind w:right="160" w:firstLine="885"/>
        <w:spacing w:after="0" w:line="282" w:lineRule="auto"/>
        <w:tabs>
          <w:tab w:leader="none" w:pos="1271" w:val="left"/>
        </w:tabs>
        <w:numPr>
          <w:ilvl w:val="1"/>
          <w:numId w:val="507"/>
        </w:numPr>
        <w:rPr>
          <w:rFonts w:ascii="Arial" w:cs="Arial" w:eastAsia="Arial" w:hAnsi="Arial"/>
          <w:sz w:val="18"/>
          <w:szCs w:val="18"/>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In the event that I leave the employ of the Company, I hereby consent to the notification of my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my rights and obligations under this Agreement.</w:t>
      </w:r>
    </w:p>
    <w:p>
      <w:pPr>
        <w:spacing w:after="0" w:line="161" w:lineRule="exact"/>
        <w:rPr>
          <w:rFonts w:ascii="Arial" w:cs="Arial" w:eastAsia="Arial" w:hAnsi="Arial"/>
          <w:sz w:val="18"/>
          <w:szCs w:val="18"/>
          <w:color w:val="auto"/>
        </w:rPr>
      </w:pPr>
    </w:p>
    <w:p>
      <w:pPr>
        <w:ind w:left="760" w:hanging="316"/>
        <w:spacing w:after="0"/>
        <w:tabs>
          <w:tab w:leader="none" w:pos="760" w:val="left"/>
        </w:tabs>
        <w:numPr>
          <w:ilvl w:val="0"/>
          <w:numId w:val="508"/>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885"/>
        <w:spacing w:after="0" w:line="266" w:lineRule="auto"/>
        <w:tabs>
          <w:tab w:leader="none" w:pos="1261" w:val="left"/>
        </w:tabs>
        <w:numPr>
          <w:ilvl w:val="1"/>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 agree and understand that my employment with the Company constitutes “AT-WILL” employment and that nothing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confer any right with respect to continuation of 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ind w:firstLine="885"/>
        <w:spacing w:after="0" w:line="281" w:lineRule="auto"/>
        <w:tabs>
          <w:tab w:leader="none" w:pos="1271" w:val="left"/>
        </w:tabs>
        <w:numPr>
          <w:ilvl w:val="1"/>
          <w:numId w:val="508"/>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be effective as of the first day of my employment by the Company,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me, my heirs, executors, assigns, and administrators and shall inure to the benefit of the Company, its subsidiaries, successors and assigns. I will not assign this Agreement or my obligations hereunder without the prior written consent of the Company, which consent may be withheld in the Company’s sole discretion, and any such purported assignment without consent shall be null and void.</w:t>
      </w:r>
    </w:p>
    <w:p>
      <w:pPr>
        <w:spacing w:after="0" w:line="164" w:lineRule="exact"/>
        <w:rPr>
          <w:rFonts w:ascii="Arial" w:cs="Arial" w:eastAsia="Arial" w:hAnsi="Arial"/>
          <w:sz w:val="17"/>
          <w:szCs w:val="17"/>
          <w:color w:val="auto"/>
        </w:rPr>
      </w:pPr>
    </w:p>
    <w:p>
      <w:pPr>
        <w:ind w:right="20" w:firstLine="885"/>
        <w:spacing w:after="0" w:line="282" w:lineRule="auto"/>
        <w:tabs>
          <w:tab w:leader="none" w:pos="1261" w:val="left"/>
        </w:tabs>
        <w:numPr>
          <w:ilvl w:val="1"/>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this Agreement shall survive the termination of my employment and the assignment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any successor in interest or other assignee.</w:t>
      </w:r>
    </w:p>
    <w:p>
      <w:pPr>
        <w:spacing w:after="0" w:line="161" w:lineRule="exact"/>
        <w:rPr>
          <w:rFonts w:ascii="Arial" w:cs="Arial" w:eastAsia="Arial" w:hAnsi="Arial"/>
          <w:sz w:val="18"/>
          <w:szCs w:val="18"/>
          <w:color w:val="auto"/>
        </w:rPr>
      </w:pPr>
    </w:p>
    <w:p>
      <w:pPr>
        <w:ind w:right="160" w:firstLine="885"/>
        <w:spacing w:after="0" w:line="261" w:lineRule="auto"/>
        <w:tabs>
          <w:tab w:leader="none" w:pos="1271" w:val="left"/>
        </w:tabs>
        <w:numPr>
          <w:ilvl w:val="1"/>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Legal and Equitable Remedies. </w:t>
      </w:r>
      <w:r>
        <w:rPr>
          <w:rFonts w:ascii="Arial" w:cs="Arial" w:eastAsia="Arial" w:hAnsi="Arial"/>
          <w:sz w:val="18"/>
          <w:szCs w:val="18"/>
          <w:color w:val="auto"/>
        </w:rPr>
        <w:t>Because my services are personal and unique and because I may have access to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80" w:lineRule="exact"/>
        <w:rPr>
          <w:rFonts w:ascii="Arial" w:cs="Arial" w:eastAsia="Arial" w:hAnsi="Arial"/>
          <w:sz w:val="18"/>
          <w:szCs w:val="18"/>
          <w:color w:val="auto"/>
        </w:rPr>
      </w:pPr>
    </w:p>
    <w:p>
      <w:pPr>
        <w:jc w:val="both"/>
        <w:ind w:right="80" w:firstLine="885"/>
        <w:spacing w:after="0" w:line="266" w:lineRule="auto"/>
        <w:tabs>
          <w:tab w:leader="none" w:pos="1261" w:val="left"/>
        </w:tabs>
        <w:numPr>
          <w:ilvl w:val="1"/>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such provisions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this Agreement and the balance of the Agreement shall be interpreted as if such provisions were so excluded and shall be enforceable in accordance with its terms.</w:t>
      </w:r>
    </w:p>
    <w:p>
      <w:pPr>
        <w:spacing w:after="0" w:line="176" w:lineRule="exact"/>
        <w:rPr>
          <w:rFonts w:ascii="Arial" w:cs="Arial" w:eastAsia="Arial" w:hAnsi="Arial"/>
          <w:sz w:val="18"/>
          <w:szCs w:val="18"/>
          <w:color w:val="auto"/>
        </w:rPr>
      </w:pPr>
    </w:p>
    <w:p>
      <w:pPr>
        <w:ind w:right="420" w:firstLine="885"/>
        <w:spacing w:after="0" w:line="282" w:lineRule="auto"/>
        <w:tabs>
          <w:tab w:leader="none" w:pos="1241" w:val="left"/>
        </w:tabs>
        <w:numPr>
          <w:ilvl w:val="1"/>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Titles. </w:t>
      </w:r>
      <w:r>
        <w:rPr>
          <w:rFonts w:ascii="Arial" w:cs="Arial" w:eastAsia="Arial" w:hAnsi="Arial"/>
          <w:sz w:val="18"/>
          <w:szCs w:val="18"/>
          <w:color w:val="auto"/>
        </w:rPr>
        <w:t>The titles and headings appearing at the beginning of the numbered sections and at the beginning of paragraphs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for convenience only and do not constitute any part of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638" w:name="page639"/>
    <w:bookmarkEnd w:id="638"/>
    <w:p>
      <w:pPr>
        <w:jc w:val="both"/>
        <w:ind w:left="-100" w:right="60" w:firstLine="885"/>
        <w:spacing w:after="0" w:line="261" w:lineRule="auto"/>
        <w:tabs>
          <w:tab w:leader="none" w:pos="1171"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Consent to Personal Jurisdiction</w:t>
      </w:r>
      <w:r>
        <w:rPr>
          <w:rFonts w:ascii="Arial" w:cs="Arial" w:eastAsia="Arial" w:hAnsi="Arial"/>
          <w:sz w:val="18"/>
          <w:szCs w:val="18"/>
          <w:color w:val="auto"/>
        </w:rPr>
        <w:t>. I understand and agree that this Agreement shall be interpreted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without regard to the conflict of laws provisions thereof. I hereby expressly consent to the personal jurisdiction of the state and federal courts located in San Diego County, California for any lawsuit filed there against me by Company arising from or related to this Agreement.</w:t>
      </w:r>
    </w:p>
    <w:p>
      <w:pPr>
        <w:spacing w:after="0" w:line="180" w:lineRule="exact"/>
        <w:rPr>
          <w:rFonts w:ascii="Arial" w:cs="Arial" w:eastAsia="Arial" w:hAnsi="Arial"/>
          <w:sz w:val="18"/>
          <w:szCs w:val="18"/>
          <w:color w:val="auto"/>
        </w:rPr>
      </w:pPr>
    </w:p>
    <w:p>
      <w:pPr>
        <w:ind w:left="-100" w:firstLine="885"/>
        <w:spacing w:after="0" w:line="261" w:lineRule="auto"/>
        <w:tabs>
          <w:tab w:leader="none" w:pos="1171"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and the Exhibits hereto contain the entire understanding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 any and all prior agreements, understandings and arrangements, whether written or oral, between the parties relating to such subject matter hereof. This Agreement may only be amended in writing by the Company and me and our respective permitted successors and assigns.</w:t>
      </w:r>
    </w:p>
    <w:p>
      <w:pPr>
        <w:spacing w:after="0" w:line="180" w:lineRule="exact"/>
        <w:rPr>
          <w:rFonts w:ascii="Arial" w:cs="Arial" w:eastAsia="Arial" w:hAnsi="Arial"/>
          <w:sz w:val="18"/>
          <w:szCs w:val="18"/>
          <w:color w:val="auto"/>
        </w:rPr>
      </w:pPr>
    </w:p>
    <w:p>
      <w:pPr>
        <w:ind w:left="-100" w:right="60" w:firstLine="885"/>
        <w:spacing w:after="0" w:line="282" w:lineRule="auto"/>
        <w:tabs>
          <w:tab w:leader="none" w:pos="1131"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one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540" w:top="270" w:right="53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Dated: 8/7/2018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Dr. Luisa Salter-Cid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 Dr. Luisa Salter-Cid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Waage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Christian Waage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EVP &amp; General Counsel</w:t>
            </w:r>
          </w:p>
        </w:tc>
      </w:tr>
    </w:tbl>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P</w:t>
      </w:r>
      <w:r>
        <w:rPr>
          <w:rFonts w:ascii="Arial" w:cs="Arial" w:eastAsia="Arial" w:hAnsi="Arial"/>
          <w:sz w:val="14"/>
          <w:szCs w:val="14"/>
          <w:color w:val="auto"/>
        </w:rPr>
        <w:t>ROPRIETARY</w:t>
      </w:r>
      <w:r>
        <w:rPr>
          <w:rFonts w:ascii="Arial" w:cs="Arial" w:eastAsia="Arial" w:hAnsi="Arial"/>
          <w:sz w:val="17"/>
          <w:szCs w:val="17"/>
          <w:color w:val="auto"/>
        </w:rPr>
        <w:t xml:space="preserve"> I</w:t>
      </w:r>
      <w:r>
        <w:rPr>
          <w:rFonts w:ascii="Arial" w:cs="Arial" w:eastAsia="Arial" w:hAnsi="Arial"/>
          <w:sz w:val="14"/>
          <w:szCs w:val="14"/>
          <w:color w:val="auto"/>
        </w:rPr>
        <w:t>NFORMATION AND</w:t>
      </w:r>
      <w:r>
        <w:rPr>
          <w:rFonts w:ascii="Arial" w:cs="Arial" w:eastAsia="Arial" w:hAnsi="Arial"/>
          <w:sz w:val="17"/>
          <w:szCs w:val="17"/>
          <w:color w:val="auto"/>
        </w:rPr>
        <w:t xml:space="preserve"> I</w:t>
      </w:r>
      <w:r>
        <w:rPr>
          <w:rFonts w:ascii="Arial" w:cs="Arial" w:eastAsia="Arial" w:hAnsi="Arial"/>
          <w:sz w:val="14"/>
          <w:szCs w:val="14"/>
          <w:color w:val="auto"/>
        </w:rPr>
        <w:t>NVENTIONS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4" w:right="1440" w:bottom="1440" w:gutter="0" w:footer="0" w:header="0"/>
        </w:sectPr>
      </w:pPr>
    </w:p>
    <w:bookmarkStart w:id="640" w:name="page641"/>
    <w:bookmarkEnd w:id="640"/>
    <w:p>
      <w:pPr>
        <w:jc w:val="center"/>
        <w:ind w:right="-1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§2870. Application of provision providing that employee shall assign or offer to assign rights in invention to employer.</w:t>
      </w:r>
    </w:p>
    <w:p>
      <w:pPr>
        <w:spacing w:after="0" w:line="225" w:lineRule="exact"/>
        <w:rPr>
          <w:sz w:val="20"/>
          <w:szCs w:val="20"/>
          <w:color w:val="auto"/>
        </w:rPr>
      </w:pPr>
    </w:p>
    <w:p>
      <w:pPr>
        <w:ind w:left="-4" w:right="200" w:firstLine="444"/>
        <w:spacing w:after="0" w:line="286" w:lineRule="auto"/>
        <w:tabs>
          <w:tab w:leader="none" w:pos="807" w:val="left"/>
        </w:tabs>
        <w:numPr>
          <w:ilvl w:val="1"/>
          <w:numId w:val="510"/>
        </w:numPr>
        <w:rPr>
          <w:rFonts w:ascii="Arial" w:cs="Arial" w:eastAsia="Arial" w:hAnsi="Arial"/>
          <w:sz w:val="16"/>
          <w:szCs w:val="16"/>
          <w:color w:val="auto"/>
        </w:rPr>
      </w:pPr>
      <w:r>
        <w:rPr>
          <w:rFonts w:ascii="Arial" w:cs="Arial" w:eastAsia="Arial" w:hAnsi="Arial"/>
          <w:sz w:val="16"/>
          <w:szCs w:val="16"/>
          <w:color w:val="auto"/>
        </w:rPr>
        <w:t>Any provisions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16"/>
          <w:szCs w:val="16"/>
          <w:color w:val="auto"/>
        </w:rPr>
      </w:pPr>
    </w:p>
    <w:p>
      <w:pPr>
        <w:ind w:left="256" w:hanging="256"/>
        <w:spacing w:after="0"/>
        <w:tabs>
          <w:tab w:leader="none" w:pos="25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10" w:lineRule="exact"/>
        <w:rPr>
          <w:rFonts w:ascii="Arial" w:cs="Arial" w:eastAsia="Arial" w:hAnsi="Arial"/>
          <w:sz w:val="18"/>
          <w:szCs w:val="18"/>
          <w:color w:val="auto"/>
        </w:rPr>
      </w:pPr>
    </w:p>
    <w:p>
      <w:pPr>
        <w:ind w:left="-4" w:firstLine="444"/>
        <w:spacing w:after="0" w:line="308" w:lineRule="auto"/>
        <w:tabs>
          <w:tab w:leader="none" w:pos="824" w:val="left"/>
        </w:tabs>
        <w:numPr>
          <w:ilvl w:val="1"/>
          <w:numId w:val="511"/>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96"/>
          </w:cols>
          <w:pgMar w:left="444" w:top="271" w:right="459" w:bottom="1440" w:gutter="0" w:footer="0" w:header="0"/>
        </w:sectPr>
      </w:pPr>
    </w:p>
    <w:bookmarkStart w:id="641" w:name="page642"/>
    <w:bookmarkEnd w:id="641"/>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4"/>
        <w:spacing w:after="0" w:line="258" w:lineRule="auto"/>
        <w:tabs>
          <w:tab w:leader="none" w:pos="752" w:val="left"/>
        </w:tabs>
        <w:numPr>
          <w:ilvl w:val="1"/>
          <w:numId w:val="512"/>
        </w:numPr>
        <w:rPr>
          <w:rFonts w:ascii="Arial" w:cs="Arial" w:eastAsia="Arial" w:hAnsi="Arial"/>
          <w:sz w:val="18"/>
          <w:szCs w:val="18"/>
          <w:b w:val="1"/>
          <w:bCs w:val="1"/>
          <w:color w:val="auto"/>
        </w:rPr>
      </w:pPr>
      <w:r>
        <w:rPr>
          <w:rFonts w:ascii="Arial" w:cs="Arial" w:eastAsia="Arial" w:hAnsi="Arial"/>
          <w:sz w:val="18"/>
          <w:szCs w:val="18"/>
          <w:color w:val="auto"/>
        </w:rPr>
        <w:t xml:space="preserve">The following is a complete list of all inventions or improvements that relate to the business of </w:t>
      </w:r>
      <w:r>
        <w:rPr>
          <w:rFonts w:ascii="Arial" w:cs="Arial" w:eastAsia="Arial" w:hAnsi="Arial"/>
          <w:sz w:val="18"/>
          <w:szCs w:val="18"/>
          <w:b w:val="1"/>
          <w:bCs w:val="1"/>
          <w:color w:val="auto"/>
        </w:rPr>
        <w:t>G</w:t>
      </w:r>
      <w:r>
        <w:rPr>
          <w:rFonts w:ascii="Arial" w:cs="Arial" w:eastAsia="Arial" w:hAnsi="Arial"/>
          <w:sz w:val="15"/>
          <w:szCs w:val="15"/>
          <w:b w:val="1"/>
          <w:bCs w:val="1"/>
          <w:color w:val="auto"/>
        </w:rPr>
        <w:t>OSSAMER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actual or demonstrably anticipated research or development of the Company, that have been made or conceived or first reduced to practice by me alone or jointly with others prior to my employment by the Company or any period prior thereto wherein I was performing services for the Company or any predecessor thereof that I desire to clarify for the record are not Inventions which are to be assigned to Company under the Company’s Proprietary Information and Inventions Agreement.</w:t>
      </w:r>
    </w:p>
    <w:p>
      <w:pPr>
        <w:spacing w:after="0" w:line="214" w:lineRule="exact"/>
        <w:rPr>
          <w:rFonts w:ascii="Arial" w:cs="Arial" w:eastAsia="Arial" w:hAnsi="Arial"/>
          <w:sz w:val="18"/>
          <w:szCs w:val="18"/>
          <w:b w:val="1"/>
          <w:bCs w:val="1"/>
          <w:color w:val="auto"/>
        </w:rPr>
      </w:pPr>
    </w:p>
    <w:p>
      <w:pPr>
        <w:ind w:left="440" w:hanging="436"/>
        <w:spacing w:after="0"/>
        <w:tabs>
          <w:tab w:leader="none" w:pos="440" w:val="left"/>
        </w:tabs>
        <w:numPr>
          <w:ilvl w:val="0"/>
          <w:numId w:val="512"/>
        </w:numPr>
        <w:rPr>
          <w:rFonts w:ascii="MS PGothic" w:cs="MS PGothic" w:eastAsia="MS PGothic" w:hAnsi="MS PGothic"/>
          <w:sz w:val="18"/>
          <w:szCs w:val="18"/>
          <w:color w:val="auto"/>
        </w:rPr>
      </w:pPr>
      <w:r>
        <w:rPr>
          <w:rFonts w:ascii="Arial" w:cs="Arial" w:eastAsia="Arial" w:hAnsi="Arial"/>
          <w:sz w:val="18"/>
          <w:szCs w:val="18"/>
          <w:color w:val="auto"/>
        </w:rPr>
        <w:t>No inventions or improvements.</w:t>
      </w:r>
    </w:p>
    <w:p>
      <w:pPr>
        <w:spacing w:after="0" w:line="252" w:lineRule="exact"/>
        <w:rPr>
          <w:sz w:val="20"/>
          <w:szCs w:val="20"/>
          <w:color w:val="auto"/>
        </w:rPr>
      </w:pPr>
    </w:p>
    <w:p>
      <w:pPr>
        <w:ind w:left="440" w:hanging="436"/>
        <w:spacing w:after="0"/>
        <w:tabs>
          <w:tab w:leader="none" w:pos="440" w:val="left"/>
        </w:tabs>
        <w:numPr>
          <w:ilvl w:val="0"/>
          <w:numId w:val="513"/>
        </w:numPr>
        <w:rPr>
          <w:rFonts w:ascii="MS PGothic" w:cs="MS PGothic" w:eastAsia="MS PGothic" w:hAnsi="MS PGothic"/>
          <w:sz w:val="18"/>
          <w:szCs w:val="18"/>
          <w:color w:val="auto"/>
        </w:rPr>
      </w:pPr>
      <w:r>
        <w:rPr>
          <w:rFonts w:ascii="Arial" w:cs="Arial" w:eastAsia="Arial" w:hAnsi="Arial"/>
          <w:sz w:val="18"/>
          <w:szCs w:val="18"/>
          <w:color w:val="auto"/>
        </w:rPr>
        <w:t>See below:</w:t>
      </w:r>
    </w:p>
    <w:p>
      <w:pPr>
        <w:spacing w:after="0" w:line="244" w:lineRule="exact"/>
        <w:rPr>
          <w:sz w:val="20"/>
          <w:szCs w:val="20"/>
          <w:color w:val="auto"/>
        </w:rPr>
      </w:pPr>
    </w:p>
    <w:p>
      <w:pPr>
        <w:ind w:left="1320"/>
        <w:spacing w:after="0"/>
        <w:tabs>
          <w:tab w:leader="none" w:pos="7340" w:val="left"/>
          <w:tab w:leader="none" w:pos="8840" w:val="left"/>
        </w:tabs>
        <w:rPr>
          <w:sz w:val="20"/>
          <w:szCs w:val="20"/>
          <w:color w:val="auto"/>
        </w:rPr>
      </w:pPr>
      <w:r>
        <w:rPr>
          <w:rFonts w:ascii="Arial" w:cs="Arial" w:eastAsia="Arial" w:hAnsi="Arial"/>
          <w:sz w:val="14"/>
          <w:szCs w:val="14"/>
          <w:b w:val="1"/>
          <w:bCs w:val="1"/>
          <w:u w:val="single" w:color="auto"/>
          <w:color w:val="auto"/>
        </w:rPr>
        <w:t>Invention Description</w:t>
      </w:r>
      <w:r>
        <w:rPr>
          <w:sz w:val="20"/>
          <w:szCs w:val="20"/>
          <w:color w:val="auto"/>
        </w:rPr>
        <w:tab/>
      </w:r>
      <w:r>
        <w:rPr>
          <w:rFonts w:ascii="Arial" w:cs="Arial" w:eastAsia="Arial" w:hAnsi="Arial"/>
          <w:sz w:val="14"/>
          <w:szCs w:val="14"/>
          <w:b w:val="1"/>
          <w:bCs w:val="1"/>
          <w:u w:val="single" w:color="auto"/>
          <w:color w:val="auto"/>
        </w:rPr>
        <w:t>Patent No.</w:t>
      </w:r>
      <w:r>
        <w:rPr>
          <w:sz w:val="20"/>
          <w:szCs w:val="20"/>
          <w:color w:val="auto"/>
        </w:rPr>
        <w:tab/>
      </w:r>
      <w:r>
        <w:rPr>
          <w:rFonts w:ascii="Arial" w:cs="Arial" w:eastAsia="Arial" w:hAnsi="Arial"/>
          <w:sz w:val="12"/>
          <w:szCs w:val="12"/>
          <w:b w:val="1"/>
          <w:bCs w:val="1"/>
          <w:u w:val="single" w:color="auto"/>
          <w:color w:val="auto"/>
        </w:rPr>
        <w:t>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hanging="436"/>
        <w:spacing w:after="0"/>
        <w:tabs>
          <w:tab w:leader="none" w:pos="440" w:val="left"/>
        </w:tabs>
        <w:numPr>
          <w:ilvl w:val="0"/>
          <w:numId w:val="514"/>
        </w:numPr>
        <w:rPr>
          <w:rFonts w:ascii="MS PGothic" w:cs="MS PGothic" w:eastAsia="MS PGothic" w:hAnsi="MS PGothic"/>
          <w:sz w:val="18"/>
          <w:szCs w:val="18"/>
          <w:color w:val="auto"/>
        </w:rPr>
      </w:pPr>
      <w:r>
        <w:rPr>
          <w:rFonts w:ascii="Arial" w:cs="Arial" w:eastAsia="Arial" w:hAnsi="Arial"/>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right="460" w:firstLine="444"/>
        <w:spacing w:after="0" w:line="277" w:lineRule="auto"/>
        <w:tabs>
          <w:tab w:leader="none" w:pos="756" w:val="left"/>
        </w:tabs>
        <w:numPr>
          <w:ilvl w:val="1"/>
          <w:numId w:val="514"/>
        </w:numPr>
        <w:rPr>
          <w:rFonts w:ascii="Arial" w:cs="Arial" w:eastAsia="Arial" w:hAnsi="Arial"/>
          <w:sz w:val="18"/>
          <w:szCs w:val="18"/>
          <w:b w:val="1"/>
          <w:bCs w:val="1"/>
          <w:color w:val="auto"/>
        </w:rPr>
      </w:pPr>
      <w:r>
        <w:rPr>
          <w:rFonts w:ascii="Arial" w:cs="Arial" w:eastAsia="Arial" w:hAnsi="Arial"/>
          <w:sz w:val="18"/>
          <w:szCs w:val="18"/>
          <w:color w:val="auto"/>
        </w:rPr>
        <w:t>I propose to bring to my employment the following materials and documents of a former employer (provide copies of express written authorizations by former employer,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6997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537845</wp:posOffset>
            </wp:positionV>
            <wp:extent cx="6997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734695</wp:posOffset>
            </wp:positionV>
            <wp:extent cx="6997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436"/>
        <w:spacing w:after="0"/>
        <w:tabs>
          <w:tab w:leader="none" w:pos="440" w:val="left"/>
        </w:tabs>
        <w:numPr>
          <w:ilvl w:val="0"/>
          <w:numId w:val="515"/>
        </w:numPr>
        <w:rPr>
          <w:rFonts w:ascii="MS PGothic" w:cs="MS PGothic" w:eastAsia="MS PGothic" w:hAnsi="MS PGothic"/>
          <w:sz w:val="18"/>
          <w:szCs w:val="18"/>
          <w:color w:val="auto"/>
        </w:rPr>
      </w:pPr>
      <w:r>
        <w:rPr>
          <w:rFonts w:ascii="Arial" w:cs="Arial" w:eastAsia="Arial" w:hAnsi="Arial"/>
          <w:sz w:val="18"/>
          <w:szCs w:val="18"/>
          <w:color w:val="auto"/>
        </w:rPr>
        <w:t>No materials or documents.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Dr. Luisa Salter-Cid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Dr. Luisa Salter-Cid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40" w:top="270" w:right="639" w:bottom="1440" w:gutter="0" w:footer="0" w:header="0"/>
        </w:sectPr>
      </w:pPr>
    </w:p>
    <w:bookmarkStart w:id="642" w:name="page643"/>
    <w:bookmarkEnd w:id="642"/>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40" w:type="dxa"/>
            <w:vAlign w:val="bottom"/>
          </w:tcPr>
          <w:p>
            <w:pPr>
              <w:ind w:left="3020"/>
              <w:spacing w:after="0"/>
              <w:rPr>
                <w:sz w:val="20"/>
                <w:szCs w:val="20"/>
                <w:color w:val="auto"/>
              </w:rPr>
            </w:pPr>
            <w:r>
              <w:rPr>
                <w:rFonts w:ascii="Arial" w:cs="Arial" w:eastAsia="Arial" w:hAnsi="Arial"/>
                <w:sz w:val="18"/>
                <w:szCs w:val="18"/>
                <w:b w:val="1"/>
                <w:bCs w:val="1"/>
                <w:color w:val="auto"/>
                <w:w w:val="90"/>
              </w:rPr>
              <w:t>Exhibit 10.14</w:t>
            </w:r>
          </w:p>
        </w:tc>
      </w:tr>
      <w:tr>
        <w:trPr>
          <w:trHeight w:val="392"/>
        </w:trPr>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INDEMNIFICATION AGREEMENT</w:t>
            </w:r>
          </w:p>
        </w:tc>
        <w:tc>
          <w:tcPr>
            <w:tcW w:w="4040" w:type="dxa"/>
            <w:vAlign w:val="bottom"/>
          </w:tcPr>
          <w:p>
            <w:pPr>
              <w:spacing w:after="0"/>
              <w:rPr>
                <w:sz w:val="24"/>
                <w:szCs w:val="24"/>
                <w:color w:val="auto"/>
              </w:rPr>
            </w:pPr>
          </w:p>
        </w:tc>
      </w:tr>
      <w:tr>
        <w:trPr>
          <w:trHeight w:val="438"/>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This Indemnification Agreement (“Agreement”) is made as of</w:t>
            </w: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w w:val="93"/>
              </w:rPr>
              <w:t>, 20   by and between Gossamer Bio, Inc., a Delaware corporation (the</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“Company”), and</w:t>
            </w:r>
          </w:p>
        </w:tc>
        <w:tc>
          <w:tcPr>
            <w:tcW w:w="9280" w:type="dxa"/>
            <w:vAlign w:val="bottom"/>
            <w:gridSpan w:val="4"/>
          </w:tcPr>
          <w:p>
            <w:pPr>
              <w:ind w:left="480"/>
              <w:spacing w:after="0"/>
              <w:rPr>
                <w:sz w:val="20"/>
                <w:szCs w:val="20"/>
                <w:color w:val="auto"/>
              </w:rPr>
            </w:pPr>
            <w:r>
              <w:rPr>
                <w:rFonts w:ascii="Arial" w:cs="Arial" w:eastAsia="Arial" w:hAnsi="Arial"/>
                <w:sz w:val="18"/>
                <w:szCs w:val="18"/>
                <w:color w:val="auto"/>
                <w:w w:val="96"/>
              </w:rPr>
              <w:t>, [a member of the Board of Directors/ an officer] of the Company (“Indemnitee”). This Agreement supersedes and</w:t>
            </w:r>
          </w:p>
        </w:tc>
      </w:tr>
    </w:tbl>
    <w:p>
      <w:pPr>
        <w:spacing w:after="0"/>
        <w:rPr>
          <w:sz w:val="20"/>
          <w:szCs w:val="20"/>
          <w:color w:val="auto"/>
        </w:rPr>
      </w:pPr>
      <w:r>
        <w:rPr>
          <w:rFonts w:ascii="Arial" w:cs="Arial" w:eastAsia="Arial" w:hAnsi="Arial"/>
          <w:sz w:val="18"/>
          <w:szCs w:val="18"/>
          <w:color w:val="auto"/>
        </w:rPr>
        <w:t>replaces any and all previous Agreements between the Company and Indemnitee covering indemnification and advancement.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8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(the “DGCL”). The Bylaws,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and advancement of expenses;</w:t>
      </w:r>
    </w:p>
    <w:p>
      <w:pPr>
        <w:spacing w:after="0" w:line="183"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8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11020"/>
          </w:cols>
          <w:pgMar w:left="440" w:top="122" w:right="439" w:bottom="1440" w:gutter="0" w:footer="0" w:header="0"/>
        </w:sectPr>
      </w:pPr>
    </w:p>
    <w:bookmarkStart w:id="643" w:name="page644"/>
    <w:bookmarkEnd w:id="643"/>
    <w:p>
      <w:pPr>
        <w:ind w:right="64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this Agreement is a supplement to and in furtherance of the Bylaws, Certificate of Incorporation and any resolutions adopted pursuant thereto, and is not a substitute therefor, nor diminishes or abrogates any rights of Indemnitee thereunder; and</w:t>
      </w:r>
    </w:p>
    <w:p>
      <w:pPr>
        <w:spacing w:after="0" w:line="14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WHEREAS, Indemnitee does not regard the protection available under the Bylaws, Certificate of Incorporation, DGCL and insurance as adequate in the present circumstances, and may not be willing to 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xml:space="preserve"> Indemnitee agrees to serve as a [director/officer]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87"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As used in this Agreement:</w:t>
      </w:r>
    </w:p>
    <w:p>
      <w:pPr>
        <w:spacing w:after="0" w:line="225" w:lineRule="exact"/>
        <w:rPr>
          <w:sz w:val="20"/>
          <w:szCs w:val="20"/>
          <w:color w:val="auto"/>
        </w:rPr>
      </w:pPr>
    </w:p>
    <w:p>
      <w:pPr>
        <w:ind w:right="160" w:firstLine="885"/>
        <w:spacing w:after="0" w:line="277" w:lineRule="auto"/>
        <w:tabs>
          <w:tab w:leader="none" w:pos="1261"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“Agent” means any person who is authorized by the Company or an Enterprise to act for or represent the interests of the Company or an Enterprise, respectively.</w:t>
      </w:r>
    </w:p>
    <w:p>
      <w:pPr>
        <w:spacing w:after="0" w:line="170" w:lineRule="exact"/>
        <w:rPr>
          <w:rFonts w:ascii="Arial" w:cs="Arial" w:eastAsia="Arial" w:hAnsi="Arial"/>
          <w:sz w:val="18"/>
          <w:szCs w:val="18"/>
          <w:color w:val="auto"/>
        </w:rPr>
      </w:pPr>
    </w:p>
    <w:p>
      <w:pPr>
        <w:ind w:left="1260" w:hanging="375"/>
        <w:spacing w:after="0"/>
        <w:tabs>
          <w:tab w:leader="none" w:pos="12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 “Change in Control” occurs upon the earliest to occur after the date of this Agreement of any of the following events:</w:t>
      </w:r>
    </w:p>
    <w:p>
      <w:pPr>
        <w:spacing w:after="0" w:line="225" w:lineRule="exact"/>
        <w:rPr>
          <w:rFonts w:ascii="Arial" w:cs="Arial" w:eastAsia="Arial" w:hAnsi="Arial"/>
          <w:sz w:val="18"/>
          <w:szCs w:val="18"/>
          <w:color w:val="auto"/>
        </w:rPr>
      </w:pPr>
    </w:p>
    <w:p>
      <w:pPr>
        <w:jc w:val="both"/>
        <w:ind w:right="20" w:firstLine="1436"/>
        <w:spacing w:after="0" w:line="279" w:lineRule="auto"/>
        <w:tabs>
          <w:tab w:leader="none" w:pos="1698" w:val="left"/>
        </w:tabs>
        <w:numPr>
          <w:ilvl w:val="1"/>
          <w:numId w:val="516"/>
        </w:numPr>
        <w:rPr>
          <w:rFonts w:ascii="Arial" w:cs="Arial" w:eastAsia="Arial" w:hAnsi="Arial"/>
          <w:sz w:val="17"/>
          <w:szCs w:val="17"/>
          <w:color w:val="auto"/>
        </w:rPr>
      </w:pPr>
      <w:r>
        <w:rPr>
          <w:rFonts w:ascii="Arial" w:cs="Arial" w:eastAsia="Arial" w:hAnsi="Arial"/>
          <w:sz w:val="17"/>
          <w:szCs w:val="17"/>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1" w:lineRule="exact"/>
        <w:rPr>
          <w:rFonts w:ascii="Arial" w:cs="Arial" w:eastAsia="Arial" w:hAnsi="Arial"/>
          <w:sz w:val="17"/>
          <w:szCs w:val="17"/>
          <w:color w:val="auto"/>
        </w:rPr>
      </w:pPr>
    </w:p>
    <w:p>
      <w:pPr>
        <w:ind w:right="60" w:firstLine="1436"/>
        <w:spacing w:after="0" w:line="255" w:lineRule="auto"/>
        <w:tabs>
          <w:tab w:leader="none" w:pos="1758" w:val="left"/>
        </w:tabs>
        <w:numPr>
          <w:ilvl w:val="1"/>
          <w:numId w:val="516"/>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44" w:name="page645"/>
    <w:bookmarkEnd w:id="644"/>
    <w:p>
      <w:pPr>
        <w:ind w:left="-20" w:right="20" w:firstLine="1436"/>
        <w:spacing w:after="0" w:line="257" w:lineRule="auto"/>
        <w:tabs>
          <w:tab w:leader="none" w:pos="1788"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8" w:lineRule="exact"/>
        <w:rPr>
          <w:rFonts w:ascii="Arial" w:cs="Arial" w:eastAsia="Arial" w:hAnsi="Arial"/>
          <w:sz w:val="18"/>
          <w:szCs w:val="18"/>
          <w:color w:val="auto"/>
        </w:rPr>
      </w:pPr>
    </w:p>
    <w:p>
      <w:pPr>
        <w:ind w:left="-20" w:right="180" w:firstLine="1436"/>
        <w:spacing w:after="0" w:line="277" w:lineRule="auto"/>
        <w:tabs>
          <w:tab w:leader="none" w:pos="176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ind w:left="-20" w:right="180" w:firstLine="1436"/>
        <w:spacing w:after="0" w:line="264" w:lineRule="auto"/>
        <w:tabs>
          <w:tab w:leader="none" w:pos="1716" w:val="left"/>
        </w:tabs>
        <w:numPr>
          <w:ilvl w:val="0"/>
          <w:numId w:val="517"/>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1" w:lineRule="exact"/>
        <w:rPr>
          <w:rFonts w:ascii="Arial" w:cs="Arial" w:eastAsia="Arial" w:hAnsi="Arial"/>
          <w:sz w:val="18"/>
          <w:szCs w:val="18"/>
          <w:color w:val="auto"/>
        </w:rPr>
      </w:pPr>
    </w:p>
    <w:p>
      <w:pPr>
        <w:ind w:left="1780" w:hanging="364"/>
        <w:spacing w:after="0"/>
        <w:tabs>
          <w:tab w:leader="none" w:pos="17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For purposes of this Section 2(b), the following terms have the following meanings:</w:t>
      </w:r>
    </w:p>
    <w:p>
      <w:pPr>
        <w:spacing w:after="0" w:line="131" w:lineRule="exact"/>
        <w:rPr>
          <w:sz w:val="20"/>
          <w:szCs w:val="20"/>
          <w:color w:val="auto"/>
        </w:rPr>
      </w:pPr>
    </w:p>
    <w:p>
      <w:pPr>
        <w:ind w:left="2280" w:hanging="540"/>
        <w:spacing w:after="0"/>
        <w:tabs>
          <w:tab w:leader="none" w:pos="228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131" w:lineRule="exact"/>
        <w:rPr>
          <w:sz w:val="20"/>
          <w:szCs w:val="20"/>
          <w:color w:val="auto"/>
        </w:rPr>
      </w:pPr>
    </w:p>
    <w:p>
      <w:pPr>
        <w:ind w:left="2280" w:hanging="540"/>
        <w:spacing w:after="0" w:line="259" w:lineRule="auto"/>
        <w:tabs>
          <w:tab w:leader="none" w:pos="22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92" w:lineRule="exact"/>
        <w:rPr>
          <w:sz w:val="20"/>
          <w:szCs w:val="20"/>
          <w:color w:val="auto"/>
        </w:rPr>
      </w:pPr>
    </w:p>
    <w:p>
      <w:pPr>
        <w:ind w:left="2280" w:right="80" w:hanging="540"/>
        <w:spacing w:after="0" w:line="264" w:lineRule="auto"/>
        <w:tabs>
          <w:tab w:leader="none" w:pos="228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81" w:lineRule="exact"/>
        <w:rPr>
          <w:rFonts w:ascii="Arial" w:cs="Arial" w:eastAsia="Arial" w:hAnsi="Arial"/>
          <w:sz w:val="18"/>
          <w:szCs w:val="18"/>
          <w:color w:val="auto"/>
        </w:rPr>
      </w:pPr>
    </w:p>
    <w:p>
      <w:pPr>
        <w:ind w:left="-20" w:right="360" w:firstLine="885"/>
        <w:spacing w:after="0" w:line="277" w:lineRule="auto"/>
        <w:tabs>
          <w:tab w:leader="none" w:pos="128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acting as a director, officer, employee, fiduciary, or Agent of the Company or an Enterprise.</w:t>
      </w:r>
    </w:p>
    <w:p>
      <w:pPr>
        <w:spacing w:after="0" w:line="170" w:lineRule="exact"/>
        <w:rPr>
          <w:rFonts w:ascii="Arial" w:cs="Arial" w:eastAsia="Arial" w:hAnsi="Arial"/>
          <w:sz w:val="18"/>
          <w:szCs w:val="18"/>
          <w:color w:val="auto"/>
        </w:rPr>
      </w:pPr>
    </w:p>
    <w:p>
      <w:pPr>
        <w:ind w:left="-20" w:right="580" w:firstLine="885"/>
        <w:spacing w:after="0" w:line="277" w:lineRule="auto"/>
        <w:tabs>
          <w:tab w:leader="none" w:pos="1251"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645" w:name="page646"/>
    <w:bookmarkEnd w:id="645"/>
    <w:p>
      <w:pPr>
        <w:ind w:left="-4" w:right="220" w:firstLine="885"/>
        <w:spacing w:after="0" w:line="277" w:lineRule="auto"/>
        <w:tabs>
          <w:tab w:leader="none" w:pos="1257" w:val="left"/>
        </w:tabs>
        <w:numPr>
          <w:ilvl w:val="1"/>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70" w:lineRule="exact"/>
        <w:rPr>
          <w:rFonts w:ascii="Arial" w:cs="Arial" w:eastAsia="Arial" w:hAnsi="Arial"/>
          <w:sz w:val="18"/>
          <w:szCs w:val="18"/>
          <w:color w:val="auto"/>
        </w:rPr>
      </w:pPr>
    </w:p>
    <w:p>
      <w:pPr>
        <w:ind w:left="-4" w:firstLine="885"/>
        <w:spacing w:after="0" w:line="269" w:lineRule="auto"/>
        <w:tabs>
          <w:tab w:leader="none" w:pos="1238" w:val="left"/>
        </w:tabs>
        <w:numPr>
          <w:ilvl w:val="1"/>
          <w:numId w:val="521"/>
        </w:numPr>
        <w:rPr>
          <w:rFonts w:ascii="Arial" w:cs="Arial" w:eastAsia="Arial" w:hAnsi="Arial"/>
          <w:sz w:val="17"/>
          <w:szCs w:val="17"/>
          <w:color w:val="auto"/>
        </w:rPr>
      </w:pPr>
      <w:r>
        <w:rPr>
          <w:rFonts w:ascii="Arial" w:cs="Arial" w:eastAsia="Arial" w:hAnsi="Arial"/>
          <w:sz w:val="17"/>
          <w:szCs w:val="17"/>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or the amount of judgments or fines against Indemnitee.</w:t>
      </w:r>
    </w:p>
    <w:p>
      <w:pPr>
        <w:spacing w:after="0" w:line="179" w:lineRule="exact"/>
        <w:rPr>
          <w:rFonts w:ascii="Arial" w:cs="Arial" w:eastAsia="Arial" w:hAnsi="Arial"/>
          <w:sz w:val="17"/>
          <w:szCs w:val="17"/>
          <w:color w:val="auto"/>
        </w:rPr>
      </w:pPr>
    </w:p>
    <w:p>
      <w:pPr>
        <w:ind w:left="-4" w:right="220" w:firstLine="885"/>
        <w:spacing w:after="0" w:line="288" w:lineRule="auto"/>
        <w:tabs>
          <w:tab w:leader="none" w:pos="1268" w:val="left"/>
        </w:tabs>
        <w:numPr>
          <w:ilvl w:val="1"/>
          <w:numId w:val="521"/>
        </w:numPr>
        <w:rPr>
          <w:rFonts w:ascii="Arial" w:cs="Arial" w:eastAsia="Arial" w:hAnsi="Arial"/>
          <w:sz w:val="16"/>
          <w:szCs w:val="16"/>
          <w:color w:val="auto"/>
        </w:rPr>
      </w:pPr>
      <w:r>
        <w:rPr>
          <w:rFonts w:ascii="Arial" w:cs="Arial" w:eastAsia="Arial" w:hAnsi="Arial"/>
          <w:sz w:val="16"/>
          <w:szCs w:val="16"/>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ind w:left="-4" w:right="180" w:firstLine="4"/>
        <w:spacing w:after="0" w:line="277" w:lineRule="auto"/>
        <w:tabs>
          <w:tab w:leader="none" w:pos="261"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3" w:lineRule="exact"/>
        <w:rPr>
          <w:rFonts w:ascii="Arial" w:cs="Arial" w:eastAsia="Arial" w:hAnsi="Arial"/>
          <w:sz w:val="17"/>
          <w:szCs w:val="17"/>
          <w:color w:val="auto"/>
        </w:rPr>
      </w:pPr>
    </w:p>
    <w:p>
      <w:pPr>
        <w:ind w:left="-4" w:right="120" w:firstLine="885"/>
        <w:spacing w:after="0" w:line="272" w:lineRule="auto"/>
        <w:tabs>
          <w:tab w:leader="none" w:pos="1268" w:val="left"/>
        </w:tabs>
        <w:numPr>
          <w:ilvl w:val="1"/>
          <w:numId w:val="522"/>
        </w:numPr>
        <w:rPr>
          <w:rFonts w:ascii="Arial" w:cs="Arial" w:eastAsia="Arial" w:hAnsi="Arial"/>
          <w:sz w:val="17"/>
          <w:szCs w:val="17"/>
          <w:color w:val="auto"/>
        </w:rPr>
      </w:pPr>
      <w:r>
        <w:rPr>
          <w:rFonts w:ascii="Arial" w:cs="Arial" w:eastAsia="Arial" w:hAnsi="Arial"/>
          <w:sz w:val="17"/>
          <w:szCs w:val="17"/>
          <w:color w:val="auto"/>
        </w:rPr>
        <w:t>“Potential Change in Control” means the occurrence of any of the following events: (i) the Company enters into any written or oral agreement, undertaking or arrangement, the consummation of which would result in the occurrence of a Change in Control; (ii) any Person or the Company publicly announces an intention to take or consider taking actions which if consummated would constitute a Change in Control; (iii) any Person who becomes the Beneficial Owner, directly or indirectly, of securities of the Company representing 5% or more of the combined voting power of the Company’s then outstanding securities entitled to vote generally in the election of directors increases his beneficial ownership of such securities by 5% or more over the percentage so owned by such Person on the date hereof; or (iv) the Board adopts a resolution to the effect that, for purposes of this Agreement, a Potential Change in Control has occurred.</w:t>
      </w:r>
    </w:p>
    <w:p>
      <w:pPr>
        <w:spacing w:after="0" w:line="110"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5" w:right="459" w:bottom="1440" w:gutter="0" w:footer="0" w:header="0"/>
        </w:sectPr>
      </w:pPr>
    </w:p>
    <w:bookmarkStart w:id="646" w:name="page647"/>
    <w:bookmarkEnd w:id="646"/>
    <w:p>
      <w:pPr>
        <w:ind w:right="100" w:firstLine="885"/>
        <w:spacing w:after="0" w:line="253" w:lineRule="auto"/>
        <w:tabs>
          <w:tab w:leader="none" w:pos="1228" w:val="left"/>
        </w:tabs>
        <w:numPr>
          <w:ilvl w:val="0"/>
          <w:numId w:val="5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97" w:lineRule="exact"/>
        <w:rPr>
          <w:rFonts w:ascii="Arial" w:cs="Arial" w:eastAsia="Arial" w:hAnsi="Arial"/>
          <w:sz w:val="18"/>
          <w:szCs w:val="18"/>
          <w:color w:val="auto"/>
        </w:rPr>
      </w:pPr>
    </w:p>
    <w:p>
      <w:pPr>
        <w:ind w:left="1240" w:hanging="355"/>
        <w:spacing w:after="0"/>
        <w:tabs>
          <w:tab w:leader="none" w:pos="12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Indemnitor</w:t>
      </w:r>
      <w:r>
        <w:rPr>
          <w:rFonts w:ascii="Arial" w:cs="Arial" w:eastAsia="Arial" w:hAnsi="Arial"/>
          <w:sz w:val="18"/>
          <w:szCs w:val="18"/>
          <w:color w:val="auto"/>
        </w:rPr>
        <w:t>” means [insert names]]</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9"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47" w:name="page648"/>
    <w:bookmarkEnd w:id="647"/>
    <w:p>
      <w:pPr>
        <w:ind w:right="12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xml:space="preserve"> Notwithstanding any other provisions of this Agreement, to the fullest extent permitted by applicable law, the Company will indemnify Indemnitee against all Expenses actually and reasonably incurred by Indemnitee in connection with any Proceeding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7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xml:space="preserve"> Notwithstanding any other provision of this Agreement and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8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Additional Indemnification.</w:t>
      </w:r>
      <w:r>
        <w:rPr>
          <w:rFonts w:ascii="Arial" w:cs="Arial" w:eastAsia="Arial" w:hAnsi="Arial"/>
          <w:sz w:val="17"/>
          <w:szCs w:val="17"/>
          <w:color w:val="auto"/>
        </w:rPr>
        <w:t xml:space="preserve"> Notwithstanding any limitation in Sections 3, 4, or 5, the Company will indemnify Indemnitee to the fullest extent permitted by applicable law (including but not limited to, the DGCL and any amendments to or replacements of the DGCL adopted after the date of this Agreement that expand the Company’s ability to indemnify its officers and directors) if Indemnitee is a party to or threatened to be made a party to any Proceeding (including a Proceeding by or in the right of the Company to procure a judgment in its favor).</w:t>
      </w:r>
    </w:p>
    <w:p>
      <w:pPr>
        <w:spacing w:after="0" w:line="17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 provision in this Agreement, the Company is not obligated under this Agreement to make any indemnification payment to Indemnitee in connection with any Proceeding:</w:t>
      </w:r>
    </w:p>
    <w:p>
      <w:pPr>
        <w:spacing w:after="0" w:line="170" w:lineRule="exact"/>
        <w:rPr>
          <w:sz w:val="20"/>
          <w:szCs w:val="20"/>
          <w:color w:val="auto"/>
        </w:rPr>
      </w:pPr>
    </w:p>
    <w:p>
      <w:pPr>
        <w:ind w:right="360" w:firstLine="885"/>
        <w:spacing w:after="0" w:line="264" w:lineRule="auto"/>
        <w:tabs>
          <w:tab w:leader="none" w:pos="1261" w:val="left"/>
        </w:tabs>
        <w:numPr>
          <w:ilvl w:val="1"/>
          <w:numId w:val="52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to the extent provided in Section 16(b) and except with respect to any excess beyond the amount paid under any insurance policy or other indemnity provision; or</w:t>
      </w:r>
    </w:p>
    <w:p>
      <w:pPr>
        <w:spacing w:after="0" w:line="181" w:lineRule="exact"/>
        <w:rPr>
          <w:rFonts w:ascii="Arial" w:cs="Arial" w:eastAsia="Arial" w:hAnsi="Arial"/>
          <w:sz w:val="18"/>
          <w:szCs w:val="18"/>
          <w:color w:val="auto"/>
        </w:rPr>
      </w:pPr>
    </w:p>
    <w:p>
      <w:pPr>
        <w:ind w:right="60" w:firstLine="885"/>
        <w:spacing w:after="0" w:line="291" w:lineRule="auto"/>
        <w:tabs>
          <w:tab w:leader="none" w:pos="1271" w:val="left"/>
        </w:tabs>
        <w:numPr>
          <w:ilvl w:val="1"/>
          <w:numId w:val="524"/>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w:t>
      </w:r>
    </w:p>
    <w:p>
      <w:pPr>
        <w:jc w:val="both"/>
        <w:ind w:firstLine="4"/>
        <w:spacing w:after="0" w:line="254" w:lineRule="auto"/>
        <w:tabs>
          <w:tab w:leader="none" w:pos="26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48" w:name="page649"/>
    <w:bookmarkEnd w:id="64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87" w:lineRule="exact"/>
        <w:rPr>
          <w:sz w:val="20"/>
          <w:szCs w:val="20"/>
          <w:color w:val="auto"/>
        </w:rPr>
      </w:pPr>
    </w:p>
    <w:p>
      <w:pPr>
        <w:ind w:right="160" w:firstLine="885"/>
        <w:spacing w:after="0" w:line="276" w:lineRule="auto"/>
        <w:tabs>
          <w:tab w:leader="none" w:pos="126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28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u w:val="single" w:color="auto"/>
          <w:color w:val="auto"/>
        </w:rPr>
        <w:t>Advances of Expenses.</w:t>
      </w:r>
    </w:p>
    <w:p>
      <w:pPr>
        <w:spacing w:after="0" w:line="117" w:lineRule="exact"/>
        <w:rPr>
          <w:sz w:val="20"/>
          <w:szCs w:val="20"/>
          <w:color w:val="auto"/>
        </w:rPr>
      </w:pPr>
    </w:p>
    <w:p>
      <w:pPr>
        <w:ind w:right="400" w:firstLine="885"/>
        <w:spacing w:after="0" w:line="291" w:lineRule="auto"/>
        <w:tabs>
          <w:tab w:leader="none" w:pos="1258" w:val="left"/>
        </w:tabs>
        <w:numPr>
          <w:ilvl w:val="1"/>
          <w:numId w:val="527"/>
        </w:numPr>
        <w:rPr>
          <w:rFonts w:ascii="Arial" w:cs="Arial" w:eastAsia="Arial" w:hAnsi="Arial"/>
          <w:sz w:val="16"/>
          <w:szCs w:val="16"/>
          <w:color w:val="auto"/>
        </w:rPr>
      </w:pPr>
      <w:r>
        <w:rPr>
          <w:rFonts w:ascii="Arial" w:cs="Arial" w:eastAsia="Arial" w:hAnsi="Arial"/>
          <w:sz w:val="16"/>
          <w:szCs w:val="16"/>
          <w:color w:val="auto"/>
        </w:rPr>
        <w:t>The Company will advance, to the extent not prohibited by law, the Expenses incurred by Indemnitee in connection with any Proceeding (or any part of any Proceeding) not initiated by Indemnitee or any Proceeding (or any part of any Proceeding) initiated by Indemnitee if</w:t>
      </w:r>
    </w:p>
    <w:p>
      <w:pPr>
        <w:ind w:right="40" w:firstLine="4"/>
        <w:spacing w:after="0" w:line="273" w:lineRule="auto"/>
        <w:tabs>
          <w:tab w:leader="none" w:pos="215" w:val="left"/>
        </w:tabs>
        <w:numPr>
          <w:ilvl w:val="0"/>
          <w:numId w:val="528"/>
        </w:numPr>
        <w:rPr>
          <w:rFonts w:ascii="Arial" w:cs="Arial" w:eastAsia="Arial" w:hAnsi="Arial"/>
          <w:sz w:val="17"/>
          <w:szCs w:val="17"/>
          <w:color w:val="auto"/>
        </w:rPr>
      </w:pPr>
      <w:r>
        <w:rPr>
          <w:rFonts w:ascii="Arial" w:cs="Arial" w:eastAsia="Arial" w:hAnsi="Arial"/>
          <w:sz w:val="17"/>
          <w:szCs w:val="17"/>
          <w:color w:val="auto"/>
        </w:rPr>
        <w:t>the Proceeding or part of any Proceeding is to enforce Indemnitee’s rights to obtain indemnification or advancement of Expenses from the Company or Enterprise, including a proceeding initiated pursuant to Section 14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w:t>
      </w:r>
    </w:p>
    <w:p>
      <w:pPr>
        <w:spacing w:after="0" w:line="176" w:lineRule="exact"/>
        <w:rPr>
          <w:rFonts w:ascii="Arial" w:cs="Arial" w:eastAsia="Arial" w:hAnsi="Arial"/>
          <w:sz w:val="17"/>
          <w:szCs w:val="17"/>
          <w:color w:val="auto"/>
        </w:rPr>
      </w:pPr>
    </w:p>
    <w:p>
      <w:pPr>
        <w:ind w:right="220" w:firstLine="885"/>
        <w:spacing w:after="0" w:line="257" w:lineRule="auto"/>
        <w:tabs>
          <w:tab w:leader="none" w:pos="1261"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29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Procedure for Notification of Claim for Indemnification or Advancement.</w:t>
      </w:r>
    </w:p>
    <w:p>
      <w:pPr>
        <w:spacing w:after="0" w:line="117" w:lineRule="exact"/>
        <w:rPr>
          <w:sz w:val="20"/>
          <w:szCs w:val="20"/>
          <w:color w:val="auto"/>
        </w:rPr>
      </w:pPr>
    </w:p>
    <w:p>
      <w:pPr>
        <w:ind w:firstLine="885"/>
        <w:spacing w:after="0" w:line="255" w:lineRule="auto"/>
        <w:tabs>
          <w:tab w:leader="none" w:pos="1261"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49" w:name="page650"/>
    <w:bookmarkEnd w:id="649"/>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advise the Board in writing that Indemnitee has requested indemnification or advancement.</w:t>
      </w:r>
    </w:p>
    <w:p>
      <w:pPr>
        <w:spacing w:after="0" w:line="18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Company will be entitled to participate in the Proceeding at its own expense.</w:t>
      </w:r>
    </w:p>
    <w:p>
      <w:pPr>
        <w:spacing w:after="0" w:line="33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Procedure Upon Application for Indemnification.</w:t>
      </w:r>
    </w:p>
    <w:p>
      <w:pPr>
        <w:spacing w:after="0" w:line="252" w:lineRule="exact"/>
        <w:rPr>
          <w:sz w:val="20"/>
          <w:szCs w:val="20"/>
          <w:color w:val="auto"/>
        </w:rPr>
      </w:pPr>
    </w:p>
    <w:p>
      <w:pPr>
        <w:ind w:left="1260" w:hanging="375"/>
        <w:spacing w:after="0"/>
        <w:tabs>
          <w:tab w:leader="none" w:pos="12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Unless a Change of Control has occurred, the determination of Indemnitee’s entitlement to indemnification will be made:</w:t>
      </w:r>
    </w:p>
    <w:p>
      <w:pPr>
        <w:spacing w:after="0" w:line="225" w:lineRule="exact"/>
        <w:rPr>
          <w:rFonts w:ascii="Arial" w:cs="Arial" w:eastAsia="Arial" w:hAnsi="Arial"/>
          <w:sz w:val="18"/>
          <w:szCs w:val="18"/>
          <w:color w:val="auto"/>
        </w:rPr>
      </w:pPr>
    </w:p>
    <w:p>
      <w:pPr>
        <w:ind w:left="1720" w:hanging="284"/>
        <w:spacing w:after="0"/>
        <w:tabs>
          <w:tab w:leader="none" w:pos="17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though less than a quorum of the Board;</w:t>
      </w:r>
    </w:p>
    <w:p>
      <w:pPr>
        <w:spacing w:after="0" w:line="225" w:lineRule="exact"/>
        <w:rPr>
          <w:rFonts w:ascii="Arial" w:cs="Arial" w:eastAsia="Arial" w:hAnsi="Arial"/>
          <w:sz w:val="18"/>
          <w:szCs w:val="18"/>
          <w:color w:val="auto"/>
        </w:rPr>
      </w:pPr>
    </w:p>
    <w:p>
      <w:pPr>
        <w:ind w:left="1760" w:hanging="324"/>
        <w:spacing w:after="0"/>
        <w:tabs>
          <w:tab w:leader="none" w:pos="1760" w:val="left"/>
        </w:tabs>
        <w:numPr>
          <w:ilvl w:val="1"/>
          <w:numId w:val="530"/>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a majority vote of the Disinterested Directors, even though less than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quorum of the Board;</w:t>
      </w:r>
    </w:p>
    <w:p>
      <w:pPr>
        <w:spacing w:after="0" w:line="210" w:lineRule="exact"/>
        <w:rPr>
          <w:rFonts w:ascii="Arial" w:cs="Arial" w:eastAsia="Arial" w:hAnsi="Arial"/>
          <w:sz w:val="16"/>
          <w:szCs w:val="16"/>
          <w:color w:val="auto"/>
        </w:rPr>
      </w:pPr>
    </w:p>
    <w:p>
      <w:pPr>
        <w:ind w:right="620" w:firstLine="1436"/>
        <w:spacing w:after="0" w:line="277" w:lineRule="auto"/>
        <w:tabs>
          <w:tab w:leader="none" w:pos="185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such Disinterested Directors so direct, by written opinion provided by Independent Counsel selected by the Board; or</w:t>
      </w:r>
    </w:p>
    <w:p>
      <w:pPr>
        <w:spacing w:after="0" w:line="170" w:lineRule="exact"/>
        <w:rPr>
          <w:rFonts w:ascii="Arial" w:cs="Arial" w:eastAsia="Arial" w:hAnsi="Arial"/>
          <w:sz w:val="18"/>
          <w:szCs w:val="18"/>
          <w:color w:val="auto"/>
        </w:rPr>
      </w:pPr>
    </w:p>
    <w:p>
      <w:pPr>
        <w:ind w:left="1780" w:hanging="344"/>
        <w:spacing w:after="0"/>
        <w:tabs>
          <w:tab w:leader="none" w:pos="178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so directed by the Board, by the stockholders of the Company.</w:t>
      </w:r>
    </w:p>
    <w:p>
      <w:pPr>
        <w:spacing w:after="0" w:line="225" w:lineRule="exact"/>
        <w:rPr>
          <w:rFonts w:ascii="Arial" w:cs="Arial" w:eastAsia="Arial" w:hAnsi="Arial"/>
          <w:sz w:val="18"/>
          <w:szCs w:val="18"/>
          <w:color w:val="auto"/>
        </w:rPr>
      </w:pPr>
    </w:p>
    <w:p>
      <w:pPr>
        <w:ind w:right="60" w:firstLine="885"/>
        <w:spacing w:after="0" w:line="308" w:lineRule="auto"/>
        <w:tabs>
          <w:tab w:leader="none" w:pos="1271" w:val="left"/>
        </w:tabs>
        <w:numPr>
          <w:ilvl w:val="0"/>
          <w:numId w:val="530"/>
        </w:numPr>
        <w:rPr>
          <w:rFonts w:ascii="Arial" w:cs="Arial" w:eastAsia="Arial" w:hAnsi="Arial"/>
          <w:sz w:val="17"/>
          <w:szCs w:val="17"/>
          <w:color w:val="auto"/>
        </w:rPr>
      </w:pPr>
      <w:r>
        <w:rPr>
          <w:rFonts w:ascii="Arial" w:cs="Arial" w:eastAsia="Arial" w:hAnsi="Arial"/>
          <w:sz w:val="17"/>
          <w:szCs w:val="17"/>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46" w:lineRule="exact"/>
        <w:rPr>
          <w:rFonts w:ascii="Arial" w:cs="Arial" w:eastAsia="Arial" w:hAnsi="Arial"/>
          <w:sz w:val="17"/>
          <w:szCs w:val="17"/>
          <w:color w:val="auto"/>
        </w:rPr>
      </w:pPr>
    </w:p>
    <w:p>
      <w:pPr>
        <w:ind w:firstLine="885"/>
        <w:spacing w:after="0" w:line="287" w:lineRule="auto"/>
        <w:tabs>
          <w:tab w:leader="none" w:pos="1306" w:val="left"/>
        </w:tabs>
        <w:numPr>
          <w:ilvl w:val="0"/>
          <w:numId w:val="530"/>
        </w:numPr>
        <w:rPr>
          <w:rFonts w:ascii="Arial" w:cs="Arial" w:eastAsia="Arial" w:hAnsi="Arial"/>
          <w:sz w:val="16"/>
          <w:szCs w:val="16"/>
          <w:color w:val="auto"/>
        </w:rPr>
      </w:pPr>
      <w:r>
        <w:rPr>
          <w:rFonts w:ascii="Arial" w:cs="Arial" w:eastAsia="Arial" w:hAnsi="Arial"/>
          <w:sz w:val="16"/>
          <w:szCs w:val="16"/>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hereof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650" w:name="page651"/>
    <w:bookmarkEnd w:id="650"/>
    <w:p>
      <w:pPr>
        <w:ind w:firstLine="885"/>
        <w:spacing w:after="0" w:line="271" w:lineRule="auto"/>
        <w:tabs>
          <w:tab w:leader="none" w:pos="1271" w:val="left"/>
        </w:tabs>
        <w:numPr>
          <w:ilvl w:val="0"/>
          <w:numId w:val="5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78" w:lineRule="exact"/>
        <w:rPr>
          <w:rFonts w:ascii="Arial" w:cs="Arial" w:eastAsia="Arial" w:hAnsi="Arial"/>
          <w:sz w:val="17"/>
          <w:szCs w:val="17"/>
          <w:color w:val="auto"/>
        </w:rPr>
      </w:pPr>
    </w:p>
    <w:p>
      <w:pPr>
        <w:ind w:right="180" w:firstLine="885"/>
        <w:spacing w:after="0" w:line="277" w:lineRule="auto"/>
        <w:tabs>
          <w:tab w:leader="none" w:pos="1261"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If it is determined that Indemnitee is entitled to indemnification, the Company will make payment to Indemnitee within ten (10) days after such determination.</w:t>
      </w:r>
    </w:p>
    <w:p>
      <w:pPr>
        <w:spacing w:after="0" w:line="27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117" w:lineRule="exact"/>
        <w:rPr>
          <w:sz w:val="20"/>
          <w:szCs w:val="20"/>
          <w:color w:val="auto"/>
        </w:rPr>
      </w:pPr>
    </w:p>
    <w:p>
      <w:pPr>
        <w:ind w:right="60" w:firstLine="885"/>
        <w:spacing w:after="0" w:line="271" w:lineRule="auto"/>
        <w:tabs>
          <w:tab w:leader="none" w:pos="126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firstLine="885"/>
        <w:spacing w:after="0" w:line="270" w:lineRule="auto"/>
        <w:tabs>
          <w:tab w:leader="none" w:pos="127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If the determination of the Indemnitee’s entitlement to indemnification has not made pursuant to Section 12 within sixty (60) days after the latter of (i) receipt by the Company of Indemnitee’s request for indemnification pursuant to Section 11(a)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12(a)(iv)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651" w:name="page652"/>
    <w:bookmarkEnd w:id="651"/>
    <w:p>
      <w:pPr>
        <w:ind w:left="-20" w:firstLine="885"/>
        <w:spacing w:after="0" w:line="257" w:lineRule="auto"/>
        <w:tabs>
          <w:tab w:leader="none" w:pos="1238" w:val="left"/>
        </w:tabs>
        <w:numPr>
          <w:ilvl w:val="0"/>
          <w:numId w:val="5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8" w:lineRule="exact"/>
        <w:rPr>
          <w:rFonts w:ascii="Arial" w:cs="Arial" w:eastAsia="Arial" w:hAnsi="Arial"/>
          <w:sz w:val="18"/>
          <w:szCs w:val="18"/>
          <w:color w:val="auto"/>
        </w:rPr>
      </w:pPr>
    </w:p>
    <w:p>
      <w:pPr>
        <w:ind w:left="-20" w:right="80" w:firstLine="885"/>
        <w:spacing w:after="0" w:line="289" w:lineRule="auto"/>
        <w:tabs>
          <w:tab w:leader="none" w:pos="1251" w:val="left"/>
        </w:tabs>
        <w:numPr>
          <w:ilvl w:val="0"/>
          <w:numId w:val="533"/>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66" w:lineRule="exact"/>
        <w:rPr>
          <w:rFonts w:ascii="Arial" w:cs="Arial" w:eastAsia="Arial" w:hAnsi="Arial"/>
          <w:sz w:val="16"/>
          <w:szCs w:val="16"/>
          <w:color w:val="auto"/>
        </w:rPr>
      </w:pPr>
    </w:p>
    <w:p>
      <w:pPr>
        <w:ind w:left="-20" w:right="100" w:firstLine="885"/>
        <w:spacing w:after="0" w:line="342" w:lineRule="auto"/>
        <w:tabs>
          <w:tab w:leader="none" w:pos="1238"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232"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Remedies of Indemnitee.</w:t>
      </w:r>
    </w:p>
    <w:p>
      <w:pPr>
        <w:spacing w:after="0" w:line="117" w:lineRule="exact"/>
        <w:rPr>
          <w:sz w:val="20"/>
          <w:szCs w:val="20"/>
          <w:color w:val="auto"/>
        </w:rPr>
      </w:pPr>
    </w:p>
    <w:p>
      <w:pPr>
        <w:ind w:left="-20" w:firstLine="885"/>
        <w:spacing w:after="0" w:line="270" w:lineRule="auto"/>
        <w:tabs>
          <w:tab w:leader="none" w:pos="1241" w:val="left"/>
        </w:tabs>
        <w:numPr>
          <w:ilvl w:val="0"/>
          <w:numId w:val="534"/>
        </w:numPr>
        <w:rPr>
          <w:rFonts w:ascii="Arial" w:cs="Arial" w:eastAsia="Arial" w:hAnsi="Arial"/>
          <w:sz w:val="17"/>
          <w:szCs w:val="17"/>
          <w:color w:val="auto"/>
        </w:rPr>
      </w:pPr>
      <w:r>
        <w:rPr>
          <w:rFonts w:ascii="Arial" w:cs="Arial" w:eastAsia="Arial" w:hAnsi="Arial"/>
          <w:sz w:val="17"/>
          <w:szCs w:val="17"/>
          <w:color w:val="auto"/>
        </w:rPr>
        <w:t>Indemnitee may commence litigation against the Company in the Delaware Court of Chancery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ten (10) days after receipt by the Company of a written request therefor, (v) the Company does not indemnify Indemnitee pursuant to Section 3, 4, 7, or 8 of this Agreement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3" w:right="459" w:bottom="1440" w:gutter="0" w:footer="0" w:header="0"/>
        </w:sectPr>
      </w:pPr>
    </w:p>
    <w:bookmarkStart w:id="652" w:name="page653"/>
    <w:bookmarkEnd w:id="65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180 days following the date on which Indemnitee first has the right to commence such Proceeding pursuant to this Section 14(a);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78" w:lineRule="exact"/>
        <w:rPr>
          <w:sz w:val="20"/>
          <w:szCs w:val="20"/>
          <w:color w:val="auto"/>
        </w:rPr>
      </w:pPr>
    </w:p>
    <w:p>
      <w:pPr>
        <w:ind w:right="120" w:firstLine="885"/>
        <w:spacing w:after="0" w:line="276" w:lineRule="auto"/>
        <w:tabs>
          <w:tab w:leader="none" w:pos="1271" w:val="left"/>
        </w:tabs>
        <w:numPr>
          <w:ilvl w:val="0"/>
          <w:numId w:val="535"/>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2" w:lineRule="exact"/>
        <w:rPr>
          <w:rFonts w:ascii="Arial" w:cs="Arial" w:eastAsia="Arial" w:hAnsi="Arial"/>
          <w:sz w:val="17"/>
          <w:szCs w:val="17"/>
          <w:color w:val="auto"/>
        </w:rPr>
      </w:pPr>
    </w:p>
    <w:p>
      <w:pPr>
        <w:ind w:right="100" w:firstLine="885"/>
        <w:spacing w:after="0" w:line="259" w:lineRule="auto"/>
        <w:tabs>
          <w:tab w:leader="none" w:pos="126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ind w:right="20" w:firstLine="885"/>
        <w:spacing w:after="0" w:line="286" w:lineRule="auto"/>
        <w:tabs>
          <w:tab w:leader="none" w:pos="1268" w:val="left"/>
        </w:tabs>
        <w:numPr>
          <w:ilvl w:val="0"/>
          <w:numId w:val="535"/>
        </w:numPr>
        <w:rPr>
          <w:rFonts w:ascii="Arial" w:cs="Arial" w:eastAsia="Arial" w:hAnsi="Arial"/>
          <w:sz w:val="17"/>
          <w:szCs w:val="17"/>
          <w:color w:val="auto"/>
        </w:rPr>
      </w:pPr>
      <w:r>
        <w:rPr>
          <w:rFonts w:ascii="Arial" w:cs="Arial" w:eastAsia="Arial" w:hAnsi="Arial"/>
          <w:sz w:val="17"/>
          <w:szCs w:val="17"/>
          <w:color w:val="auto"/>
        </w:rPr>
        <w:t>The Company is, to the fullest extent not prohibited by law, precluded from asserting in any judicial proceeding or arbitration commenced pursuant to this Section 14 that the procedures and presumptions of this Agreement are not valid, binding and enforceable and will stipulate in any such court or before any such arbitrator that the Company is bound by all the provisions of this Agreement.</w:t>
      </w:r>
    </w:p>
    <w:p>
      <w:pPr>
        <w:spacing w:after="0" w:line="165" w:lineRule="exact"/>
        <w:rPr>
          <w:rFonts w:ascii="Arial" w:cs="Arial" w:eastAsia="Arial" w:hAnsi="Arial"/>
          <w:sz w:val="17"/>
          <w:szCs w:val="17"/>
          <w:color w:val="auto"/>
        </w:rPr>
      </w:pPr>
    </w:p>
    <w:p>
      <w:pPr>
        <w:ind w:right="60" w:firstLine="885"/>
        <w:spacing w:after="0" w:line="271" w:lineRule="auto"/>
        <w:tabs>
          <w:tab w:leader="none" w:pos="1261" w:val="left"/>
        </w:tabs>
        <w:numPr>
          <w:ilvl w:val="0"/>
          <w:numId w:val="535"/>
        </w:numPr>
        <w:rPr>
          <w:rFonts w:ascii="Arial" w:cs="Arial" w:eastAsia="Arial" w:hAnsi="Arial"/>
          <w:sz w:val="17"/>
          <w:szCs w:val="17"/>
          <w:color w:val="auto"/>
        </w:rPr>
      </w:pPr>
      <w:r>
        <w:rPr>
          <w:rFonts w:ascii="Arial" w:cs="Arial" w:eastAsia="Arial" w:hAnsi="Arial"/>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ten (10)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Proceeding were made in bad faith or were frivolous or are prohibited by law.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5" w:right="459" w:bottom="1440" w:gutter="0" w:footer="0" w:header="0"/>
        </w:sectPr>
      </w:pPr>
    </w:p>
    <w:bookmarkStart w:id="653" w:name="page654"/>
    <w:bookmarkEnd w:id="653"/>
    <w:p>
      <w:pPr>
        <w:ind w:left="436"/>
        <w:spacing w:after="0"/>
        <w:tabs>
          <w:tab w:leader="none" w:pos="141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w:t>
      </w:r>
      <w:r>
        <w:rPr>
          <w:sz w:val="20"/>
          <w:szCs w:val="20"/>
          <w:color w:val="auto"/>
        </w:rPr>
        <w:tab/>
      </w:r>
      <w:r>
        <w:rPr>
          <w:rFonts w:ascii="Arial" w:cs="Arial" w:eastAsia="Arial" w:hAnsi="Arial"/>
          <w:sz w:val="16"/>
          <w:szCs w:val="16"/>
          <w:u w:val="single" w:color="auto"/>
          <w:color w:val="auto"/>
        </w:rPr>
        <w:t>Establishment of Trust</w:t>
      </w:r>
      <w:r>
        <w:rPr>
          <w:rFonts w:ascii="Arial" w:cs="Arial" w:eastAsia="Arial" w:hAnsi="Arial"/>
          <w:sz w:val="16"/>
          <w:szCs w:val="16"/>
          <w:color w:val="auto"/>
        </w:rPr>
        <w:t>.</w:t>
      </w:r>
    </w:p>
    <w:p>
      <w:pPr>
        <w:spacing w:after="0" w:line="117" w:lineRule="exact"/>
        <w:rPr>
          <w:sz w:val="20"/>
          <w:szCs w:val="20"/>
          <w:color w:val="auto"/>
        </w:rPr>
      </w:pPr>
    </w:p>
    <w:p>
      <w:pPr>
        <w:ind w:left="-4" w:right="20" w:firstLine="885"/>
        <w:spacing w:after="0" w:line="293" w:lineRule="auto"/>
        <w:tabs>
          <w:tab w:leader="none" w:pos="1257" w:val="left"/>
        </w:tabs>
        <w:numPr>
          <w:ilvl w:val="1"/>
          <w:numId w:val="536"/>
        </w:numPr>
        <w:rPr>
          <w:rFonts w:ascii="Arial" w:cs="Arial" w:eastAsia="Arial" w:hAnsi="Arial"/>
          <w:sz w:val="16"/>
          <w:szCs w:val="16"/>
          <w:color w:val="auto"/>
        </w:rPr>
      </w:pPr>
      <w:r>
        <w:rPr>
          <w:rFonts w:ascii="Arial" w:cs="Arial" w:eastAsia="Arial" w:hAnsi="Arial"/>
          <w:sz w:val="16"/>
          <w:szCs w:val="16"/>
          <w:color w:val="auto"/>
        </w:rPr>
        <w:t>In the event of a Potential Change in Control or a Change in Control, the Company will, upon written request by Indemnitee, create a trust for the benefit of Indemnitee (the “Trust”) and from time to time upon written request of Indemnitee will fund such Trust in an amount sufficient to satisfy the reasonably anticipated indemnification and advancement obligations of the Company to the Indemnitee in connection with any Proceeding for which Indemnitee has demanded indemnification and/or advancement prior to the Potential Change in Control or Change in Control (the “Funding Obligation”). The trustee of the Trust (the “Trustee”) will be a bank or trust company or other individual or entity chosen by the Indemnitee and reasonably acceptable to the Company. Nothing in this Section 15 relieves the Company of any of its obligations under this Agreement.</w:t>
      </w:r>
    </w:p>
    <w:p>
      <w:pPr>
        <w:spacing w:after="0" w:line="164" w:lineRule="exact"/>
        <w:rPr>
          <w:rFonts w:ascii="Arial" w:cs="Arial" w:eastAsia="Arial" w:hAnsi="Arial"/>
          <w:sz w:val="16"/>
          <w:szCs w:val="16"/>
          <w:color w:val="auto"/>
        </w:rPr>
      </w:pPr>
    </w:p>
    <w:p>
      <w:pPr>
        <w:ind w:left="-4" w:right="20" w:firstLine="885"/>
        <w:spacing w:after="0" w:line="286" w:lineRule="auto"/>
        <w:tabs>
          <w:tab w:leader="none" w:pos="1264" w:val="left"/>
        </w:tabs>
        <w:numPr>
          <w:ilvl w:val="1"/>
          <w:numId w:val="536"/>
        </w:numPr>
        <w:rPr>
          <w:rFonts w:ascii="Arial" w:cs="Arial" w:eastAsia="Arial" w:hAnsi="Arial"/>
          <w:sz w:val="16"/>
          <w:szCs w:val="16"/>
          <w:color w:val="auto"/>
        </w:rPr>
      </w:pPr>
      <w:r>
        <w:rPr>
          <w:rFonts w:ascii="Arial" w:cs="Arial" w:eastAsia="Arial" w:hAnsi="Arial"/>
          <w:sz w:val="16"/>
          <w:szCs w:val="16"/>
          <w:color w:val="auto"/>
        </w:rPr>
        <w:t>The amount or amounts to be deposited in the Trust pursuant to the Funding Obligation will be determined by mutual agreement of the Indemnitee and the Company or, if the Company and the Indemnitee are unable to reach such an agreement, by Independent Counsel selected in accordance with Section 12(b) of this Agreement. The terms of the Trust will provide that, except upon the consent of both the Indemnitee and the Company, upon a Change in Control: (i) the Trust may not be revoked, or the principal thereof invaded, without the written consent of the Indemnitee;</w:t>
      </w:r>
    </w:p>
    <w:p>
      <w:pPr>
        <w:spacing w:after="0" w:line="1" w:lineRule="exact"/>
        <w:rPr>
          <w:rFonts w:ascii="Arial" w:cs="Arial" w:eastAsia="Arial" w:hAnsi="Arial"/>
          <w:sz w:val="16"/>
          <w:szCs w:val="16"/>
          <w:color w:val="auto"/>
        </w:rPr>
      </w:pPr>
    </w:p>
    <w:p>
      <w:pPr>
        <w:ind w:left="-4" w:firstLine="4"/>
        <w:spacing w:after="0" w:line="269" w:lineRule="auto"/>
        <w:tabs>
          <w:tab w:leader="none" w:pos="261"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the Trustee will advance, to the fullest extent permitted by applicable law, within two (2) business days of a request by the Indemnitee; (iii) the Company will continue to fund the Trust in accordance with the Funding Obligation; (iv) the Trustee will promptly pay to the Indemnitee all amounts for which the Indemnitee is entitled to indemnification pursuant to this Agreement or otherwise; and (v) all unexpended funds in such Trust revert to the Company upon mutual agreement by the Indemnitee and the Company or, if the Indemnitee and the Company are unable to reach such an agreement, by Independent Counsel selected in accordance with Section 12(b) of this Agreement, that the Indemnitee has been fully indemnified under the terms of this Agreement. New York law (without regard to its conflicts of laws rules) governs the Trust and the Trustee will consent to the exclusive jurisdiction of Delaware Court of Chancery, in accordance with Section 25 of this Agreement.</w:t>
      </w:r>
    </w:p>
    <w:p>
      <w:pPr>
        <w:spacing w:after="0" w:line="289" w:lineRule="exact"/>
        <w:rPr>
          <w:sz w:val="20"/>
          <w:szCs w:val="20"/>
          <w:color w:val="auto"/>
        </w:rPr>
      </w:pPr>
    </w:p>
    <w:p>
      <w:pPr>
        <w:ind w:left="436"/>
        <w:spacing w:after="0"/>
        <w:tabs>
          <w:tab w:leader="none" w:pos="1416"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Non-exclusivity; Survival of Rights; Insurance; Subrogation.</w:t>
      </w:r>
    </w:p>
    <w:p>
      <w:pPr>
        <w:spacing w:after="0" w:line="117" w:lineRule="exact"/>
        <w:rPr>
          <w:sz w:val="20"/>
          <w:szCs w:val="20"/>
          <w:color w:val="auto"/>
        </w:rPr>
      </w:pPr>
    </w:p>
    <w:p>
      <w:pPr>
        <w:ind w:left="-4" w:right="60" w:firstLine="885"/>
        <w:spacing w:after="0" w:line="288" w:lineRule="auto"/>
        <w:tabs>
          <w:tab w:leader="none" w:pos="1254"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0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6"/>
          </w:cols>
          <w:pgMar w:left="444" w:top="273" w:right="459" w:bottom="1440" w:gutter="0" w:footer="0" w:header="0"/>
        </w:sectPr>
      </w:pPr>
    </w:p>
    <w:bookmarkStart w:id="654" w:name="page655"/>
    <w:bookmarkEnd w:id="654"/>
    <w:p>
      <w:pPr>
        <w:ind w:right="140" w:firstLine="885"/>
        <w:spacing w:after="0" w:line="342" w:lineRule="auto"/>
        <w:tabs>
          <w:tab w:leader="none" w:pos="1268" w:val="left"/>
        </w:tabs>
        <w:numPr>
          <w:ilvl w:val="0"/>
          <w:numId w:val="5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acknowledges that Indemnitee may have certain rights to indemnification, advancement of Expenses and/or insurance provided by one or more Persons with whom or which Indemnitee may be associated [(including, without limitation, any Fund Indemnitor)].</w:t>
      </w:r>
    </w:p>
    <w:p>
      <w:pPr>
        <w:spacing w:after="0" w:line="123" w:lineRule="exact"/>
        <w:rPr>
          <w:rFonts w:ascii="Arial" w:cs="Arial" w:eastAsia="Arial" w:hAnsi="Arial"/>
          <w:sz w:val="16"/>
          <w:szCs w:val="16"/>
          <w:color w:val="auto"/>
        </w:rPr>
      </w:pPr>
    </w:p>
    <w:p>
      <w:pPr>
        <w:ind w:left="1700" w:hanging="264"/>
        <w:spacing w:after="0"/>
        <w:tabs>
          <w:tab w:leader="none" w:pos="17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Company hereby acknowledges and agrees:</w:t>
      </w:r>
    </w:p>
    <w:p>
      <w:pPr>
        <w:spacing w:after="0" w:line="225" w:lineRule="exact"/>
        <w:rPr>
          <w:rFonts w:ascii="Arial" w:cs="Arial" w:eastAsia="Arial" w:hAnsi="Arial"/>
          <w:sz w:val="18"/>
          <w:szCs w:val="18"/>
          <w:color w:val="auto"/>
        </w:rPr>
      </w:pPr>
    </w:p>
    <w:p>
      <w:pPr>
        <w:ind w:right="80" w:firstLine="1877"/>
        <w:spacing w:after="0" w:line="342" w:lineRule="auto"/>
        <w:tabs>
          <w:tab w:leader="none" w:pos="2203" w:val="left"/>
        </w:tabs>
        <w:numPr>
          <w:ilvl w:val="2"/>
          <w:numId w:val="539"/>
        </w:numPr>
        <w:rPr>
          <w:rFonts w:ascii="Arial" w:cs="Arial" w:eastAsia="Arial" w:hAnsi="Arial"/>
          <w:sz w:val="16"/>
          <w:szCs w:val="16"/>
          <w:color w:val="auto"/>
        </w:rPr>
      </w:pPr>
      <w:r>
        <w:rPr>
          <w:rFonts w:ascii="Arial" w:cs="Arial" w:eastAsia="Arial" w:hAnsi="Arial"/>
          <w:sz w:val="16"/>
          <w:szCs w:val="16"/>
          <w:color w:val="auto"/>
        </w:rPr>
        <w:t>the Company is the indemnitor of first resort with respect to any request for indemnification or advancement of Expenses made pursuant to this Agreement concerning any Proceeding arising from or related to Indemnitee’s Corporate Status with the Company;</w:t>
      </w:r>
    </w:p>
    <w:p>
      <w:pPr>
        <w:spacing w:after="0" w:line="123" w:lineRule="exact"/>
        <w:rPr>
          <w:rFonts w:ascii="Arial" w:cs="Arial" w:eastAsia="Arial" w:hAnsi="Arial"/>
          <w:sz w:val="16"/>
          <w:szCs w:val="16"/>
          <w:color w:val="auto"/>
        </w:rPr>
      </w:pPr>
    </w:p>
    <w:p>
      <w:pPr>
        <w:ind w:right="120" w:firstLine="1877"/>
        <w:spacing w:after="0" w:line="264" w:lineRule="auto"/>
        <w:tabs>
          <w:tab w:leader="none" w:pos="2248"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Company is primarily liable for all indemnification and indemnification or advancement of Expenses obligations for any Proceeding arising from or related to Indemnitee’s Corporate Status, whether created by law, organizational or constituent documents, contract (including this Agreement) or otherwise;</w:t>
      </w:r>
    </w:p>
    <w:p>
      <w:pPr>
        <w:spacing w:after="0" w:line="181" w:lineRule="exact"/>
        <w:rPr>
          <w:rFonts w:ascii="Arial" w:cs="Arial" w:eastAsia="Arial" w:hAnsi="Arial"/>
          <w:sz w:val="18"/>
          <w:szCs w:val="18"/>
          <w:color w:val="auto"/>
        </w:rPr>
      </w:pPr>
    </w:p>
    <w:p>
      <w:pPr>
        <w:ind w:right="40" w:firstLine="1877"/>
        <w:spacing w:after="0" w:line="264" w:lineRule="auto"/>
        <w:tabs>
          <w:tab w:leader="none" w:pos="2203" w:val="left"/>
        </w:tabs>
        <w:numPr>
          <w:ilvl w:val="2"/>
          <w:numId w:val="539"/>
        </w:numPr>
        <w:rPr>
          <w:rFonts w:ascii="Arial" w:cs="Arial" w:eastAsia="Arial" w:hAnsi="Arial"/>
          <w:sz w:val="18"/>
          <w:szCs w:val="18"/>
          <w:color w:val="auto"/>
        </w:rPr>
      </w:pPr>
      <w:r>
        <w:rPr>
          <w:rFonts w:ascii="Arial" w:cs="Arial" w:eastAsia="Arial" w:hAnsi="Arial"/>
          <w:sz w:val="18"/>
          <w:szCs w:val="18"/>
          <w:color w:val="auto"/>
        </w:rPr>
        <w:t>any obligation of any other Persons with whom or which Indemnitee may be associated [(including, without limitation, any Fund Indemnitor)] to indemnify Indemnitee and/or advance Expenses to Indemnitee in respect of any proceeding are secondary to the obligations of the Company’s obligations;</w:t>
      </w:r>
    </w:p>
    <w:p>
      <w:pPr>
        <w:spacing w:after="0" w:line="181" w:lineRule="exact"/>
        <w:rPr>
          <w:rFonts w:ascii="Arial" w:cs="Arial" w:eastAsia="Arial" w:hAnsi="Arial"/>
          <w:sz w:val="18"/>
          <w:szCs w:val="18"/>
          <w:color w:val="auto"/>
        </w:rPr>
      </w:pPr>
    </w:p>
    <w:p>
      <w:pPr>
        <w:ind w:right="180" w:firstLine="1877"/>
        <w:spacing w:after="0" w:line="264" w:lineRule="auto"/>
        <w:tabs>
          <w:tab w:leader="none" w:pos="2203"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[(including, any Fund Indemnitor)] or insurer of any such Person; and</w:t>
      </w:r>
    </w:p>
    <w:p>
      <w:pPr>
        <w:spacing w:after="0" w:line="181" w:lineRule="exact"/>
        <w:rPr>
          <w:rFonts w:ascii="Arial" w:cs="Arial" w:eastAsia="Arial" w:hAnsi="Arial"/>
          <w:sz w:val="18"/>
          <w:szCs w:val="18"/>
          <w:color w:val="auto"/>
        </w:rPr>
      </w:pPr>
    </w:p>
    <w:p>
      <w:pPr>
        <w:ind w:firstLine="1436"/>
        <w:spacing w:after="0" w:line="255" w:lineRule="auto"/>
        <w:tabs>
          <w:tab w:leader="none" w:pos="1758"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Company irrevocably waives, relinquishes and releases (A) any other Person with whom or which Indemnitee may be associated [(including, without limitation, any Fund Indemnitor)]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Fund Indemnitor (or former Fund Indemnitor), whether or not such claim, remedy or right arises in equity or under contract, statute or common law, including, without limitation, the right to take or receive from any Fund Indemnitor (or former Fund Indemnitor), directly or indirectly, in cash or other property or by set-off or in any other manner, payment or security on account of such claim, remedy or right].</w:t>
      </w:r>
    </w:p>
    <w:p>
      <w:pPr>
        <w:spacing w:after="0" w:line="189" w:lineRule="exact"/>
        <w:rPr>
          <w:rFonts w:ascii="Arial" w:cs="Arial" w:eastAsia="Arial" w:hAnsi="Arial"/>
          <w:sz w:val="18"/>
          <w:szCs w:val="18"/>
          <w:color w:val="auto"/>
        </w:rPr>
      </w:pPr>
    </w:p>
    <w:p>
      <w:pPr>
        <w:ind w:right="20" w:firstLine="1436"/>
        <w:spacing w:after="0" w:line="279" w:lineRule="auto"/>
        <w:tabs>
          <w:tab w:leader="none" w:pos="1808" w:val="left"/>
        </w:tabs>
        <w:numPr>
          <w:ilvl w:val="1"/>
          <w:numId w:val="539"/>
        </w:numPr>
        <w:rPr>
          <w:rFonts w:ascii="Arial" w:cs="Arial" w:eastAsia="Arial" w:hAnsi="Arial"/>
          <w:sz w:val="17"/>
          <w:szCs w:val="17"/>
          <w:color w:val="auto"/>
        </w:rPr>
      </w:pPr>
      <w:r>
        <w:rPr>
          <w:rFonts w:ascii="Arial" w:cs="Arial" w:eastAsia="Arial" w:hAnsi="Arial"/>
          <w:sz w:val="17"/>
          <w:szCs w:val="17"/>
          <w:color w:val="auto"/>
        </w:rPr>
        <w:t>In the event any other Person with whom or which Indemnitee may be associated [(including, without limitation, any Fund Indemnitor)]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Fund Indemnitor)]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655" w:name="page656"/>
    <w:bookmarkEnd w:id="655"/>
    <w:p>
      <w:pPr>
        <w:ind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insurers affect the obligations of the Company hereunder or shift primary liability for the Company’s obligation to indemnify or advance of Expenses to any other Person with whom or which Indemnitee may be associated [(including, without limitation, any Fund Indemnitor)].</w:t>
      </w:r>
    </w:p>
    <w:p>
      <w:pPr>
        <w:spacing w:after="0" w:line="124" w:lineRule="exact"/>
        <w:rPr>
          <w:sz w:val="20"/>
          <w:szCs w:val="20"/>
          <w:color w:val="auto"/>
        </w:rPr>
      </w:pPr>
    </w:p>
    <w:p>
      <w:pPr>
        <w:ind w:right="140" w:firstLine="1436"/>
        <w:spacing w:after="0" w:line="259" w:lineRule="auto"/>
        <w:tabs>
          <w:tab w:leader="none" w:pos="1776"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indemnification or advancement of Expenses provided by any other Person with whom or which Indemnitee may be associated [(including, without limitation, any Fund Indemnitor)]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86" w:lineRule="exact"/>
        <w:rPr>
          <w:rFonts w:ascii="Arial" w:cs="Arial" w:eastAsia="Arial" w:hAnsi="Arial"/>
          <w:sz w:val="18"/>
          <w:szCs w:val="18"/>
          <w:color w:val="auto"/>
        </w:rPr>
      </w:pPr>
    </w:p>
    <w:p>
      <w:pPr>
        <w:ind w:right="100" w:firstLine="885"/>
        <w:spacing w:after="0" w:line="289" w:lineRule="auto"/>
        <w:tabs>
          <w:tab w:leader="none" w:pos="1258"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of the Enterprise,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166" w:lineRule="exact"/>
        <w:rPr>
          <w:rFonts w:ascii="Arial" w:cs="Arial" w:eastAsia="Arial" w:hAnsi="Arial"/>
          <w:sz w:val="16"/>
          <w:szCs w:val="16"/>
          <w:color w:val="auto"/>
        </w:rPr>
      </w:pPr>
    </w:p>
    <w:p>
      <w:pPr>
        <w:ind w:firstLine="885"/>
        <w:spacing w:after="0" w:line="291" w:lineRule="auto"/>
        <w:tabs>
          <w:tab w:leader="none" w:pos="1268"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67" w:lineRule="exact"/>
        <w:rPr>
          <w:rFonts w:ascii="Arial" w:cs="Arial" w:eastAsia="Arial" w:hAnsi="Arial"/>
          <w:sz w:val="16"/>
          <w:szCs w:val="16"/>
          <w:color w:val="auto"/>
        </w:rPr>
      </w:pPr>
    </w:p>
    <w:p>
      <w:pPr>
        <w:ind w:right="160" w:firstLine="885"/>
        <w:spacing w:after="0" w:line="259" w:lineRule="auto"/>
        <w:tabs>
          <w:tab w:leader="none" w:pos="1261"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87"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This Agreement continues until and terminates upon the later of: (a) ten (10) years after the date that Indemnitee ceases to serve as a [director/officer] of the Company or (b) one (1) year after the final termination of any Proceeding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5" w:right="439" w:bottom="1440" w:gutter="0" w:footer="0" w:header="0"/>
        </w:sectPr>
      </w:pPr>
    </w:p>
    <w:bookmarkStart w:id="656" w:name="page657"/>
    <w:bookmarkEnd w:id="65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65"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9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Section 19. Interpretation.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in excess of that expressly provided, without limitation, by the Certificate of Incorporation, the Bylaws, vote of the Company stockholders or disinterested directors, or applicable law.</w:t>
      </w:r>
    </w:p>
    <w:p>
      <w:pPr>
        <w:spacing w:after="0" w:line="29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Enforcement.</w:t>
      </w:r>
    </w:p>
    <w:p>
      <w:pPr>
        <w:spacing w:after="0" w:line="117" w:lineRule="exact"/>
        <w:rPr>
          <w:sz w:val="20"/>
          <w:szCs w:val="20"/>
          <w:color w:val="auto"/>
        </w:rPr>
      </w:pPr>
    </w:p>
    <w:p>
      <w:pPr>
        <w:ind w:right="80" w:firstLine="885"/>
        <w:spacing w:after="0" w:line="264" w:lineRule="auto"/>
        <w:tabs>
          <w:tab w:leader="none" w:pos="1258"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81" w:lineRule="exact"/>
        <w:rPr>
          <w:rFonts w:ascii="Arial" w:cs="Arial" w:eastAsia="Arial" w:hAnsi="Arial"/>
          <w:sz w:val="18"/>
          <w:szCs w:val="18"/>
          <w:color w:val="auto"/>
        </w:rPr>
      </w:pPr>
    </w:p>
    <w:p>
      <w:pPr>
        <w:ind w:right="40" w:firstLine="885"/>
        <w:spacing w:after="0" w:line="259" w:lineRule="auto"/>
        <w:tabs>
          <w:tab w:leader="none" w:pos="1268"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is not a substitute therefor, nor to diminish or abrogate any rights of Indemnitee thereunder.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657" w:name="page658"/>
    <w:bookmarkEnd w:id="657"/>
    <w:p>
      <w:pPr>
        <w:ind w:right="2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8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81"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Indemnitee, at the address indicated on the signature page of this Agreement, or such other address as Indemnitee provides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the Company to:</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3013 Science Park Road,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cwaage@gossamerbio.com</w:t>
      </w:r>
    </w:p>
    <w:p>
      <w:pPr>
        <w:spacing w:after="0" w:line="200" w:lineRule="exact"/>
        <w:rPr>
          <w:sz w:val="20"/>
          <w:szCs w:val="20"/>
          <w:color w:val="auto"/>
        </w:rPr>
      </w:pPr>
    </w:p>
    <w:p>
      <w:pPr>
        <w:sectPr>
          <w:pgSz w:w="11900" w:h="16838" w:orient="portrait"/>
          <w:cols w:equalWidth="0" w:num="2">
            <w:col w:w="2000" w:space="340"/>
            <w:col w:w="8660"/>
          </w:cols>
          <w:pgMar w:left="440" w:top="274"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Applicable Law and Consent to Jurisdiction.</w:t>
      </w:r>
      <w:r>
        <w:rPr>
          <w:rFonts w:ascii="Arial" w:cs="Arial" w:eastAsia="Arial" w:hAnsi="Arial"/>
          <w:sz w:val="18"/>
          <w:szCs w:val="18"/>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type w:val="continuous"/>
        </w:sectPr>
      </w:pPr>
    </w:p>
    <w:bookmarkStart w:id="658" w:name="page659"/>
    <w:bookmarkEnd w:id="65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Indemnitee hereby irrevocably and unconditionally (i) agree that any action or Proceeding arising out of or in connection with this Agreement may be brought only in the Delaware Court of Chancery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w:t>
      </w:r>
    </w:p>
    <w:p>
      <w:pPr>
        <w:spacing w:after="0" w:line="2" w:lineRule="exact"/>
        <w:rPr>
          <w:sz w:val="20"/>
          <w:szCs w:val="20"/>
          <w:color w:val="auto"/>
        </w:rPr>
      </w:pPr>
    </w:p>
    <w:p>
      <w:pPr>
        <w:ind w:right="520" w:firstLine="4"/>
        <w:spacing w:after="0" w:line="261" w:lineRule="auto"/>
        <w:tabs>
          <w:tab w:leader="none" w:pos="30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waive, and agree not to plead or to make, any claim that any such action or Proceeding brought in the Delaware Court has been brought in an improper or inconvenient forum.</w:t>
      </w:r>
    </w:p>
    <w:p>
      <w:pPr>
        <w:spacing w:after="0" w:line="18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Agreement are inserted for convenience only and do not constitute part of this Agreement or affect the construction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GOSSAMER BIO, INC.</w:t>
            </w:r>
          </w:p>
        </w:tc>
        <w:tc>
          <w:tcPr>
            <w:tcW w:w="1560" w:type="dxa"/>
            <w:vAlign w:val="bottom"/>
          </w:tcPr>
          <w:p>
            <w:pPr>
              <w:spacing w:after="0"/>
              <w:rPr>
                <w:sz w:val="20"/>
                <w:szCs w:val="20"/>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INDEMNITEE</w:t>
            </w:r>
          </w:p>
        </w:tc>
        <w:tc>
          <w:tcPr>
            <w:tcW w:w="0" w:type="dxa"/>
            <w:vAlign w:val="bottom"/>
          </w:tcPr>
          <w:p>
            <w:pPr>
              <w:spacing w:after="0"/>
              <w:rPr>
                <w:sz w:val="1"/>
                <w:szCs w:val="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By:</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Borders>
              <w:top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Office:</w:t>
            </w:r>
          </w:p>
        </w:tc>
        <w:tc>
          <w:tcPr>
            <w:tcW w:w="5620" w:type="dxa"/>
            <w:vAlign w:val="bottom"/>
            <w:gridSpan w:val="3"/>
          </w:tcPr>
          <w:p>
            <w:pPr>
              <w:ind w:left="15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2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-17-</w:t>
            </w:r>
          </w:p>
        </w:tc>
        <w:tc>
          <w:tcPr>
            <w:tcW w:w="3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20" w:type="dxa"/>
            <w:vAlign w:val="bottom"/>
            <w:gridSpan w:val="2"/>
            <w:vMerge w:val="continue"/>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659" w:name="page660"/>
    <w:bookmarkEnd w:id="659"/>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SUBLEASE</w:t>
      </w:r>
    </w:p>
    <w:p>
      <w:pPr>
        <w:spacing w:after="0" w:line="252" w:lineRule="exact"/>
        <w:rPr>
          <w:sz w:val="20"/>
          <w:szCs w:val="20"/>
          <w:color w:val="auto"/>
        </w:rPr>
      </w:pPr>
    </w:p>
    <w:p>
      <w:pPr>
        <w:ind w:left="440" w:hanging="436"/>
        <w:spacing w:after="0"/>
        <w:tabs>
          <w:tab w:leader="none" w:pos="4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PARTIES.</w:t>
      </w:r>
    </w:p>
    <w:p>
      <w:pPr>
        <w:spacing w:after="0" w:line="121" w:lineRule="exact"/>
        <w:rPr>
          <w:rFonts w:ascii="Arial" w:cs="Arial" w:eastAsia="Arial" w:hAnsi="Arial"/>
          <w:sz w:val="18"/>
          <w:szCs w:val="18"/>
          <w:b w:val="1"/>
          <w:bCs w:val="1"/>
          <w:color w:val="auto"/>
        </w:rPr>
      </w:pPr>
    </w:p>
    <w:p>
      <w:pPr>
        <w:ind w:left="440"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Sublease, dated December 29, 2017 (“Effective Date”) is made between THE MEDICINES COMPANY, a Delaware corporation (“Sublessor”), and GOSSAMER BIO, Inc., a Delaware corporation (“Sublessee”).</w:t>
      </w:r>
    </w:p>
    <w:p>
      <w:pPr>
        <w:spacing w:after="0" w:line="315" w:lineRule="exact"/>
        <w:rPr>
          <w:rFonts w:ascii="Arial" w:cs="Arial" w:eastAsia="Arial" w:hAnsi="Arial"/>
          <w:sz w:val="18"/>
          <w:szCs w:val="18"/>
          <w:b w:val="1"/>
          <w:bCs w:val="1"/>
          <w:color w:val="auto"/>
        </w:rPr>
      </w:pPr>
    </w:p>
    <w:p>
      <w:pPr>
        <w:ind w:left="440" w:hanging="436"/>
        <w:spacing w:after="0"/>
        <w:tabs>
          <w:tab w:leader="none" w:pos="4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MASTER LEASE.</w:t>
      </w:r>
    </w:p>
    <w:p>
      <w:pPr>
        <w:spacing w:after="0" w:line="121" w:lineRule="exact"/>
        <w:rPr>
          <w:rFonts w:ascii="Arial" w:cs="Arial" w:eastAsia="Arial" w:hAnsi="Arial"/>
          <w:sz w:val="18"/>
          <w:szCs w:val="18"/>
          <w:b w:val="1"/>
          <w:bCs w:val="1"/>
          <w:color w:val="auto"/>
        </w:rPr>
      </w:pPr>
    </w:p>
    <w:p>
      <w:pPr>
        <w:ind w:left="4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Sublessor is the lessee under that certain Lease Agreement dated October 1, 2014, as amended by that certain First Amendment to Lease dated as of January 12, 2017 (collectively, the “Master Lease”) attached as Exhibit ‘C’, wherein ARE-SD Region No. 35, LLC (“Lessor”) leased to Sublessor the building located in the City of San Diego, San Diego County, State of California, described as: 3013 Science Park Road, San Diego, California, 92121 (“Master Premises”).</w:t>
      </w:r>
    </w:p>
    <w:p>
      <w:pPr>
        <w:spacing w:after="0" w:line="331" w:lineRule="exact"/>
        <w:rPr>
          <w:rFonts w:ascii="Arial" w:cs="Arial" w:eastAsia="Arial" w:hAnsi="Arial"/>
          <w:sz w:val="18"/>
          <w:szCs w:val="18"/>
          <w:b w:val="1"/>
          <w:bCs w:val="1"/>
          <w:color w:val="auto"/>
        </w:rPr>
      </w:pPr>
    </w:p>
    <w:p>
      <w:pPr>
        <w:ind w:left="440" w:hanging="436"/>
        <w:spacing w:after="0"/>
        <w:tabs>
          <w:tab w:leader="none" w:pos="4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p>
    <w:p>
      <w:pPr>
        <w:spacing w:after="0" w:line="121" w:lineRule="exact"/>
        <w:rPr>
          <w:rFonts w:ascii="Arial" w:cs="Arial" w:eastAsia="Arial" w:hAnsi="Arial"/>
          <w:sz w:val="18"/>
          <w:szCs w:val="18"/>
          <w:b w:val="1"/>
          <w:bCs w:val="1"/>
          <w:color w:val="auto"/>
        </w:rPr>
      </w:pPr>
    </w:p>
    <w:p>
      <w:pPr>
        <w:ind w:left="440" w:right="1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Sublessor hereby subleases to Sublessee on the terms and conditions set forth in this Sublease the following portion of the Master Premises: approximately 32,039 rentable square feet (subject to adjustment in the event of a remeasurement of the Building or Premises pursuant to the Master Lease) on the second (2</w:t>
      </w:r>
      <w:r>
        <w:rPr>
          <w:rFonts w:ascii="Arial" w:cs="Arial" w:eastAsia="Arial" w:hAnsi="Arial"/>
          <w:sz w:val="14"/>
          <w:szCs w:val="14"/>
          <w:color w:val="auto"/>
        </w:rPr>
        <w:t>nd</w:t>
      </w:r>
      <w:r>
        <w:rPr>
          <w:rFonts w:ascii="Arial" w:cs="Arial" w:eastAsia="Arial" w:hAnsi="Arial"/>
          <w:sz w:val="17"/>
          <w:szCs w:val="17"/>
          <w:color w:val="auto"/>
        </w:rPr>
        <w:t>) floor of the Master Premises as shown in Exhibit ‘A’ attached hereto, to be referred to as Suite 200 and Suite 250 (the “Premises”). Sublessee’s rights hereunder shall include shared use of the building lobby and the open meeting areas/amphitheater between the first and second floor of the Master Premises as well as shared use of the Common Areas (as defined in, and subject to the terms of, the Master Lease). Subject to the terms of Article 40 of the Master Lease and the consent of Lessor, Sublessee’s employees will have the right to use and access the Torreyana Project (as defined in the Master Lease).</w:t>
      </w:r>
    </w:p>
    <w:p>
      <w:pPr>
        <w:spacing w:after="0" w:line="322" w:lineRule="exact"/>
        <w:rPr>
          <w:rFonts w:ascii="Arial" w:cs="Arial" w:eastAsia="Arial" w:hAnsi="Arial"/>
          <w:sz w:val="18"/>
          <w:szCs w:val="18"/>
          <w:b w:val="1"/>
          <w:bCs w:val="1"/>
          <w:color w:val="auto"/>
        </w:rPr>
      </w:pPr>
    </w:p>
    <w:p>
      <w:pPr>
        <w:ind w:left="440" w:hanging="436"/>
        <w:spacing w:after="0"/>
        <w:tabs>
          <w:tab w:leader="none" w:pos="4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21" w:lineRule="exact"/>
        <w:rPr>
          <w:rFonts w:ascii="Arial" w:cs="Arial" w:eastAsia="Arial" w:hAnsi="Arial"/>
          <w:sz w:val="18"/>
          <w:szCs w:val="18"/>
          <w:b w:val="1"/>
          <w:bCs w:val="1"/>
          <w:color w:val="auto"/>
        </w:rPr>
      </w:pPr>
    </w:p>
    <w:p>
      <w:pPr>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Sublessor warrants and represents to Sublessee that, to Sublessor’s current actual knowledge, the Master Lease is in full force and effect and Sublessor is not in default or breach of any of the provisions of the Master Lease, and that Sublessor has no knowledge of any claim by Lessor that Sublessor is in default or breach of any of the provisions of the Master Lease.</w:t>
      </w:r>
    </w:p>
    <w:p>
      <w:pPr>
        <w:spacing w:after="0" w:line="181" w:lineRule="exact"/>
        <w:rPr>
          <w:rFonts w:ascii="Arial" w:cs="Arial" w:eastAsia="Arial" w:hAnsi="Arial"/>
          <w:sz w:val="18"/>
          <w:szCs w:val="18"/>
          <w:b w:val="1"/>
          <w:bCs w:val="1"/>
          <w:color w:val="auto"/>
        </w:rPr>
      </w:pPr>
    </w:p>
    <w:p>
      <w:pPr>
        <w:ind w:left="4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Sublessee covenants that it will occupy the Premises in accordance with the terms of the Master Lease as incorporated herein and will not suffer to be done or omit to do any act which may result in a violation of or a default under any of the terms and conditions of the Master Lease, or render Sublessor liable for any damage, charge or expense thereunder. Sublessee warrants and represents that all financial information relating to Sublessee which has been provided to Sublessor is true and correct, including, without limitation, information relating to Sublessee’s Series A Preferred Stock financing.</w:t>
      </w:r>
    </w:p>
    <w:p>
      <w:pPr>
        <w:sectPr>
          <w:pgSz w:w="11900" w:h="16838" w:orient="portrait"/>
          <w:cols w:equalWidth="0" w:num="1">
            <w:col w:w="11020"/>
          </w:cols>
          <w:pgMar w:left="440" w:top="122" w:right="439" w:bottom="1440" w:gutter="0" w:footer="0" w:header="0"/>
        </w:sectPr>
      </w:pPr>
    </w:p>
    <w:bookmarkStart w:id="660" w:name="page661"/>
    <w:bookmarkEnd w:id="660"/>
    <w:p>
      <w:pPr>
        <w:ind w:left="436" w:hanging="436"/>
        <w:spacing w:after="0"/>
        <w:tabs>
          <w:tab w:leader="none" w:pos="436"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p>
    <w:p>
      <w:pPr>
        <w:spacing w:after="0" w:line="121" w:lineRule="exact"/>
        <w:rPr>
          <w:rFonts w:ascii="Arial" w:cs="Arial" w:eastAsia="Arial" w:hAnsi="Arial"/>
          <w:sz w:val="18"/>
          <w:szCs w:val="18"/>
          <w:b w:val="1"/>
          <w:bCs w:val="1"/>
          <w:color w:val="auto"/>
        </w:rPr>
      </w:pPr>
    </w:p>
    <w:p>
      <w:pPr>
        <w:ind w:left="436"/>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term of this Sublease (the “Term”) shall commence on the Commencement Date and shall expire on the last day of the month which is eighty-four (84) full months after the Rent Commencement Date (as defined below). The Term of this Sublease shall commence on the date (the “Commencement Date”) which is the latest of (i) the full execution and delivery of this Sublease, (ii) receipt of Lessor’s consent to this Sublease and (iii) Sublessee providing a bank statement and certification from an officer of Sublessee verifying that its Series A Preferred Stock Financing has closed and at least $50 Million has been received by Sublessee from its investors (“Financing Contingency”). Following the latest of (i), (ii) and (iii) above, Sublessee shall be provided access to Premises for a period of fifteen (15) days (“Early Access Period”) for the installation of furniture, fixtures, equipment or other special leasehold improvements including but not limited to telephones, computer wiring and networking cable (provided that Sublessee will obtain the prior consent of Lessor and Sublessor to such items to the extent required by the Master Lease or this Sublease). Sublessee shall not be obligated to pay any Base Rent or Operating Expenses/utilities during the Early Access Period (subject to the last paragraph of this Section 5). Accordingly, Base Rent will not commence to accrue until the first day after the Early Access Period (such day, the “Rent Commencement Date”).</w:t>
      </w:r>
    </w:p>
    <w:p>
      <w:pPr>
        <w:spacing w:after="0" w:line="182" w:lineRule="exact"/>
        <w:rPr>
          <w:rFonts w:ascii="Arial" w:cs="Arial" w:eastAsia="Arial" w:hAnsi="Arial"/>
          <w:sz w:val="18"/>
          <w:szCs w:val="18"/>
          <w:b w:val="1"/>
          <w:bCs w:val="1"/>
          <w:color w:val="auto"/>
        </w:rPr>
      </w:pPr>
    </w:p>
    <w:p>
      <w:pPr>
        <w:ind w:left="436"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If for any reason Sublessor does not deliver possession to Sublessee on the Commencement Date, the validity of this Sublease shall not be impaired. Notwithstanding the foregoing, if Sublessor has not delivered possession to Sublessee within thirty (30) days after the Commencement Date, then at any time thereafter and before delivery of possession of the Premises to Sublessee, Sublessee may give written notice to Sublessor of Sublessee’s intention to cancel this Sublease. Said notice shall set forth an effective date for such cancellation which shall be at least five</w:t>
      </w:r>
    </w:p>
    <w:p>
      <w:pPr>
        <w:spacing w:after="0" w:line="1" w:lineRule="exact"/>
        <w:rPr>
          <w:rFonts w:ascii="Arial" w:cs="Arial" w:eastAsia="Arial" w:hAnsi="Arial"/>
          <w:sz w:val="18"/>
          <w:szCs w:val="18"/>
          <w:b w:val="1"/>
          <w:bCs w:val="1"/>
          <w:color w:val="auto"/>
        </w:rPr>
      </w:pPr>
    </w:p>
    <w:p>
      <w:pPr>
        <w:ind w:left="436" w:right="1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(5) business days after delivery of said notice to Sublessor. If Sublessor delivers possession to Sublessee on or before such effective date, this Sublease shall remain in full force and effect. If Sublessor fails to deliver possession to Sublessee on or before such effective date, this Sublease shall be cancelable by Sublessee, in which case all consideration previously paid by Sublessee to Sublessor on account of this Sublease shall be returned to Sublessee (subject to the following paragraph of this section), this Sublease shall thereafter be of no further force or effect, and Sublessor shall have no further liability to Sublessee on account of such delay or cancellation. Sublessee may not cancel this Sublease for any other reason than those contained herein.</w:t>
      </w:r>
    </w:p>
    <w:p>
      <w:pPr>
        <w:sectPr>
          <w:pgSz w:w="11900" w:h="16838" w:orient="portrait"/>
          <w:cols w:equalWidth="0" w:num="1">
            <w:col w:w="10996"/>
          </w:cols>
          <w:pgMar w:left="444" w:top="270" w:right="459" w:bottom="1440" w:gutter="0" w:footer="0" w:header="0"/>
        </w:sectPr>
      </w:pPr>
    </w:p>
    <w:bookmarkStart w:id="661" w:name="page662"/>
    <w:bookmarkEnd w:id="661"/>
    <w:p>
      <w:pPr>
        <w:ind w:left="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Sublessor has agreed not to market or sublet the Premises to any third parties during the time period prior to January 19, 2018 in order to allow Sublessee time to satisfy the Financing Contingency. In consideration of Sublessor’s agreement to provide such option on the Premises to Sublessee, Sublessee has agreed to the terms of this paragraph. If Sublessee does not satisfy the Financing Contingency and provide the required documentation above to Sublessor on or before January 19, 2018, Sublessor may terminate this Sublease by delivery of written notice to Sublessee, which notice will set forth an effective date for such termination at least five (5) business days after the date of such notice (the “Effective Date”). If Sublessee satisfies the Financing Contingency prior to the Effective Date, then Sublessor’s termination notice shall be deemed null and void and this Sublease will remain in full force and effect (subject to receipt of Lessor’s consent within the time period set forth in Section 24 below). If the Financing Contingency is not satisfied by the Effective Date, then this Sublease will terminate effective as of the Effective Date and Sublessor will return the Security Deposit to Sublessee within fifteen (15) business days after the termination date, but Sublessor will be entitled to retain an option fee amount equal to $118,544.30 (i.e., an amount equal to the first month’s Base Rent) as consideration for the option granted by Sublessor pursuant to this paragraph. If this Sublease is terminated in accordance with this paragraph, neither party will have any further liability to the other on account of this Sublease or any other actions between the parties prior to the termination date (other than Sublessee’s obligation to pay the option fee set forth above). For clarity, in the event of a termination, Sublessee will not be entitled to any reimbursement for costs or expenses incurred by Sublessee, including without limitation, costs incurred for space planning, ordering of furniture, materials or similar items in preparation for occupancy of the Premises, and Sublessee agrees that Sublessor shall have no liability or responsibility in connection therewith.</w:t>
      </w:r>
    </w:p>
    <w:p>
      <w:pPr>
        <w:spacing w:after="0" w:line="326" w:lineRule="exact"/>
        <w:rPr>
          <w:sz w:val="20"/>
          <w:szCs w:val="20"/>
          <w:color w:val="auto"/>
        </w:rPr>
      </w:pPr>
    </w:p>
    <w:p>
      <w:pPr>
        <w:ind w:left="436" w:hanging="436"/>
        <w:spacing w:after="0"/>
        <w:tabs>
          <w:tab w:leader="none" w:pos="436"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RENT AND ADDITIONAL RENT.</w:t>
      </w:r>
    </w:p>
    <w:p>
      <w:pPr>
        <w:spacing w:after="0" w:line="121" w:lineRule="exact"/>
        <w:rPr>
          <w:rFonts w:ascii="Arial" w:cs="Arial" w:eastAsia="Arial" w:hAnsi="Arial"/>
          <w:sz w:val="18"/>
          <w:szCs w:val="18"/>
          <w:b w:val="1"/>
          <w:bCs w:val="1"/>
          <w:color w:val="auto"/>
        </w:rPr>
      </w:pPr>
    </w:p>
    <w:p>
      <w:pPr>
        <w:ind w:left="436" w:right="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Sublessee shall pay to Sublessor, without deduction, setoff, notice or demand, at The Medicines Company, 8 Sylvan Way, Parsippany, NJ 07054, Attention: Accounts Receivable, or at such other place as Sublessor shall designate from time to time by written notice to Sublessee, the sum of $118,544.30 per month (based upon $3.70 per rentable square foot of the Premises) (“Base Rent”), on the first day of each month of the Term.</w:t>
      </w:r>
    </w:p>
    <w:p>
      <w:pPr>
        <w:ind w:left="436" w:right="4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Sublessee shall pay to Sublessor concurrently with Sublessee’s execution of this Sublease, the sum of $118,544.30 as prepayment of the first month of Base Rent due hereunder. If the Rent Commencement Date falls on a day other than the first day of a month, the Base Rent for the partial months shall be prorated on a per diem basis based on the actual number of days in the month in which the Rent Commencement Date occurs.</w:t>
      </w:r>
    </w:p>
    <w:p>
      <w:pPr>
        <w:spacing w:after="0" w:line="95" w:lineRule="exact"/>
        <w:rPr>
          <w:rFonts w:ascii="Arial" w:cs="Arial" w:eastAsia="Arial" w:hAnsi="Arial"/>
          <w:sz w:val="18"/>
          <w:szCs w:val="18"/>
          <w:b w:val="1"/>
          <w:bCs w:val="1"/>
          <w:color w:val="auto"/>
        </w:rPr>
      </w:pPr>
    </w:p>
    <w:p>
      <w:pPr>
        <w:ind w:left="856" w:right="400" w:hanging="424"/>
        <w:spacing w:after="0" w:line="264" w:lineRule="auto"/>
        <w:tabs>
          <w:tab w:leader="none" w:pos="856" w:val="left"/>
        </w:tabs>
        <w:numPr>
          <w:ilvl w:val="1"/>
          <w:numId w:val="546"/>
        </w:numPr>
        <w:rPr>
          <w:rFonts w:ascii="Arial" w:cs="Arial" w:eastAsia="Arial" w:hAnsi="Arial"/>
          <w:sz w:val="18"/>
          <w:szCs w:val="18"/>
          <w:color w:val="auto"/>
        </w:rPr>
      </w:pPr>
      <w:r>
        <w:rPr>
          <w:rFonts w:ascii="Arial" w:cs="Arial" w:eastAsia="Arial" w:hAnsi="Arial"/>
          <w:sz w:val="18"/>
          <w:szCs w:val="18"/>
          <w:u w:val="single" w:color="auto"/>
          <w:color w:val="auto"/>
        </w:rPr>
        <w:t>Annual Increase</w:t>
      </w:r>
      <w:r>
        <w:rPr>
          <w:rFonts w:ascii="Arial" w:cs="Arial" w:eastAsia="Arial" w:hAnsi="Arial"/>
          <w:sz w:val="18"/>
          <w:szCs w:val="18"/>
          <w:color w:val="auto"/>
        </w:rPr>
        <w:t>. The monthly Base Rent shall increase by 3% on each anniversary of the first day of the first full month following the Commencement Date (for instance, if Commencement Date is January 15, 2018 then the annual increase shall occur every February 1</w:t>
      </w:r>
      <w:r>
        <w:rPr>
          <w:rFonts w:ascii="Arial" w:cs="Arial" w:eastAsia="Arial" w:hAnsi="Arial"/>
          <w:sz w:val="15"/>
          <w:szCs w:val="15"/>
          <w:color w:val="auto"/>
        </w:rPr>
        <w:t>st</w:t>
      </w:r>
      <w:r>
        <w:rPr>
          <w:rFonts w:ascii="Arial" w:cs="Arial" w:eastAsia="Arial" w:hAnsi="Arial"/>
          <w:sz w:val="18"/>
          <w:szCs w:val="18"/>
          <w:color w:val="auto"/>
        </w:rPr>
        <w:t xml:space="preserve"> starting on January 1, 2019).</w:t>
      </w:r>
    </w:p>
    <w:p>
      <w:pPr>
        <w:sectPr>
          <w:pgSz w:w="11900" w:h="16838" w:orient="portrait"/>
          <w:cols w:equalWidth="0" w:num="1">
            <w:col w:w="11016"/>
          </w:cols>
          <w:pgMar w:left="444" w:top="273" w:right="439" w:bottom="1440" w:gutter="0" w:footer="0" w:header="0"/>
        </w:sectPr>
      </w:pPr>
    </w:p>
    <w:bookmarkStart w:id="662" w:name="page663"/>
    <w:bookmarkEnd w:id="662"/>
    <w:p>
      <w:pPr>
        <w:ind w:left="424" w:right="120" w:hanging="424"/>
        <w:spacing w:after="0" w:line="272" w:lineRule="auto"/>
        <w:tabs>
          <w:tab w:leader="none" w:pos="424" w:val="left"/>
        </w:tabs>
        <w:numPr>
          <w:ilvl w:val="0"/>
          <w:numId w:val="5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Abated Rent</w:t>
      </w:r>
      <w:r>
        <w:rPr>
          <w:rFonts w:ascii="Arial" w:cs="Arial" w:eastAsia="Arial" w:hAnsi="Arial"/>
          <w:sz w:val="17"/>
          <w:szCs w:val="17"/>
          <w:color w:val="auto"/>
        </w:rPr>
        <w:t>. Sublessee will not be entitled to the benefit of any rent abatement or reduction provided to Sublessor under the Master Lease. However, Sublessee shall receive abatement of its obligation to pay fifty percent (50%) of the monthly Base Rent due hereunder during the second (2</w:t>
      </w:r>
      <w:r>
        <w:rPr>
          <w:rFonts w:ascii="Arial" w:cs="Arial" w:eastAsia="Arial" w:hAnsi="Arial"/>
          <w:sz w:val="14"/>
          <w:szCs w:val="14"/>
          <w:color w:val="auto"/>
        </w:rPr>
        <w:t>nd</w:t>
      </w:r>
      <w:r>
        <w:rPr>
          <w:rFonts w:ascii="Arial" w:cs="Arial" w:eastAsia="Arial" w:hAnsi="Arial"/>
          <w:sz w:val="17"/>
          <w:szCs w:val="17"/>
          <w:color w:val="auto"/>
        </w:rPr>
        <w:t>) through tenth (10</w:t>
      </w:r>
      <w:r>
        <w:rPr>
          <w:rFonts w:ascii="Arial" w:cs="Arial" w:eastAsia="Arial" w:hAnsi="Arial"/>
          <w:sz w:val="14"/>
          <w:szCs w:val="14"/>
          <w:color w:val="auto"/>
        </w:rPr>
        <w:t>th</w:t>
      </w:r>
      <w:r>
        <w:rPr>
          <w:rFonts w:ascii="Arial" w:cs="Arial" w:eastAsia="Arial" w:hAnsi="Arial"/>
          <w:sz w:val="17"/>
          <w:szCs w:val="17"/>
          <w:color w:val="auto"/>
        </w:rPr>
        <w:t>) full months of the Term of this Sublease (for instance, if Commencement Date is January 15, 2018 then 50% of Base Rent shall be abated for the months of March-November 2018). Sublessee shall be responsible for its Pro Rata Share (as defined below) of all other Rent payable hereunder and for janitorial costs for the Sublease Premises during such Base Rent abatement period. In the event Sublessee defaults under this Sublease after the expiration of any applicable notice and cure period, Sublessor will be entitled to reimbursement of all Base Rent abated pursuant to this paragraph.</w:t>
      </w:r>
    </w:p>
    <w:p>
      <w:pPr>
        <w:spacing w:after="0" w:line="83" w:lineRule="exact"/>
        <w:rPr>
          <w:rFonts w:ascii="Arial" w:cs="Arial" w:eastAsia="Arial" w:hAnsi="Arial"/>
          <w:sz w:val="17"/>
          <w:szCs w:val="17"/>
          <w:color w:val="auto"/>
        </w:rPr>
      </w:pPr>
    </w:p>
    <w:p>
      <w:pPr>
        <w:ind w:left="424" w:hanging="424"/>
        <w:spacing w:after="0" w:line="287" w:lineRule="auto"/>
        <w:tabs>
          <w:tab w:leader="none" w:pos="424"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xml:space="preserve">. Commencing as of the Commencement Date and continuing thereafter throughout the Term of this Sublease, Sublessee shall pay as “Operating Expenses” its Pro Rata Share of all Operating Expenses, Amenities Fees and Taxes, as defined in Master Lease. Sublessee’s Pro Rata Share is hereby agreed to be </w:t>
      </w:r>
      <w:r>
        <w:rPr>
          <w:rFonts w:ascii="Arial" w:cs="Arial" w:eastAsia="Arial" w:hAnsi="Arial"/>
          <w:sz w:val="16"/>
          <w:szCs w:val="16"/>
          <w:b w:val="1"/>
          <w:bCs w:val="1"/>
          <w:color w:val="auto"/>
        </w:rPr>
        <w:t>50.86%</w:t>
      </w:r>
      <w:r>
        <w:rPr>
          <w:rFonts w:ascii="Arial" w:cs="Arial" w:eastAsia="Arial" w:hAnsi="Arial"/>
          <w:sz w:val="16"/>
          <w:szCs w:val="16"/>
          <w:color w:val="auto"/>
        </w:rPr>
        <w:t xml:space="preserve"> (subject to adjustment in the event of a remeasurement of the Building or Premises pursuant to the Master Lease) (“Pro Rata Share”). Sublessee shall pay Operating Expenses based on estimates provided by Sublessor (which shall be based upon the estimates provided by Lessor under the Master Lease), at the same time and in the same manner as the payment of Base Rent. Upon Sublessor’s receipt of an Annual Statement (as defined in the Master Lease), Sublessee will be credited with its Pro Rata Share of any overpayment shown in such Annual Statement, or will pay, within fifteen (15) days after demand, its Pro Rata Share of any underpayment as shown in such Annual Statement. In addition, Sublessee shall pay Sublessor a property management fee in an amount equal to three percent (3%) of the Base Rent, provided that during any period of full or partial Base Rent abatement, Sublessee shall pay the property management fee based on the amount of Base Rent that would have been payable but for the Base Rent abatement. All sums payable by Sublessee hereunder, including, without limitation Operating Expenses and the property management fee, may be referred to as “Additional Rent” and all Additional Rent, together with Base Rent may be referred to herein as “Rent.”</w:t>
      </w:r>
    </w:p>
    <w:p>
      <w:pPr>
        <w:spacing w:after="0" w:line="74" w:lineRule="exact"/>
        <w:rPr>
          <w:rFonts w:ascii="Arial" w:cs="Arial" w:eastAsia="Arial" w:hAnsi="Arial"/>
          <w:sz w:val="16"/>
          <w:szCs w:val="16"/>
          <w:color w:val="auto"/>
        </w:rPr>
      </w:pPr>
    </w:p>
    <w:p>
      <w:pPr>
        <w:ind w:left="424" w:right="100" w:hanging="424"/>
        <w:spacing w:after="0" w:line="264" w:lineRule="auto"/>
        <w:tabs>
          <w:tab w:leader="none" w:pos="424"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Sublessee will be responsible for all janitorial services and utility costs for the Sublease Premises commencing on the Commencement Date. If a separate electric meter is not in place for Premises, Sublessor may pass through a charge for Sublessee’s utilities based on Sublessee Pro Rata Share of the utility bills for the Building.</w:t>
      </w:r>
    </w:p>
    <w:p>
      <w:pPr>
        <w:sectPr>
          <w:pgSz w:w="11900" w:h="16838" w:orient="portrait"/>
          <w:cols w:equalWidth="0" w:num="1">
            <w:col w:w="10564"/>
          </w:cols>
          <w:pgMar w:left="876" w:top="275" w:right="459" w:bottom="1440" w:gutter="0" w:footer="0" w:header="0"/>
        </w:sectPr>
      </w:pPr>
    </w:p>
    <w:bookmarkStart w:id="663" w:name="page664"/>
    <w:bookmarkEnd w:id="663"/>
    <w:p>
      <w:pPr>
        <w:ind w:left="436" w:hanging="436"/>
        <w:spacing w:after="0"/>
        <w:tabs>
          <w:tab w:leader="none" w:pos="436"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w:t>
      </w:r>
    </w:p>
    <w:p>
      <w:pPr>
        <w:spacing w:after="0" w:line="121" w:lineRule="exact"/>
        <w:rPr>
          <w:rFonts w:ascii="Arial" w:cs="Arial" w:eastAsia="Arial" w:hAnsi="Arial"/>
          <w:sz w:val="18"/>
          <w:szCs w:val="18"/>
          <w:b w:val="1"/>
          <w:bCs w:val="1"/>
          <w:color w:val="auto"/>
        </w:rPr>
      </w:pPr>
    </w:p>
    <w:p>
      <w:pPr>
        <w:ind w:left="436"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Sublease Premises may be used for research and development laboratory, related office and other related uses permitted by Applicable Laws, including zoning ordinances, and the Master Lease. Sublessee shall not commit or allow to be committed any waste upon the Premises, or any public or private nuisance or act which is unlawful.</w:t>
      </w:r>
    </w:p>
    <w:p>
      <w:pPr>
        <w:spacing w:after="0" w:line="325" w:lineRule="exact"/>
        <w:rPr>
          <w:rFonts w:ascii="Arial" w:cs="Arial" w:eastAsia="Arial" w:hAnsi="Arial"/>
          <w:sz w:val="18"/>
          <w:szCs w:val="18"/>
          <w:b w:val="1"/>
          <w:bCs w:val="1"/>
          <w:color w:val="auto"/>
        </w:rPr>
      </w:pPr>
    </w:p>
    <w:p>
      <w:pPr>
        <w:ind w:left="436" w:hanging="436"/>
        <w:spacing w:after="0"/>
        <w:tabs>
          <w:tab w:leader="none" w:pos="436"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TENANT IMPROVEMENTS AND RESTORATION.</w:t>
      </w:r>
    </w:p>
    <w:p>
      <w:pPr>
        <w:spacing w:after="0" w:line="121" w:lineRule="exact"/>
        <w:rPr>
          <w:rFonts w:ascii="Arial" w:cs="Arial" w:eastAsia="Arial" w:hAnsi="Arial"/>
          <w:sz w:val="18"/>
          <w:szCs w:val="18"/>
          <w:b w:val="1"/>
          <w:bCs w:val="1"/>
          <w:color w:val="auto"/>
        </w:rPr>
      </w:pPr>
    </w:p>
    <w:p>
      <w:pPr>
        <w:ind w:left="436"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Sublessee will not be permitted to commence any work within the Premises or to store or move any property into the Premises prior to the Commencement Date. Sublessee will not be provided access cards or keys until the Commencement Date, and may only enter the Premises when escorted by a representative of Sublessor.</w:t>
      </w:r>
    </w:p>
    <w:p>
      <w:pPr>
        <w:spacing w:after="0" w:line="181" w:lineRule="exact"/>
        <w:rPr>
          <w:rFonts w:ascii="Arial" w:cs="Arial" w:eastAsia="Arial" w:hAnsi="Arial"/>
          <w:sz w:val="18"/>
          <w:szCs w:val="18"/>
          <w:b w:val="1"/>
          <w:bCs w:val="1"/>
          <w:color w:val="auto"/>
        </w:rPr>
      </w:pPr>
    </w:p>
    <w:p>
      <w:pPr>
        <w:ind w:left="436"/>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Contingent upon the satisfaction of all contingencies to this Sublease, Sublessor shall provide Sublessee with a Tenant Improvement Allowance (“TIA”) equal to One Hundred and Fifty Thousand Dollars ($150,000.00) in order to fund its improvements to Premises (“Tenant Improvements”) as shown in Exhibit ‘B’ which may include installing solid wood doors in the new private offices and under-floor conduit for cabling to workstations (subject to the prior approval of Lessor). Sublessee will not make any changes to the Tenant Improvements from those shown on Exhibit ‘B’ without first obtaining Sublessor’s prior written consent (and the consent of Lessor if required by the Master Lease), which consent may be withheld in its sole discretion. Sublessee shall pay any and all costs associated with the Tenant Improvements in excess of the TIA. Sublessee shall be responsible for performing and completing the Tenant Improvements and Sublessor shall reimburse Sublessee for the cost of the Tenant Improvements up to the TIA within thirty (30) days after Sublessee presents to Sublessor (i) paid invoices for all of the Tenant Improvements performed, (ii) a statement by the architect or contractor that all Tenant Improvements have been completed in accordance with the plans approved by Sublessor and Lessor, (iii) mechanics lien releases satisfying the requirements of California law and (iv) any other documentation reasonably requested by Sublessor or Lessor. Sublessee shall pay Sublessor out of the TIA a total fee of two percent (2%) of the cost of the Tenant Improvements for Lessor’s and Sublessor’s role in managing or reviewing any Tenant Improvements and there shall be no additional management fee/charges due from Sublessee related to Tenant Improvements, unless Lessor charges any additional fee on account of the Tenant Improvements, in which case Sublessee will reimburse such charges to Sublessor. The design and construction of the Tenant Improvements shall be subject to Sublessor’s reasonable approval and Lessor’s approval per the Master Lease and will be constructed in accordance with all terms and conditions of the Master Lease and all applicable laws, ordinances, rules and regulations applicable to the Premises. Sublessee shall use DGA Architects and DPR Construction for the</w:t>
      </w:r>
    </w:p>
    <w:p>
      <w:pPr>
        <w:sectPr>
          <w:pgSz w:w="11900" w:h="16838" w:orient="portrait"/>
          <w:cols w:equalWidth="0" w:num="1">
            <w:col w:w="10996"/>
          </w:cols>
          <w:pgMar w:left="444" w:top="271" w:right="459" w:bottom="1440" w:gutter="0" w:footer="0" w:header="0"/>
        </w:sectPr>
      </w:pPr>
    </w:p>
    <w:bookmarkStart w:id="664" w:name="page665"/>
    <w:bookmarkEnd w:id="664"/>
    <w:p>
      <w:pPr>
        <w:ind w:left="436"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space planning and construction of the Tenant Improvements; provided that Lessor approves such parties. All other subcontractors and vendors used by Sublessee will be subject to the prior consent of Sublessor and Lessor. Sublessor shall use reasonable efforts to assist Sublessee in obtaining Lessor’s approval for the Tenant Improvements, at no cost to Sublessor, but Sublessor will have no liability and this Sublease will not be affected in the event Lessor refuses to consent to any or all of Sublessee’s proposed Tenant Improvements.</w:t>
      </w:r>
    </w:p>
    <w:p>
      <w:pPr>
        <w:spacing w:after="0" w:line="171" w:lineRule="exact"/>
        <w:rPr>
          <w:sz w:val="20"/>
          <w:szCs w:val="20"/>
          <w:color w:val="auto"/>
        </w:rPr>
      </w:pPr>
    </w:p>
    <w:p>
      <w:pPr>
        <w:jc w:val="both"/>
        <w:ind w:left="436" w:right="20"/>
        <w:spacing w:after="0" w:line="259" w:lineRule="auto"/>
        <w:rPr>
          <w:sz w:val="20"/>
          <w:szCs w:val="20"/>
          <w:color w:val="auto"/>
        </w:rPr>
      </w:pPr>
      <w:r>
        <w:rPr>
          <w:rFonts w:ascii="Arial" w:cs="Arial" w:eastAsia="Arial" w:hAnsi="Arial"/>
          <w:sz w:val="18"/>
          <w:szCs w:val="18"/>
          <w:color w:val="auto"/>
        </w:rPr>
        <w:t>Sublessee will use reasonable efforts to minimize any disruption in Sublessor’s use and occupancy of the Master Premises during the construction of the Tenant Improvements. Sublessor may require that any loud or disruptive work be performed outside of Sublessor’s usual business hours. As a condition to Sublessor’s obligation to disburse the TIA, the Tenant Improvements must be substantially completed within three (3) months after the Commencement Date.</w:t>
      </w:r>
    </w:p>
    <w:p>
      <w:pPr>
        <w:spacing w:after="0" w:line="187" w:lineRule="exact"/>
        <w:rPr>
          <w:sz w:val="20"/>
          <w:szCs w:val="20"/>
          <w:color w:val="auto"/>
        </w:rPr>
      </w:pPr>
    </w:p>
    <w:p>
      <w:pPr>
        <w:ind w:left="436"/>
        <w:spacing w:after="0" w:line="259" w:lineRule="auto"/>
        <w:rPr>
          <w:sz w:val="20"/>
          <w:szCs w:val="20"/>
          <w:color w:val="auto"/>
        </w:rPr>
      </w:pPr>
      <w:r>
        <w:rPr>
          <w:rFonts w:ascii="Arial" w:cs="Arial" w:eastAsia="Arial" w:hAnsi="Arial"/>
          <w:sz w:val="18"/>
          <w:szCs w:val="18"/>
          <w:color w:val="auto"/>
        </w:rPr>
        <w:t>At the expiration of the Term, Sublessee may (to the extent permitted by the Master Lease) and shall (if required by Lessor or Sublessor) remove from the Premises all Tenant Improvements (and any Alterations subsequently installed by or on behalf of Sublessee) and Sublessee’s personal property and shall repair any damage and perform any restoration work caused by such removal and shall otherwise comply with the Master Lease requirements for restoration of the Premises.</w:t>
      </w:r>
    </w:p>
    <w:p>
      <w:pPr>
        <w:spacing w:after="0" w:line="331" w:lineRule="exact"/>
        <w:rPr>
          <w:sz w:val="20"/>
          <w:szCs w:val="20"/>
          <w:color w:val="auto"/>
        </w:rPr>
      </w:pPr>
    </w:p>
    <w:p>
      <w:pPr>
        <w:ind w:left="436" w:hanging="436"/>
        <w:spacing w:after="0"/>
        <w:tabs>
          <w:tab w:leader="none" w:pos="436"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BUILDING CONDITION.</w:t>
      </w:r>
    </w:p>
    <w:p>
      <w:pPr>
        <w:spacing w:after="0" w:line="121" w:lineRule="exact"/>
        <w:rPr>
          <w:rFonts w:ascii="Arial" w:cs="Arial" w:eastAsia="Arial" w:hAnsi="Arial"/>
          <w:sz w:val="18"/>
          <w:szCs w:val="18"/>
          <w:b w:val="1"/>
          <w:bCs w:val="1"/>
          <w:color w:val="auto"/>
        </w:rPr>
      </w:pPr>
    </w:p>
    <w:p>
      <w:pPr>
        <w:ind w:left="436" w:right="1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Sublessor shall provide that all mechanical, electrical, HVAC and plumbing systems are in good working order and condition as of the Commencement Date. If such systems are not in good working order, Sublessee must notify Sublessor of any deficiency within ninety (90) days of Sublessor’s delivery of the Premises, and Sublessor shall, at Sublessor’s sole cost and expense and as Sublessee’s sole remedy therefor, either</w:t>
      </w:r>
    </w:p>
    <w:p>
      <w:pPr>
        <w:ind w:left="436" w:right="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 to the extent such systems are Sublessor’s obligation to repair and maintain pursuant to the Master Lease, put such systems in good working order, or (ii) to the extent such systems are Lessor’s obligation to repair and maintain pursuant to the Master Lease, Sublessor shall notify Lessor of the need for any repairs or maintenance. Sublessee will have use of Sublessee’s Pro-Rata Share of all existing infrastructure, including HVAC, water, gas, power, emergency generators and other equipment unique to the Building which has been designed to support the Premises (“Building Systems”); provided that Sublessor’s share of the allocation of Building Systems will be adjusted as required to account for its vivarium. Sublessee, in addition to Operating Expenses and other Rent due hereunder, shall be responsible for Sublessee’s Pro Rata Share of the cost incurred by Sublessor for repair, maintenance and replacement of the Building Systems, including without limitation the deionized water system, but not including any costs related solely to Sublessor’s vivarium, which amounts will be billed to Sublessee by Sublessor directly to the extent Sublessor provides such</w:t>
      </w:r>
    </w:p>
    <w:p>
      <w:pPr>
        <w:sectPr>
          <w:pgSz w:w="11900" w:h="16838" w:orient="portrait"/>
          <w:cols w:equalWidth="0" w:num="1">
            <w:col w:w="11016"/>
          </w:cols>
          <w:pgMar w:left="444" w:top="273" w:right="439" w:bottom="1440" w:gutter="0" w:footer="0" w:header="0"/>
        </w:sectPr>
      </w:pPr>
    </w:p>
    <w:bookmarkStart w:id="665" w:name="page666"/>
    <w:bookmarkEnd w:id="665"/>
    <w:p>
      <w:pPr>
        <w:ind w:left="436"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 maintenance or replacement, in which case such amounts shall be payable by Sublessee as Additional Rent within thirty (30) days after its receipt of an invoice therefore. For any repair, maintenance or replacement of Building Systems performed by Lessor, Sublessee will pay Sublessee’s Pro Rata Share of such costs in the same manner as provided under the Master Lease.</w:t>
      </w:r>
    </w:p>
    <w:p>
      <w:pPr>
        <w:spacing w:after="0" w:line="181" w:lineRule="exact"/>
        <w:rPr>
          <w:sz w:val="20"/>
          <w:szCs w:val="20"/>
          <w:color w:val="auto"/>
        </w:rPr>
      </w:pPr>
    </w:p>
    <w:p>
      <w:pPr>
        <w:ind w:left="436" w:right="20"/>
        <w:spacing w:after="0" w:line="290" w:lineRule="auto"/>
        <w:rPr>
          <w:sz w:val="20"/>
          <w:szCs w:val="20"/>
          <w:color w:val="auto"/>
        </w:rPr>
      </w:pPr>
      <w:r>
        <w:rPr>
          <w:rFonts w:ascii="Arial" w:cs="Arial" w:eastAsia="Arial" w:hAnsi="Arial"/>
          <w:sz w:val="16"/>
          <w:szCs w:val="16"/>
          <w:color w:val="auto"/>
        </w:rPr>
        <w:t>Sublessee agrees that Sublessor shall not be required to perform any of the covenants, agreements and/or obligations of Lessor under the Master Lease and, insofar as any of the covenants, agreements and obligations of Sublessor hereunder are required to be performed under the Master Lease by Lessor thereunder, Sublessee acknowledges and agrees that Sublessee will look solely to Lessor for such performance. Sublessor shall not be responsible for any failure or interruption, for any reason whatsoever, of the services, utilities or facilities that may be appurtenant or supplied to the Premises by Lessor or otherwise and no such failure will in any way excuse Sublessee’s performance under this Sublease or entitle Sublessee to any abatement of rent or other charge, except as may be expressly permitted by the terms of the Master Lease. Sublessee shall pay to Sublessor as Rent hereunder any and all sums which Sublessor may be required to pay Lessor arising out of a request by Sublessee for additional building services or any other services from Lessor, and which Lessor bills to Sublessor.</w:t>
      </w:r>
    </w:p>
    <w:p>
      <w:pPr>
        <w:spacing w:after="0" w:line="311" w:lineRule="exact"/>
        <w:rPr>
          <w:sz w:val="20"/>
          <w:szCs w:val="20"/>
          <w:color w:val="auto"/>
        </w:rPr>
      </w:pPr>
    </w:p>
    <w:p>
      <w:pPr>
        <w:ind w:left="436" w:hanging="436"/>
        <w:spacing w:after="0"/>
        <w:tabs>
          <w:tab w:leader="none" w:pos="436"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ACCESS.</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Subject to the Master Lease, casualty and Force Majeure events, Sublessee shall have 24/7 access to and use of the Premises.</w:t>
      </w:r>
    </w:p>
    <w:p>
      <w:pPr>
        <w:spacing w:after="0" w:line="369" w:lineRule="exact"/>
        <w:rPr>
          <w:rFonts w:ascii="Arial" w:cs="Arial" w:eastAsia="Arial" w:hAnsi="Arial"/>
          <w:sz w:val="18"/>
          <w:szCs w:val="18"/>
          <w:b w:val="1"/>
          <w:bCs w:val="1"/>
          <w:color w:val="auto"/>
        </w:rPr>
      </w:pPr>
    </w:p>
    <w:p>
      <w:pPr>
        <w:ind w:left="436" w:hanging="436"/>
        <w:spacing w:after="0"/>
        <w:tabs>
          <w:tab w:leader="none" w:pos="436"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GENERATOR.</w:t>
      </w:r>
    </w:p>
    <w:p>
      <w:pPr>
        <w:spacing w:after="0" w:line="121" w:lineRule="exact"/>
        <w:rPr>
          <w:rFonts w:ascii="Arial" w:cs="Arial" w:eastAsia="Arial" w:hAnsi="Arial"/>
          <w:sz w:val="18"/>
          <w:szCs w:val="18"/>
          <w:b w:val="1"/>
          <w:bCs w:val="1"/>
          <w:color w:val="auto"/>
        </w:rPr>
      </w:pPr>
    </w:p>
    <w:p>
      <w:pPr>
        <w:ind w:left="436"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Sublessee shall have access to its Pro Rata Share of the capacity of Sublessor’s backup generator and will pay its Pro Rata Share of all costs incurred by Sublessor in connection with such generator, including without limitation all repair and maintenance costs, which amounts will be payable as Additional Rent within thirty (30) days after invoicing for same (or as part of Operating Expenses to the extent Lessor performs such work). Sublessor or Lessor shall repair and maintain the generator and Sublessee will in no event attempt to repair, maintain, alter or in any way access the generator. Neither Sublessor nor Lessor will have any liability on account of any failure of the generator to function, regardless of the cause of such failure, and Sublessee hereby waives any and all Claims resulting from any failure to function or malfunction of the generator.</w:t>
      </w:r>
    </w:p>
    <w:p>
      <w:pPr>
        <w:spacing w:after="0" w:line="309" w:lineRule="exact"/>
        <w:rPr>
          <w:rFonts w:ascii="Arial" w:cs="Arial" w:eastAsia="Arial" w:hAnsi="Arial"/>
          <w:sz w:val="18"/>
          <w:szCs w:val="18"/>
          <w:b w:val="1"/>
          <w:bCs w:val="1"/>
          <w:color w:val="auto"/>
        </w:rPr>
      </w:pPr>
    </w:p>
    <w:p>
      <w:pPr>
        <w:ind w:left="436" w:hanging="436"/>
        <w:spacing w:after="0"/>
        <w:tabs>
          <w:tab w:leader="none" w:pos="436"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Sublessee shall not assign, mortgage, encumber or otherwise transfer this Sublease or sublet the whole or any part of the Premises without the prior written consent of Lessor and Sublessor (Sublessor’s consent not to be unreasonably withheld, conditioned or delayed) and any such transfer will be subject to compliance with all terms and conditions of the Master Lease. No assignment,</w:t>
      </w:r>
    </w:p>
    <w:p>
      <w:pPr>
        <w:sectPr>
          <w:pgSz w:w="11900" w:h="16838" w:orient="portrait"/>
          <w:cols w:equalWidth="0" w:num="1">
            <w:col w:w="10976"/>
          </w:cols>
          <w:pgMar w:left="444" w:top="275" w:right="479" w:bottom="1440" w:gutter="0" w:footer="0" w:header="0"/>
        </w:sectPr>
      </w:pPr>
    </w:p>
    <w:bookmarkStart w:id="666" w:name="page667"/>
    <w:bookmarkEnd w:id="666"/>
    <w:p>
      <w:pPr>
        <w:ind w:left="43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subletting or other transfer shall relieve Sublessee of any liability under this Sublease. Consent to any such assignment, subletting or transfer shall not operate as a waiver of the necessity for consent to any subsequent assignment, subletting or transfer. In connection with each request for an assignment or subletting, Sublessee shall pay the reasonable cost of processing such assignment or subletting, including attorneys’ fees, and any fees or costs payable under the Master Lease, within fifteen (15) days after demand by Sublessor.</w:t>
      </w:r>
    </w:p>
    <w:p>
      <w:pPr>
        <w:spacing w:after="0" w:line="316" w:lineRule="exact"/>
        <w:rPr>
          <w:sz w:val="20"/>
          <w:szCs w:val="20"/>
          <w:color w:val="auto"/>
        </w:rPr>
      </w:pPr>
    </w:p>
    <w:p>
      <w:pPr>
        <w:ind w:left="436" w:hanging="436"/>
        <w:spacing w:after="0"/>
        <w:tabs>
          <w:tab w:leader="none" w:pos="436"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PARKING.</w:t>
      </w:r>
    </w:p>
    <w:p>
      <w:pPr>
        <w:spacing w:after="0" w:line="121" w:lineRule="exact"/>
        <w:rPr>
          <w:rFonts w:ascii="Arial" w:cs="Arial" w:eastAsia="Arial" w:hAnsi="Arial"/>
          <w:sz w:val="18"/>
          <w:szCs w:val="18"/>
          <w:b w:val="1"/>
          <w:bCs w:val="1"/>
          <w:color w:val="auto"/>
        </w:rPr>
      </w:pPr>
    </w:p>
    <w:p>
      <w:pPr>
        <w:ind w:left="436"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Sublessee shall be provided parking per the Master Lease, which includes approximately 2.5 parking spaces per 1,000 square feet of rentable area of the Premises, subject to the terms of Article 10 of the Master Lease. Such parking will be provided free of charge throughout the Term.</w:t>
      </w:r>
    </w:p>
    <w:p>
      <w:pPr>
        <w:spacing w:after="0" w:line="268" w:lineRule="exact"/>
        <w:rPr>
          <w:rFonts w:ascii="Arial" w:cs="Arial" w:eastAsia="Arial" w:hAnsi="Arial"/>
          <w:sz w:val="18"/>
          <w:szCs w:val="18"/>
          <w:b w:val="1"/>
          <w:bCs w:val="1"/>
          <w:color w:val="auto"/>
        </w:rPr>
      </w:pPr>
    </w:p>
    <w:p>
      <w:pPr>
        <w:ind w:left="436" w:hanging="436"/>
        <w:spacing w:after="0"/>
        <w:tabs>
          <w:tab w:leader="none" w:pos="436"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RENEWAL OPTION.</w:t>
      </w:r>
    </w:p>
    <w:p>
      <w:pPr>
        <w:spacing w:after="0" w:line="121" w:lineRule="exact"/>
        <w:rPr>
          <w:rFonts w:ascii="Arial" w:cs="Arial" w:eastAsia="Arial" w:hAnsi="Arial"/>
          <w:sz w:val="18"/>
          <w:szCs w:val="18"/>
          <w:b w:val="1"/>
          <w:bCs w:val="1"/>
          <w:color w:val="auto"/>
        </w:rPr>
      </w:pPr>
    </w:p>
    <w:p>
      <w:pPr>
        <w:ind w:left="436"/>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So long as Sublessee is not in default after any applicable notice and cure period and has not been in default after any applicable notice and cure period hereunder on more than two (2) occasions during the Term, Sublessee physically occupies the entire Premises, and Sublessee has not assigned or further sublet the Premises, then subject to the terms of the Master Lease and the receipt of any consent required from Lessor, Sublessee shall have one (1) option to extend the Term of this Sublease through the expiration date of the initial Term of the Master Lease at a Base Rent equal to the Fair Market Rent (as defined below), but not less than the Base Rent payable under the Sublease as of the last month of the then-current Term. The “Fair Market Rent” shall be the rental rate, including all escalations, at which tenants, as of the commencement of the option Term, are leasing office and laboratory space comparable in size, location and quality to the Premises for a term comparable to the option term, which comparable space is located in comparable office/lab buildings in the Torrey Pines submarket of San Diego County.</w:t>
      </w:r>
    </w:p>
    <w:p>
      <w:pPr>
        <w:spacing w:after="0" w:line="71" w:lineRule="exact"/>
        <w:rPr>
          <w:rFonts w:ascii="Arial" w:cs="Arial" w:eastAsia="Arial" w:hAnsi="Arial"/>
          <w:sz w:val="18"/>
          <w:szCs w:val="18"/>
          <w:b w:val="1"/>
          <w:bCs w:val="1"/>
          <w:color w:val="auto"/>
        </w:rPr>
      </w:pPr>
    </w:p>
    <w:p>
      <w:pPr>
        <w:ind w:left="856" w:right="20" w:hanging="424"/>
        <w:spacing w:after="0" w:line="293" w:lineRule="auto"/>
        <w:tabs>
          <w:tab w:leader="none" w:pos="856"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The option contained in this Section shall be exercised by Sublessee, if at all, only in the following manner: (i) Sublessee shall deliver written notice (“</w:t>
      </w:r>
      <w:r>
        <w:rPr>
          <w:rFonts w:ascii="Arial" w:cs="Arial" w:eastAsia="Arial" w:hAnsi="Arial"/>
          <w:sz w:val="16"/>
          <w:szCs w:val="16"/>
          <w:b w:val="1"/>
          <w:bCs w:val="1"/>
          <w:color w:val="auto"/>
        </w:rPr>
        <w:t>Interest Notice</w:t>
      </w:r>
      <w:r>
        <w:rPr>
          <w:rFonts w:ascii="Arial" w:cs="Arial" w:eastAsia="Arial" w:hAnsi="Arial"/>
          <w:sz w:val="16"/>
          <w:szCs w:val="16"/>
          <w:color w:val="auto"/>
        </w:rPr>
        <w:t>”) to Sublessor no later than twelve (12) months prior to the expiration of the then current Term, stating that Sublessee is interested in exercising its option; (ii) Sublessor, after receipt of the Interest Notice, shall deliver notice (the “</w:t>
      </w:r>
      <w:r>
        <w:rPr>
          <w:rFonts w:ascii="Arial" w:cs="Arial" w:eastAsia="Arial" w:hAnsi="Arial"/>
          <w:sz w:val="16"/>
          <w:szCs w:val="16"/>
          <w:b w:val="1"/>
          <w:bCs w:val="1"/>
          <w:color w:val="auto"/>
        </w:rPr>
        <w:t>Option Rent</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Sublessee setting forth Sublessor’s determination of the Fair Market Rent; and (iii) if Sublessee wishes to exercise such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Sublessee shall, within thirty (30) days after Sublessee’s receipt of the Option Rent Notice, exercise the option by delivering the Option Notice to Sublessor and upon, and concurrent with, such exercise, Sublessee may, at its option, object to the Option Rent determined by</w:t>
      </w:r>
    </w:p>
    <w:p>
      <w:pPr>
        <w:sectPr>
          <w:pgSz w:w="11900" w:h="16838" w:orient="portrait"/>
          <w:cols w:equalWidth="0" w:num="1">
            <w:col w:w="10956"/>
          </w:cols>
          <w:pgMar w:left="444" w:top="274" w:right="499" w:bottom="1440" w:gutter="0" w:footer="0" w:header="0"/>
        </w:sectPr>
      </w:pPr>
    </w:p>
    <w:bookmarkStart w:id="667" w:name="page668"/>
    <w:bookmarkEnd w:id="667"/>
    <w:p>
      <w:pPr>
        <w:ind w:left="876"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Sublessor. If Sublessee exercises the option to extend but objects to the Fair Market Rent contained in the Option Rent Notice, then the Fair Market Rent shall be determined as set forth in Section (B) below. Failure of Sublessee to deliver the Interest Notice to Sublessor on or before the date specified in (i) above or to deliver the Option Notice to Sublessor on or before the date specified in (iii) above shall be deemed to constitute Sublessee’s failure to exercise its option to extend. If Sublessee timely and properly exercises its option to extend, the Term, subject to Section (B) below, shall be extended for the upon all of the terms and conditions set forth in this Sublease, except that the Base Rent shall be as indicated in the Option Rent Notice or as determined in accordance with Section (B), as applicable, and all references herein to the Term shall include the option term.</w:t>
      </w:r>
    </w:p>
    <w:p>
      <w:pPr>
        <w:spacing w:after="0" w:line="83" w:lineRule="exact"/>
        <w:rPr>
          <w:sz w:val="20"/>
          <w:szCs w:val="20"/>
          <w:color w:val="auto"/>
        </w:rPr>
      </w:pPr>
    </w:p>
    <w:p>
      <w:pPr>
        <w:ind w:left="856" w:right="180" w:hanging="424"/>
        <w:spacing w:after="0" w:line="279" w:lineRule="auto"/>
        <w:tabs>
          <w:tab w:leader="none" w:pos="856" w:val="left"/>
        </w:tabs>
        <w:numPr>
          <w:ilvl w:val="1"/>
          <w:numId w:val="552"/>
        </w:numPr>
        <w:rPr>
          <w:rFonts w:ascii="Arial" w:cs="Arial" w:eastAsia="Arial" w:hAnsi="Arial"/>
          <w:sz w:val="17"/>
          <w:szCs w:val="17"/>
          <w:color w:val="auto"/>
        </w:rPr>
      </w:pPr>
      <w:r>
        <w:rPr>
          <w:rFonts w:ascii="Arial" w:cs="Arial" w:eastAsia="Arial" w:hAnsi="Arial"/>
          <w:sz w:val="17"/>
          <w:szCs w:val="17"/>
          <w:color w:val="auto"/>
        </w:rPr>
        <w:t>In the event Sublessee exercises its option to extend but objects to Sublessor’s determination of the Fair Market Rent concurrently with its exercise of the option to extend, Sublessor and Sublessee shall attempt to agree in good faith upon the Fair Market Rent. If Sublessor and Sublessee fail to reach agreement within twenty (20) days following Sublessee’s delivery of the Option Notice (the “</w:t>
      </w:r>
      <w:r>
        <w:rPr>
          <w:rFonts w:ascii="Arial" w:cs="Arial" w:eastAsia="Arial" w:hAnsi="Arial"/>
          <w:sz w:val="17"/>
          <w:szCs w:val="17"/>
          <w:b w:val="1"/>
          <w:bCs w:val="1"/>
          <w:color w:val="auto"/>
        </w:rPr>
        <w:t>Outside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Sublessee’s exercise of the option to extend shall be rescinded and the Term shall not be extended.</w:t>
      </w:r>
    </w:p>
    <w:p>
      <w:pPr>
        <w:spacing w:after="0" w:line="76" w:lineRule="exact"/>
        <w:rPr>
          <w:rFonts w:ascii="Arial" w:cs="Arial" w:eastAsia="Arial" w:hAnsi="Arial"/>
          <w:sz w:val="17"/>
          <w:szCs w:val="17"/>
          <w:color w:val="auto"/>
        </w:rPr>
      </w:pPr>
    </w:p>
    <w:p>
      <w:pPr>
        <w:ind w:left="856" w:hanging="424"/>
        <w:spacing w:after="0" w:line="277" w:lineRule="auto"/>
        <w:tabs>
          <w:tab w:leader="none" w:pos="856" w:val="left"/>
        </w:tabs>
        <w:numPr>
          <w:ilvl w:val="1"/>
          <w:numId w:val="552"/>
        </w:numPr>
        <w:rPr>
          <w:rFonts w:ascii="Arial" w:cs="Arial" w:eastAsia="Arial" w:hAnsi="Arial"/>
          <w:sz w:val="18"/>
          <w:szCs w:val="18"/>
          <w:color w:val="auto"/>
        </w:rPr>
      </w:pPr>
      <w:r>
        <w:rPr>
          <w:rFonts w:ascii="Arial" w:cs="Arial" w:eastAsia="Arial" w:hAnsi="Arial"/>
          <w:sz w:val="18"/>
          <w:szCs w:val="18"/>
          <w:color w:val="auto"/>
        </w:rPr>
        <w:t>The exercise of the option is expressly contingent upon the receipt of Lessor’s consent to the extension of the Term of this Sublease pursuant to the terms of the Master Lease.</w:t>
      </w:r>
    </w:p>
    <w:p>
      <w:pPr>
        <w:spacing w:after="0" w:line="75" w:lineRule="exact"/>
        <w:rPr>
          <w:rFonts w:ascii="Arial" w:cs="Arial" w:eastAsia="Arial" w:hAnsi="Arial"/>
          <w:sz w:val="18"/>
          <w:szCs w:val="18"/>
          <w:color w:val="auto"/>
        </w:rPr>
      </w:pPr>
    </w:p>
    <w:p>
      <w:pPr>
        <w:ind w:left="856" w:right="180" w:hanging="424"/>
        <w:spacing w:after="0" w:line="302" w:lineRule="auto"/>
        <w:tabs>
          <w:tab w:leader="none" w:pos="856" w:val="left"/>
        </w:tabs>
        <w:numPr>
          <w:ilvl w:val="1"/>
          <w:numId w:val="552"/>
        </w:numPr>
        <w:rPr>
          <w:rFonts w:ascii="Arial" w:cs="Arial" w:eastAsia="Arial" w:hAnsi="Arial"/>
          <w:sz w:val="16"/>
          <w:szCs w:val="16"/>
          <w:color w:val="auto"/>
        </w:rPr>
      </w:pPr>
      <w:r>
        <w:rPr>
          <w:rFonts w:ascii="Arial" w:cs="Arial" w:eastAsia="Arial" w:hAnsi="Arial"/>
          <w:sz w:val="16"/>
          <w:szCs w:val="16"/>
          <w:color w:val="auto"/>
        </w:rPr>
        <w:t>Except for the option specifically set forth above, nothing herein shall be construed as permitting Sublessee to exercise any extension or renewal rights or to exercise any right of first refusal or expansion, if any such rights exist, and in no event shall Sublessor be obligated to extend the term of the Master Lease for any reason. In addition, in the event the Master Lease allows Sublessor the option to terminate the Master Lease early, Sublessor’s exercise of that option shall not be a default under this Sublease.</w:t>
      </w:r>
    </w:p>
    <w:p>
      <w:pPr>
        <w:spacing w:after="0" w:line="298" w:lineRule="exact"/>
        <w:rPr>
          <w:rFonts w:ascii="Arial" w:cs="Arial" w:eastAsia="Arial" w:hAnsi="Arial"/>
          <w:sz w:val="16"/>
          <w:szCs w:val="16"/>
          <w:color w:val="auto"/>
        </w:rPr>
      </w:pPr>
    </w:p>
    <w:p>
      <w:pPr>
        <w:ind w:left="436" w:hanging="436"/>
        <w:spacing w:after="0"/>
        <w:tabs>
          <w:tab w:leader="none" w:pos="436"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SIGNAGE.</w:t>
      </w:r>
    </w:p>
    <w:p>
      <w:pPr>
        <w:spacing w:after="0" w:line="121" w:lineRule="exact"/>
        <w:rPr>
          <w:rFonts w:ascii="Arial" w:cs="Arial" w:eastAsia="Arial" w:hAnsi="Arial"/>
          <w:sz w:val="18"/>
          <w:szCs w:val="18"/>
          <w:b w:val="1"/>
          <w:bCs w:val="1"/>
          <w:color w:val="auto"/>
        </w:rPr>
      </w:pPr>
    </w:p>
    <w:p>
      <w:pPr>
        <w:jc w:val="both"/>
        <w:ind w:left="436"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Subject to the approval and consent of the Lessor, which Lessor is not obligated to grant pursuant to the Master Lease, Sublessee shall be allowed to install Building top signage on the exterior of the Building at Sublessee’s sole expense and in accordance with Section 38 of the Master Lease. Sublessor will have approval rights as to the Sublessee signage and Sublessee will be responsible for</w:t>
      </w:r>
    </w:p>
    <w:p>
      <w:pPr>
        <w:sectPr>
          <w:pgSz w:w="11900" w:h="16838" w:orient="portrait"/>
          <w:cols w:equalWidth="0" w:num="1">
            <w:col w:w="10996"/>
          </w:cols>
          <w:pgMar w:left="444" w:top="274" w:right="459" w:bottom="1440" w:gutter="0" w:footer="0" w:header="0"/>
        </w:sectPr>
      </w:pPr>
    </w:p>
    <w:bookmarkStart w:id="668" w:name="page669"/>
    <w:bookmarkEnd w:id="668"/>
    <w:p>
      <w:pPr>
        <w:ind w:left="436"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obtaining all required consents and approvals for such sign. The costs associated with the purchase, installation, maintenance and eventual removal of such signage shall be borne by Sublessee. Sublessor, at Sublessor’s sole expense, shall provide Building standard lobby directory and suite identification signage, subject to the terms of the Master Lease and Lessor approval.</w:t>
      </w:r>
    </w:p>
    <w:p>
      <w:pPr>
        <w:spacing w:after="0" w:line="326" w:lineRule="exact"/>
        <w:rPr>
          <w:sz w:val="20"/>
          <w:szCs w:val="20"/>
          <w:color w:val="auto"/>
        </w:rPr>
      </w:pPr>
    </w:p>
    <w:p>
      <w:pPr>
        <w:ind w:left="436" w:hanging="436"/>
        <w:spacing w:after="0"/>
        <w:tabs>
          <w:tab w:leader="none" w:pos="436" w:val="left"/>
        </w:tabs>
        <w:numPr>
          <w:ilvl w:val="0"/>
          <w:numId w:val="554"/>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 OF SUBLEASE.</w:t>
      </w:r>
    </w:p>
    <w:p>
      <w:pPr>
        <w:spacing w:after="0" w:line="121" w:lineRule="exact"/>
        <w:rPr>
          <w:rFonts w:ascii="Arial" w:cs="Arial" w:eastAsia="Arial" w:hAnsi="Arial"/>
          <w:sz w:val="18"/>
          <w:szCs w:val="18"/>
          <w:b w:val="1"/>
          <w:bCs w:val="1"/>
          <w:color w:val="auto"/>
        </w:rPr>
      </w:pPr>
    </w:p>
    <w:p>
      <w:pPr>
        <w:ind w:left="436"/>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All applicable terms and conditions of the Master Lease are incorporated into and made a part of this Sublease as if Sublessor were the lessor thereunder (provided that under no circumstance shall Sublessor be responsible or liable in any way for the failure of the Lessor to perform any acts required under the Master Lease or to supply any item, including, but not limited to, any utility or service to the subleased Premises and no such failure will in any way excuse Sublessee’s performance under this Sublease or entitle Sublessee to any abatement of rent or other charge, except as may be expressly permitted by the terms of the Master Lease), Sublessee the lessee thereunder, and the Premises the Master Premises, except for the following: All sections of the summary except the definitions of Building, Project, Rentable Area of Building and Rentable Area of Project and Permitted Use, Sections 2, 4, the second paragraph of Section 31, Sections 38, 39, 42, 43 and Exhibits A, C, F and G of the Master Lease and Sections 1, 2, 8 and 9 of the First Amendment. Sublessee assumes and agrees to perform the lessee’s obligations under the Master Lease during the Term to the extent that such obligations are applicable to the Premises, except that the obligation to pay rent to Lessor under the Master Lease shall be considered performed by Sublessee to the extent and in the amount rent is paid to Sublessor in accordance with Section 6 of this Sublease. Sublessee shall not commit or suffer any act or omission that will violate any of the provisions of the Master Lease. Sublessor shall use commercially reasonable efforts, at Sublessee sole cost, to cause Lessor to perform its obligations under the Master Lease for the benefit of Sublessee. Sublessor shall not enter into a voluntary termination of the Master Lease as to the Sublease Premises without Sublessee’s prior consent, not to be unreasonably withheld. Notwithstanding the foregoing, Sublessor may assign or transfer the Master Lease without the consent of Sublessee and from and after the effective date of such transfer or assignment, Sublessee will look solely to such transferee or assignee for the performance of the obligation of Sublessor hereunder and Sublessor shall be released on all further obligations under this Sublease. If the Master Lease gives Sublessor any right to terminate the Master Lease in the event of the partial or total damage, destruction, or condemnation of the Master Premises or the building or project of which the Master Premises are a part, the exercise of such right by Sublessor shall not constitute a default or breach hereunder. If the Master Lease terminates for any reason (other than a default by Sublessor under the Master Lease), this Sublease will terminate on the same date as the Master Lease, and Sublessor will have no liability to Sublessee on account of such termination. In all provisions of the Master Lease requiring tenant to submit, exhibit to, supply or provide Lessor with evidence, certificates, or any other matter or thing, Sublessee shall be required to submit, exhibit to, supply or provide, as the case may be, the same to both Lessor and Sublessor.</w:t>
      </w:r>
    </w:p>
    <w:p>
      <w:pPr>
        <w:sectPr>
          <w:pgSz w:w="11900" w:h="16838" w:orient="portrait"/>
          <w:cols w:equalWidth="0" w:num="1">
            <w:col w:w="10976"/>
          </w:cols>
          <w:pgMar w:left="444" w:top="275" w:right="479" w:bottom="1440" w:gutter="0" w:footer="0" w:header="0"/>
        </w:sectPr>
      </w:pPr>
    </w:p>
    <w:bookmarkStart w:id="669" w:name="page670"/>
    <w:bookmarkEnd w:id="669"/>
    <w:p>
      <w:pPr>
        <w:ind w:left="436" w:hanging="436"/>
        <w:spacing w:after="0"/>
        <w:tabs>
          <w:tab w:leader="none" w:pos="436"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DEPOSIT</w:t>
      </w:r>
    </w:p>
    <w:p>
      <w:pPr>
        <w:spacing w:after="0" w:line="121" w:lineRule="exact"/>
        <w:rPr>
          <w:rFonts w:ascii="Arial" w:cs="Arial" w:eastAsia="Arial" w:hAnsi="Arial"/>
          <w:sz w:val="18"/>
          <w:szCs w:val="18"/>
          <w:b w:val="1"/>
          <w:bCs w:val="1"/>
          <w:color w:val="auto"/>
        </w:rPr>
      </w:pPr>
    </w:p>
    <w:p>
      <w:pPr>
        <w:ind w:left="436"/>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Concurrently with Sublessee’s execution of this Sublease, Sublessee shall deposit with Sublessor the sum of $424,644.28 as a security deposit (the “Security Deposit”) for the performance by Sublessee of its obligations under this Sublease. If Sublessee is in default, Sublessor may use the Security Deposit, or any portion of it, to cure the default or to compensate Sublessor for all damage sustained by Sublessor resulting from Sublessee’s default. Sublessee shall immediately on demand pay to Sublessor a sum equal to the portion of the Security Deposit expended or applied by Sublessor as provided in this Section so as to maintain the Security Deposit in the sum initially deposited with Sublessor. If Sublessee is not in default at the expiration or termination of this Sublease, Sublessor shall return the Security Deposit to Sublessee. Sublessor’s obligations with respect to the Security Deposit are those of a debtor and not a trustee. Sublessor may maintain the Security Deposit separate and apart from Sublessor’s general and other funds or may commingle the Security Deposit with Sublessor’s general and other funds. Sublessor shall not be required to pay Sublessee any interest on the Security Deposit. Sublessee hereby waives the provisions of Section 1950.7 of the California Civil Code and all other provisions of law, now or hereafter in force, which provide that Sublessor may claim from a security deposit only those sums reasonably necessary to remedy defaults in the payment of rent, to repair damage caused by Sublessee or to clean the Premises.</w:t>
      </w:r>
    </w:p>
    <w:p>
      <w:pPr>
        <w:spacing w:after="0" w:line="172" w:lineRule="exact"/>
        <w:rPr>
          <w:rFonts w:ascii="Arial" w:cs="Arial" w:eastAsia="Arial" w:hAnsi="Arial"/>
          <w:sz w:val="18"/>
          <w:szCs w:val="18"/>
          <w:b w:val="1"/>
          <w:bCs w:val="1"/>
          <w:color w:val="auto"/>
        </w:rPr>
      </w:pPr>
    </w:p>
    <w:p>
      <w:pPr>
        <w:ind w:left="436" w:right="2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Notwithstanding the foregoing, at any time after the end of the third (3</w:t>
      </w:r>
      <w:r>
        <w:rPr>
          <w:rFonts w:ascii="Arial" w:cs="Arial" w:eastAsia="Arial" w:hAnsi="Arial"/>
          <w:sz w:val="14"/>
          <w:szCs w:val="14"/>
          <w:color w:val="auto"/>
        </w:rPr>
        <w:t>rd</w:t>
      </w:r>
      <w:r>
        <w:rPr>
          <w:rFonts w:ascii="Arial" w:cs="Arial" w:eastAsia="Arial" w:hAnsi="Arial"/>
          <w:sz w:val="17"/>
          <w:szCs w:val="17"/>
          <w:color w:val="auto"/>
        </w:rPr>
        <w:t>) year of the Term of this Sublease, Sublessee may elect to replace the cash Security Deposit with a letter of credit satisfying the terms of this Section, in which case Sublessor will return the cash Security Deposit to Sublessee within ten (10) business days after its receipt of a letter of credit meeting the terms of this Sublease. If Sublessee elects to pursue this option, Sublessee shall provide to Sublessor an unconditional, irrevocable and renewable letter of credit in favor of Sublessor meeting the requirements of this Section below, in the amount of $424,644.28 (“Letter of Credit”).</w:t>
      </w:r>
    </w:p>
    <w:p>
      <w:pPr>
        <w:spacing w:after="0" w:line="172" w:lineRule="exact"/>
        <w:rPr>
          <w:rFonts w:ascii="Arial" w:cs="Arial" w:eastAsia="Arial" w:hAnsi="Arial"/>
          <w:sz w:val="18"/>
          <w:szCs w:val="18"/>
          <w:b w:val="1"/>
          <w:bCs w:val="1"/>
          <w:color w:val="auto"/>
        </w:rPr>
      </w:pPr>
    </w:p>
    <w:p>
      <w:pPr>
        <w:ind w:left="4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Letter of Credit will be in the form attached hereto as Exhibit ‘D’, issued by a financial institution satisfactory to Sublessor to be held by Sublessor in accordance with the terms, provisions and conditions of this Sublease. Sublessee shall pay all expenses, points and/or fees incurred by Sublessee in obtaining and maintaining the Letter of Credit. If the Letter of Credit delivered by Sublessee is inconsistent with the form attached hereto as Exhibit ‘D’ (including, without limitation, the wrong name or address for the Beneficiary), Sublessor may so notify Sublessee in writing, in which case Sublessee shall cause the Letter of Credit to be corrected</w:t>
      </w:r>
    </w:p>
    <w:p>
      <w:pPr>
        <w:sectPr>
          <w:pgSz w:w="11900" w:h="16838" w:orient="portrait"/>
          <w:cols w:equalWidth="0" w:num="1">
            <w:col w:w="10996"/>
          </w:cols>
          <w:pgMar w:left="444" w:top="270" w:right="459" w:bottom="1440" w:gutter="0" w:footer="0" w:header="0"/>
        </w:sectPr>
      </w:pPr>
    </w:p>
    <w:bookmarkStart w:id="670" w:name="page671"/>
    <w:bookmarkEnd w:id="670"/>
    <w:p>
      <w:pPr>
        <w:ind w:right="2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five (5) business days after such notice. If the issuer of the Letter of Credit is declared to be insolvent by the Federal Deposit Insurance Corporation (or any comparable institution) or becomes a debtor in any case or proceeding under the Bankruptcy Code or any similar law or statute, or ceases to conduct business for any reason, Sublessor may so notify Sublessee, in which case Sublessee shall, within five (5) business days after such notice from Sublessor, provide Sublessor with a new Letter of Credit which otherwise meets the requirements of this Section.</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Letter of Credit shall state that an authorized officer or other representative of Sublessor may make demand on Sublessor’s behalf for the principal amount of the Letter of Credit, or any portion thereof, and that the issuing bank must immediately honor such demand, without qualification or satisfaction of any conditions, except the proper identification of the party making such demand. In addition, the Letter of Credit shall indicate that it is transferable in its entirety by Sublessor as beneficiary and that upon receiving written notice of transfer, and upon presentation to the issuing bank of the original Letter of Credit, the issuer or confirming bank will reissue the Letter of Credit naming such transferee as the beneficiary. Sublessee shall be responsible for the payment to the issuing bank of any transfer costs imposed by the issuing bank in connection with any such transfer. If (A) the term of the Letter of Credit held by Sublessor will expire prior to sixty (60) days following the last day of the Term and the Letter of Credit is not extended, or a new Letter of Credit for an extended period of time is not substituted, in either case at least sixty (60) days prior to the expiration of the Letter of Credit, or (B) Sublessee commits a default with respect to any provision of the Master Lease or this Sublease, including the filing of a voluntary petition under Title 11 of the United States Code (i.e., the Bankruptcy Code), or otherwise becomes a debtor in any case or proceeding under the Bankruptcy Code, as now existing or hereinafter amended, or any similar law or statute, Sublessor may (but shall not be required to) draw upon all or any portion of the Letter of Credit, and the proceeds received from such draw shall constitute Sublessor’s property (and not Sublessee’s property or the property of the bankruptcy estate of Sublessee) and Sublessor may then use, apply or retain all or any part of the proceeds (1) for the payment of any sum which is in default, (2) to reimburse Sublessor for costs incurred by Sublessor in connection with this Sublease, (3) for the payment of any other amount which Sublessor may spend or become obligated to spend by reason of such default, (4) to compensate Sublessor for any loss or damage which Sublessor may suffer by reason of such default or (5) as prepaid rent to be applied against the Base Rent and Additional Rent obligations for the last month of the Term and the immediately preceding month(s) of the Term until the remaining proceeds are exhausted. If any portion of the Letter of Credit proceeds are so used or applied, Sublessee shall, within ten (10) days after demand therefor, post an additional Letter of Credit in an amount to cause the aggregate amount of the unused proceeds and such new Letter of Credit to equal the Stated Amount</w:t>
      </w:r>
    </w:p>
    <w:p>
      <w:pPr>
        <w:sectPr>
          <w:pgSz w:w="11900" w:h="16838" w:orient="portrait"/>
          <w:cols w:equalWidth="0" w:num="1">
            <w:col w:w="10580"/>
          </w:cols>
          <w:pgMar w:left="880" w:top="274" w:right="439" w:bottom="1440" w:gutter="0" w:footer="0" w:header="0"/>
        </w:sectPr>
      </w:pPr>
    </w:p>
    <w:bookmarkStart w:id="671" w:name="page672"/>
    <w:bookmarkEnd w:id="67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in this Section above. Sublessor shall not be required to keep any proceeds from the Letter of Credit separate from its general</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funds. Should Sublessor assign its interest in the Master Lease during the Term and if Sublessor deposits with the assignee thereof the Letter of Credit or any proceeds of the Letter of Credit, thereupon Sublessor shall be discharged from any further liability with respect to the Letter of Credit and said proceeds and Sublessee shall look solely to such transferee for the return of the Letter of Credit or any proceeds therefrom. The Letter of Credit or any remaining proceeds of the Letter of Credit held by Sublessor after expiration of the Term, after any deductions described in this Section above, shall be returned to Sublessee or, at Sublessor’s option, to the last assignee of Sublessee’s interest hereunder, within sixty (60) days following the expiration of the Term.</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use, application or retention of the Letter of Credit, the proceeds or any portion thereof, shall not prevent Sublessor from exercising any other rights or remedies provided under this Sublease, it being intended that Sublessor shall not be required to proceed against the Letter of Credit, and such use, application or retention of the Letter of Credit shall not operate as a limitation on any recovery to which Sublessor may otherwise be entitled. No trust relationship is created herein between Sublessor and Sublessee with respect to the Letter of Credit.</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Sublessor and Sublessee acknowledge and agree that in no event or circumstance shall the Letter of Credit, any renewal thereof or substitute therefor or the proceeds thereof be (i) deemed to be or treated as a “security deposit” within the meaning of California Civil Code Section 1950.7,</w:t>
      </w:r>
    </w:p>
    <w:p>
      <w:pPr>
        <w:ind w:firstLine="4"/>
        <w:spacing w:after="0" w:line="286" w:lineRule="auto"/>
        <w:tabs>
          <w:tab w:leader="none" w:pos="265" w:val="left"/>
        </w:tabs>
        <w:numPr>
          <w:ilvl w:val="0"/>
          <w:numId w:val="556"/>
        </w:numPr>
        <w:rPr>
          <w:rFonts w:ascii="Arial" w:cs="Arial" w:eastAsia="Arial" w:hAnsi="Arial"/>
          <w:sz w:val="16"/>
          <w:szCs w:val="16"/>
          <w:color w:val="auto"/>
        </w:rPr>
      </w:pPr>
      <w:r>
        <w:rPr>
          <w:rFonts w:ascii="Arial" w:cs="Arial" w:eastAsia="Arial" w:hAnsi="Arial"/>
          <w:sz w:val="16"/>
          <w:szCs w:val="16"/>
          <w:color w:val="auto"/>
        </w:rPr>
        <w:t>subject to the terms of such Section 1950.7, or (iii) intended to serve as a “security deposit” within the meaning of such Section 1950.7. The parties hereto (A) recite that the Letter of Credit is not intended to serve as a security deposit and such Section 1950.7 and any and all other laws, rules and regulations applicable to security deposits in the commercial context (“</w:t>
      </w:r>
      <w:r>
        <w:rPr>
          <w:rFonts w:ascii="Arial" w:cs="Arial" w:eastAsia="Arial" w:hAnsi="Arial"/>
          <w:sz w:val="16"/>
          <w:szCs w:val="16"/>
          <w:b w:val="1"/>
          <w:bCs w:val="1"/>
          <w:color w:val="auto"/>
        </w:rPr>
        <w:t>Security Deposit Laws</w:t>
      </w:r>
      <w:r>
        <w:rPr>
          <w:rFonts w:ascii="Arial" w:cs="Arial" w:eastAsia="Arial" w:hAnsi="Arial"/>
          <w:sz w:val="16"/>
          <w:szCs w:val="16"/>
          <w:color w:val="auto"/>
        </w:rPr>
        <w:t>”) shall have no applicability or relevancy thereto and (B) waive any and all rights, duties and obligations either party may now or, in the future, will have relating to or arising from the Security Deposit Laws. Notwithstanding the foregoing, to the extent California Civil Code Section 1950.7 in any way: (a) is applicable to this Lease or the Letter of Credit (or any proceeds thereof); or (b) controls Sublessor’s rights to draw on the Letter of Credit or apply the proceeds of the Letter of Credit to any amounts due under the Lease or any damages Sublessor may suffer following termination of this Lease, then Sublessee fully and irrevocably waives the benefits and protections of Section 1950.7 of the California Civil Code, it being agreed that Sublessor may recover from the Letter of Credit (or its proceeds) all of Sublessor’s damages under this Sublease and California law including, but not limited to, any damages accruing upon the termination of this Sublease in accordance with this Lease and Section 1951.2 of the California Civil Code.</w:t>
      </w:r>
    </w:p>
    <w:p>
      <w:pPr>
        <w:sectPr>
          <w:pgSz w:w="11900" w:h="16838" w:orient="portrait"/>
          <w:cols w:equalWidth="0" w:num="1">
            <w:col w:w="10560"/>
          </w:cols>
          <w:pgMar w:left="880" w:top="273" w:right="459" w:bottom="1440" w:gutter="0" w:footer="0" w:header="0"/>
        </w:sectPr>
      </w:pPr>
    </w:p>
    <w:bookmarkStart w:id="672" w:name="page673"/>
    <w:bookmarkEnd w:id="672"/>
    <w:p>
      <w:pPr>
        <w:ind w:left="436" w:hanging="436"/>
        <w:spacing w:after="0"/>
        <w:tabs>
          <w:tab w:leader="none" w:pos="436"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INDEMIFICATION</w:t>
      </w:r>
    </w:p>
    <w:p>
      <w:pPr>
        <w:spacing w:after="0" w:line="121" w:lineRule="exact"/>
        <w:rPr>
          <w:rFonts w:ascii="Arial" w:cs="Arial" w:eastAsia="Arial" w:hAnsi="Arial"/>
          <w:sz w:val="18"/>
          <w:szCs w:val="18"/>
          <w:b w:val="1"/>
          <w:bCs w:val="1"/>
          <w:color w:val="auto"/>
        </w:rPr>
      </w:pPr>
    </w:p>
    <w:p>
      <w:pPr>
        <w:ind w:left="436"/>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addition to any indemnity obligations set forth in the Master Lease and incorporated by reference herein and not in limitation thereof, Sublessee shall indemnify, protect, defend and hold harmless the Premises, Lessor and Sublessor and their agents, partners and lenders, from and against any and all Claims (as defined in the Master Lease) arising out of, involving, or in connection with, the use and/or occupancy of the Premises by Sublessee or Sublessee’s failure to perform or observe any of the terms and conditions of the Master Lease or this Sublease; provided that nothing in the foregoing will require Sublessee to indemnify Sublessor for any Claims to the extent arising out of the negligence or willful misconduct of Sublessor, its agents or employees. If any action or proceeding is brought against Lessor or Sublessor by reason of any of the foregoing matters, Sublessee shall upon notice defend the same at Sublessee’s expense by counsel reasonably satisfactory to Lessor and Sublessor, and Sublessor shall cooperate with Sublessee in such defense. Sublessor will indemnify Sublessee for Sublessor’s breach of Sublessor’s obligations under the Master Lease to the extent such breach was not caused or contributed to by Sublessee, its agents or employees. Nothing in this Section shall be deemed to affect Sublessor’s right to indemnification for liability or liabilities arising prior to termination of this Sublease for personal injury or property damage under any other indemnification or other provision of this Sublease.</w:t>
      </w:r>
    </w:p>
    <w:p>
      <w:pPr>
        <w:spacing w:after="0" w:line="317" w:lineRule="exact"/>
        <w:rPr>
          <w:rFonts w:ascii="Arial" w:cs="Arial" w:eastAsia="Arial" w:hAnsi="Arial"/>
          <w:sz w:val="18"/>
          <w:szCs w:val="18"/>
          <w:b w:val="1"/>
          <w:bCs w:val="1"/>
          <w:color w:val="auto"/>
        </w:rPr>
      </w:pPr>
    </w:p>
    <w:p>
      <w:pPr>
        <w:ind w:left="436" w:hanging="436"/>
        <w:spacing w:after="0"/>
        <w:tabs>
          <w:tab w:leader="none" w:pos="436"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rFonts w:ascii="Arial" w:cs="Arial" w:eastAsia="Arial" w:hAnsi="Arial"/>
          <w:sz w:val="18"/>
          <w:szCs w:val="18"/>
          <w:b w:val="1"/>
          <w:bCs w:val="1"/>
          <w:color w:val="auto"/>
        </w:rPr>
      </w:pPr>
    </w:p>
    <w:p>
      <w:pPr>
        <w:ind w:left="436"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Sublessee will be required to obtain all of the types and levels of insurance required pursuant to Article 17 of the Master Lease; provided that Sublessee’s general liability insurance will name Sublessor as an additional insured in addition to naming the Landlord Parties (as defined in the Master Lease). Sublessee shall provide Sublessor with proof of such insurance coverage before the execution of this Sublease and prior to occupancy of the Premises, and the waiver of subrogation contained in Article 17 of the Master Lease shall apply in favor of both Sublessor and Lessor.</w:t>
      </w:r>
    </w:p>
    <w:p>
      <w:pPr>
        <w:spacing w:after="0" w:line="332" w:lineRule="exact"/>
        <w:rPr>
          <w:rFonts w:ascii="Arial" w:cs="Arial" w:eastAsia="Arial" w:hAnsi="Arial"/>
          <w:sz w:val="18"/>
          <w:szCs w:val="18"/>
          <w:b w:val="1"/>
          <w:bCs w:val="1"/>
          <w:color w:val="auto"/>
        </w:rPr>
      </w:pPr>
    </w:p>
    <w:p>
      <w:pPr>
        <w:ind w:left="436" w:hanging="436"/>
        <w:spacing w:after="0"/>
        <w:tabs>
          <w:tab w:leader="none" w:pos="436"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ATTORNEYS’ FEES.</w:t>
      </w:r>
    </w:p>
    <w:p>
      <w:pPr>
        <w:spacing w:after="0" w:line="121" w:lineRule="exact"/>
        <w:rPr>
          <w:rFonts w:ascii="Arial" w:cs="Arial" w:eastAsia="Arial" w:hAnsi="Arial"/>
          <w:sz w:val="18"/>
          <w:szCs w:val="18"/>
          <w:b w:val="1"/>
          <w:bCs w:val="1"/>
          <w:color w:val="auto"/>
        </w:rPr>
      </w:pPr>
    </w:p>
    <w:p>
      <w:pPr>
        <w:ind w:left="436"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Sublessor or Sublessee shall commence legal action against the other arising out of or in connection with this Sublease, the prevailing party shall be entitled to recover its costs of suit and reasonable attorneys’ fees.</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AGENCY DISCLOSURE.</w:t>
      </w:r>
    </w:p>
    <w:p>
      <w:pPr>
        <w:spacing w:after="0" w:line="121" w:lineRule="exact"/>
        <w:rPr>
          <w:rFonts w:ascii="Arial" w:cs="Arial" w:eastAsia="Arial" w:hAnsi="Arial"/>
          <w:sz w:val="18"/>
          <w:szCs w:val="18"/>
          <w:b w:val="1"/>
          <w:bCs w:val="1"/>
          <w:color w:val="auto"/>
        </w:rPr>
      </w:pPr>
    </w:p>
    <w:p>
      <w:pPr>
        <w:ind w:left="4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Sublessor and Sublessee each warrant that they have dealt with no other real estate broker in connection with this transaction except Jones Lang LaSalle, who represents Sublessor, and Hughes Marino, who represents Sublessee, collectively “Brokers” and that they know of no other real estate broker or agent who is entitled to a commission in connection with this Sublease. Each Party agrees to indemnify and defend the other Party against and hold the other Party harmless</w:t>
      </w:r>
    </w:p>
    <w:p>
      <w:pPr>
        <w:sectPr>
          <w:pgSz w:w="11900" w:h="16838" w:orient="portrait"/>
          <w:cols w:equalWidth="0" w:num="1">
            <w:col w:w="10996"/>
          </w:cols>
          <w:pgMar w:left="444" w:top="270" w:right="459" w:bottom="1440" w:gutter="0" w:footer="0" w:header="0"/>
        </w:sectPr>
      </w:pPr>
    </w:p>
    <w:bookmarkStart w:id="673" w:name="page674"/>
    <w:bookmarkEnd w:id="673"/>
    <w:p>
      <w:pPr>
        <w:ind w:left="436" w:right="2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from and against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The foregoing indemnity shall survive this Sublease. Sublessor will pay a commission to the Brokers on account of this Sublease pursuant to a separate written agreement.</w:t>
      </w:r>
    </w:p>
    <w:p>
      <w:pPr>
        <w:spacing w:after="0" w:line="299" w:lineRule="exact"/>
        <w:rPr>
          <w:sz w:val="20"/>
          <w:szCs w:val="20"/>
          <w:color w:val="auto"/>
        </w:rPr>
      </w:pPr>
    </w:p>
    <w:p>
      <w:pPr>
        <w:ind w:left="436" w:hanging="436"/>
        <w:spacing w:after="0"/>
        <w:tabs>
          <w:tab w:leader="none" w:pos="436"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WAIVER &amp; NOTICES.</w:t>
      </w:r>
    </w:p>
    <w:p>
      <w:pPr>
        <w:spacing w:after="0" w:line="121" w:lineRule="exact"/>
        <w:rPr>
          <w:rFonts w:ascii="Arial" w:cs="Arial" w:eastAsia="Arial" w:hAnsi="Arial"/>
          <w:sz w:val="18"/>
          <w:szCs w:val="18"/>
          <w:b w:val="1"/>
          <w:bCs w:val="1"/>
          <w:color w:val="auto"/>
        </w:rPr>
      </w:pPr>
    </w:p>
    <w:p>
      <w:pPr>
        <w:ind w:left="436"/>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No provision of or remedy under this Sublease may be waived or modified by either party unless expressly waived or modified in a writing signed by an officer of both parties. All notices and demands which may or are to be required or permitted to be given by either party on the other hereunder shall be in writing and delivered in accordance with Section 44(a) of the Master Lease. All notices and demands by the Sublessor to Sublessee shall be sent to the Sublessee at the Premises, Attention: General Counsel or to such other place as Sublessee may from time to time designate in a notice to the Sublessor. All notices and demands by the Sublessee to Sublessor shall be mailed to the Sublessor at the address set forth for notices in the Master Lease, and to such other person or place as the Sublessor may from time to time designate in a notice to the Sublessee. Copies of all notices and demands by the Lessor to either party alleging any default under the terms of the Master Lease or this Sublease shall be promptly provided to the other party. In all provisions of the Master Lease requiring that the tenant thereunder deliver notice to Lessor, Sublessee shall be required to deliver notice concurrently to Sublessor and Lessor.</w:t>
      </w:r>
    </w:p>
    <w:p>
      <w:pPr>
        <w:spacing w:after="0" w:line="326" w:lineRule="exact"/>
        <w:rPr>
          <w:rFonts w:ascii="Arial" w:cs="Arial" w:eastAsia="Arial" w:hAnsi="Arial"/>
          <w:sz w:val="18"/>
          <w:szCs w:val="18"/>
          <w:b w:val="1"/>
          <w:bCs w:val="1"/>
          <w:color w:val="auto"/>
        </w:rPr>
      </w:pPr>
    </w:p>
    <w:p>
      <w:pPr>
        <w:ind w:left="436" w:hanging="436"/>
        <w:spacing w:after="0"/>
        <w:tabs>
          <w:tab w:leader="none" w:pos="436"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p>
    <w:p>
      <w:pPr>
        <w:spacing w:after="0" w:line="121" w:lineRule="exact"/>
        <w:rPr>
          <w:rFonts w:ascii="Arial" w:cs="Arial" w:eastAsia="Arial" w:hAnsi="Arial"/>
          <w:sz w:val="18"/>
          <w:szCs w:val="18"/>
          <w:b w:val="1"/>
          <w:bCs w:val="1"/>
          <w:color w:val="auto"/>
        </w:rPr>
      </w:pPr>
    </w:p>
    <w:p>
      <w:pPr>
        <w:ind w:left="436"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Whenever the consent of Sublessor is required pursuant to the terms of this Sublease, including, without limitation, the terms of the Master Lease incorporated herein by reference, such consent shall not be unreasonably withheld, conditioned or delayed; provided that whenever Lessor’s consent to such request is also required pursuant to this Sublease or the Master Lease, (i) it shall be reasonable for Sublessor to withhold its consent if Lessor withholds its consent, (ii) it shall be reasonable for Sublessor to delay its consent or withholding of such consent until such time as Lessor has given or denied its consent, (iii) it shall be reasonable for Sublessor to condition its consent upon any conditions imposed by Lessor upon Lessor’s consent, and (iv) Sublessor shall not be liable for or subject to a suit for specific performance based on Sublessor’s withholding, conditioning or delaying of consent caused by Lessor withholding, conditioning or delaying its consent to the same request.</w:t>
      </w:r>
    </w:p>
    <w:p>
      <w:pPr>
        <w:sectPr>
          <w:pgSz w:w="11900" w:h="16838" w:orient="portrait"/>
          <w:cols w:equalWidth="0" w:num="1">
            <w:col w:w="10996"/>
          </w:cols>
          <w:pgMar w:left="444" w:top="275" w:right="459" w:bottom="1440" w:gutter="0" w:footer="0" w:header="0"/>
        </w:sectPr>
      </w:pPr>
    </w:p>
    <w:bookmarkStart w:id="674" w:name="page675"/>
    <w:bookmarkEnd w:id="674"/>
    <w:p>
      <w:pPr>
        <w:ind w:left="436" w:hanging="436"/>
        <w:spacing w:after="0"/>
        <w:tabs>
          <w:tab w:leader="none" w:pos="436"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LESSOR’S CONSENT.</w:t>
      </w:r>
    </w:p>
    <w:p>
      <w:pPr>
        <w:spacing w:after="0" w:line="242" w:lineRule="exact"/>
        <w:rPr>
          <w:rFonts w:ascii="Arial" w:cs="Arial" w:eastAsia="Arial" w:hAnsi="Arial"/>
          <w:sz w:val="18"/>
          <w:szCs w:val="18"/>
          <w:b w:val="1"/>
          <w:bCs w:val="1"/>
          <w:color w:val="auto"/>
        </w:rPr>
      </w:pPr>
    </w:p>
    <w:p>
      <w:pPr>
        <w:ind w:left="436"/>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This Sublease is subject to and contingent upon Lessor’s execution of a Consent to Sublease in a form reasonably acceptable to Sublessor and Sublessee within thirty (30) days of the date hereof. In the event Lessor does not so execute such Consent to Sublease within such time, either party may terminate this Sublease upon written notice to the other party, which termination will be effective upon receipt. If this Sublease is terminated pursuant to this Section 24, Sublessor shall return to Sublessee the Security Deposit and first month’s rent previously paid by Sublessee to Sublessor within fifteen (15) business days after the termination date, and neither party shall have any liability to the other on account of this Sublease or any other actions between the parties prior to the termination date. For clarity, in the event of a termination, Sublessee will not be entitled to any reimbursement for costs or expenses incurred by Sublessee, including without limitation, costs incurred for space planning, ordering of furniture, materials or similar items in preparation for occupancy of the Premises, and Sublessee agrees that Sublessor shall have no liability or responsibility in connection therewith.</w:t>
      </w:r>
    </w:p>
    <w:p>
      <w:pPr>
        <w:spacing w:after="0" w:line="326" w:lineRule="exact"/>
        <w:rPr>
          <w:rFonts w:ascii="Arial" w:cs="Arial" w:eastAsia="Arial" w:hAnsi="Arial"/>
          <w:sz w:val="18"/>
          <w:szCs w:val="18"/>
          <w:b w:val="1"/>
          <w:bCs w:val="1"/>
          <w:color w:val="auto"/>
        </w:rPr>
      </w:pPr>
    </w:p>
    <w:p>
      <w:pPr>
        <w:ind w:left="436" w:hanging="436"/>
        <w:spacing w:after="0"/>
        <w:tabs>
          <w:tab w:leader="none" w:pos="436"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121" w:lineRule="exact"/>
        <w:rPr>
          <w:rFonts w:ascii="Arial" w:cs="Arial" w:eastAsia="Arial" w:hAnsi="Arial"/>
          <w:sz w:val="18"/>
          <w:szCs w:val="18"/>
          <w:b w:val="1"/>
          <w:bCs w:val="1"/>
          <w:color w:val="auto"/>
        </w:rPr>
      </w:pPr>
    </w:p>
    <w:p>
      <w:pPr>
        <w:ind w:left="436"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Sublessee shall promptly comply with all Legal Requirements regulating Sublessee’s particular use, occupancy or improvement of the Premises. Sublessee shall be fully responsible for the cost of complying with all of the foregoing.</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MATERIALS.</w:t>
      </w:r>
    </w:p>
    <w:p>
      <w:pPr>
        <w:spacing w:after="0" w:line="121" w:lineRule="exact"/>
        <w:rPr>
          <w:rFonts w:ascii="Arial" w:cs="Arial" w:eastAsia="Arial" w:hAnsi="Arial"/>
          <w:sz w:val="18"/>
          <w:szCs w:val="18"/>
          <w:b w:val="1"/>
          <w:bCs w:val="1"/>
          <w:color w:val="auto"/>
        </w:rPr>
      </w:pPr>
    </w:p>
    <w:p>
      <w:pPr>
        <w:ind w:left="436" w:right="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Sublessee shall not use or allow the use of any substance which constitutes a Hazardous Material under the Master Lease, except in strict accordance with the terms and conditions of the Master Lease and subject to all required consents and approvals of Lessor. Sublessee acknowledges the provisions of the Master Lease disclosing certain Pre-Existing Hazardous Materials and the Contemplated Covenant (both as defined in the Master Lease), and agrees that Lessor shall be solely responsible for such items and Sublessee shall not look to Sublessor in connection with such items. Sublessee hereby waives and releases Sublessor from any and all Claims relating to the Pre-Existing Hazardous Materials and the Contemplated Covenant. If Sublessee knows, or has reasonable cause to believe, that a Hazardous Material has come to be located in, on, under or about the Premises in violation of applicable laws or the Master Lease, Sublessee shall immediately give written notice of such fact to Sublessor, and provide Sublessor with a copy of any report, notice, claim or other documentation which Sublessee has concerning the presence of such Hazardous Material. Upon the expiration of the Term of this Sublease, Sublessee will prepare a Surrender Plan (which will be subject to the approval of Lessor and Sublessor) and return the Premises to Sublessor free of any residual Hazardous Materials resulting from Sublessee’s use and occupancy of the Premises. Nothing in this Section 26 is intended to or will be construed to impose any liability on Sublessee for any violation of the terms of the Master Lease applicable to Hazardous Material which violation is caused solely by Sublessor, its agents or employees.</w:t>
      </w:r>
    </w:p>
    <w:p>
      <w:pPr>
        <w:sectPr>
          <w:pgSz w:w="11900" w:h="16838" w:orient="portrait"/>
          <w:cols w:equalWidth="0" w:num="1">
            <w:col w:w="11016"/>
          </w:cols>
          <w:pgMar w:left="444" w:top="270" w:right="439" w:bottom="1440" w:gutter="0" w:footer="0" w:header="0"/>
        </w:sectPr>
      </w:pPr>
    </w:p>
    <w:bookmarkStart w:id="675" w:name="page676"/>
    <w:bookmarkEnd w:id="675"/>
    <w:p>
      <w:pPr>
        <w:ind w:left="436" w:hanging="436"/>
        <w:spacing w:after="0"/>
        <w:tabs>
          <w:tab w:leader="none" w:pos="436"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w:t>
      </w:r>
    </w:p>
    <w:p>
      <w:pPr>
        <w:spacing w:after="0" w:line="117" w:lineRule="exact"/>
        <w:rPr>
          <w:rFonts w:ascii="Arial" w:cs="Arial" w:eastAsia="Arial" w:hAnsi="Arial"/>
          <w:sz w:val="18"/>
          <w:szCs w:val="18"/>
          <w:b w:val="1"/>
          <w:bCs w:val="1"/>
          <w:color w:val="auto"/>
        </w:rPr>
      </w:pPr>
    </w:p>
    <w:p>
      <w:pPr>
        <w:ind w:left="436"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occurrence of any of the following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constitute a material default and breach of this Sublease by Sublessee: (a) a default under the Master Lease due to Sublessee’s acts or omissions; (b) the breach of any of the provisions of Article 20 of the Master Lease. Upon any Event of Default under this Sublease, Sublessor shall have all of the remedies available to Lessor pursuant to the Master Lease, including without limitation the remedies enumerated in Article 21 of the Master Lease. All rights and remedies of Sublessor herein enumerated or incorporated by reference above shall be cumulative, and none shall exclude any other right or remedy allowed by law or in equity, and all of the following may be exercised with or without legal process as then may be provided or permitted by the laws of the State in which the Premises are situated.</w:t>
      </w:r>
    </w:p>
    <w:p>
      <w:pPr>
        <w:spacing w:after="0" w:line="337" w:lineRule="exact"/>
        <w:rPr>
          <w:rFonts w:ascii="Arial" w:cs="Arial" w:eastAsia="Arial" w:hAnsi="Arial"/>
          <w:sz w:val="18"/>
          <w:szCs w:val="18"/>
          <w:b w:val="1"/>
          <w:bCs w:val="1"/>
          <w:color w:val="auto"/>
        </w:rPr>
      </w:pPr>
    </w:p>
    <w:p>
      <w:pPr>
        <w:ind w:left="436" w:hanging="436"/>
        <w:spacing w:after="0"/>
        <w:tabs>
          <w:tab w:leader="none" w:pos="436"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HOLDOVER.</w:t>
      </w:r>
    </w:p>
    <w:p>
      <w:pPr>
        <w:spacing w:after="0" w:line="121" w:lineRule="exact"/>
        <w:rPr>
          <w:rFonts w:ascii="Arial" w:cs="Arial" w:eastAsia="Arial" w:hAnsi="Arial"/>
          <w:sz w:val="18"/>
          <w:szCs w:val="18"/>
          <w:b w:val="1"/>
          <w:bCs w:val="1"/>
          <w:color w:val="auto"/>
        </w:rPr>
      </w:pPr>
    </w:p>
    <w:p>
      <w:pPr>
        <w:ind w:left="436"/>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Notwithstanding any provision to the contrary contained in the Master Lease or this Sublease, (i) Sublessor expressly reserves the right to require Sublessee to surrender possession of the Premises upon the expiration of the Term or upon the earlier termination hereof and the right to assert any remedy at law or in equity to evict Sublessee and/or collect damages in connection with any such holding over, and (ii) Sublessee shall indemnify, defend and hold Sublessor harmless from and against any and all claims, demands, actions, losses, damages, obligations, costs and expenses, including, without limitation, attorneys’ fees incurred or suffered by Sublessor by reason of Sublessee’s failure to surrender the Premises on the expiration or earlier termination of this Sublease in accordance with the provisions of this Sublease, including the payment of all holdover rent and penalties chargeable pursuant to the Master Lease.</w:t>
      </w:r>
    </w:p>
    <w:p>
      <w:pPr>
        <w:spacing w:after="0" w:line="322" w:lineRule="exact"/>
        <w:rPr>
          <w:rFonts w:ascii="Arial" w:cs="Arial" w:eastAsia="Arial" w:hAnsi="Arial"/>
          <w:sz w:val="18"/>
          <w:szCs w:val="18"/>
          <w:b w:val="1"/>
          <w:bCs w:val="1"/>
          <w:color w:val="auto"/>
        </w:rPr>
      </w:pPr>
    </w:p>
    <w:p>
      <w:pPr>
        <w:ind w:left="436" w:hanging="436"/>
        <w:spacing w:after="0"/>
        <w:tabs>
          <w:tab w:leader="none" w:pos="436"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rFonts w:ascii="Arial" w:cs="Arial" w:eastAsia="Arial" w:hAnsi="Arial"/>
          <w:sz w:val="18"/>
          <w:szCs w:val="18"/>
          <w:b w:val="1"/>
          <w:bCs w:val="1"/>
          <w:color w:val="auto"/>
        </w:rPr>
      </w:pPr>
    </w:p>
    <w:p>
      <w:pPr>
        <w:ind w:left="436"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Sublease, including the Exhibits and documents referenced herein, contains the entire understanding of the parties with respect to the subject matter hereof and supersedes all prior agreements or understandings. This Sublease shall not be modified except in writing signed by both Sublessor and Sublessee.</w:t>
      </w:r>
    </w:p>
    <w:p>
      <w:pPr>
        <w:spacing w:after="0" w:line="325" w:lineRule="exact"/>
        <w:rPr>
          <w:rFonts w:ascii="Arial" w:cs="Arial" w:eastAsia="Arial" w:hAnsi="Arial"/>
          <w:sz w:val="18"/>
          <w:szCs w:val="18"/>
          <w:b w:val="1"/>
          <w:bCs w:val="1"/>
          <w:color w:val="auto"/>
        </w:rPr>
      </w:pPr>
    </w:p>
    <w:p>
      <w:pPr>
        <w:ind w:left="436" w:hanging="436"/>
        <w:spacing w:after="0"/>
        <w:tabs>
          <w:tab w:leader="none" w:pos="436"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p>
    <w:p>
      <w:pPr>
        <w:spacing w:after="0" w:line="121" w:lineRule="exact"/>
        <w:rPr>
          <w:rFonts w:ascii="Arial" w:cs="Arial" w:eastAsia="Arial" w:hAnsi="Arial"/>
          <w:sz w:val="18"/>
          <w:szCs w:val="18"/>
          <w:b w:val="1"/>
          <w:bCs w:val="1"/>
          <w:color w:val="auto"/>
        </w:rPr>
      </w:pPr>
    </w:p>
    <w:p>
      <w:pPr>
        <w:ind w:left="436"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and enforced in accordance with, the laws of the State of California, without reference to the conflicts of law principles thereof.</w:t>
      </w:r>
    </w:p>
    <w:p>
      <w:pPr>
        <w:sectPr>
          <w:pgSz w:w="11900" w:h="16838" w:orient="portrait"/>
          <w:cols w:equalWidth="0" w:num="1">
            <w:col w:w="11016"/>
          </w:cols>
          <w:pgMar w:left="444" w:top="271" w:right="439" w:bottom="1440" w:gutter="0" w:footer="0" w:header="0"/>
        </w:sectPr>
      </w:pPr>
    </w:p>
    <w:bookmarkStart w:id="676" w:name="page677"/>
    <w:bookmarkEnd w:id="676"/>
    <w:p>
      <w:pPr>
        <w:ind w:left="436" w:hanging="436"/>
        <w:spacing w:after="0"/>
        <w:tabs>
          <w:tab w:leader="none" w:pos="436"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p>
    <w:p>
      <w:pPr>
        <w:spacing w:after="0" w:line="121" w:lineRule="exact"/>
        <w:rPr>
          <w:rFonts w:ascii="Arial" w:cs="Arial" w:eastAsia="Arial" w:hAnsi="Arial"/>
          <w:sz w:val="18"/>
          <w:szCs w:val="18"/>
          <w:b w:val="1"/>
          <w:bCs w:val="1"/>
          <w:color w:val="auto"/>
        </w:rPr>
      </w:pPr>
    </w:p>
    <w:p>
      <w:pPr>
        <w:ind w:left="4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Sublease may be executed in any number of counterparts, which may be delivered electronically, via facsimile or by other means. Each party may rely upon signatures delivered electronically or via facsimile as if such signatures were originals. Each counterpart of this Sublease shall be deemed to be an original, and all such counterparts (including those delivered electronically or via facsimile), when taken together, shall be deemed to constitute one and the same instrument.</w:t>
      </w:r>
    </w:p>
    <w:p>
      <w:pPr>
        <w:spacing w:after="0" w:line="399"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56"/>
          </w:cols>
          <w:pgMar w:left="444" w:top="270" w:right="499" w:bottom="1440" w:gutter="0" w:footer="0" w:header="0"/>
        </w:sectPr>
      </w:pPr>
    </w:p>
    <w:bookmarkStart w:id="677" w:name="page678"/>
    <w:bookmarkEnd w:id="67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duly authorized representatives of the parties have executed and delivered this Sublease as of the Effective Date.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SUBLESSOR:</w:t>
            </w:r>
          </w:p>
        </w:tc>
        <w:tc>
          <w:tcPr>
            <w:tcW w:w="5880" w:type="dxa"/>
            <w:vAlign w:val="bottom"/>
            <w:gridSpan w:val="2"/>
          </w:tcPr>
          <w:p>
            <w:pPr>
              <w:ind w:left="3080"/>
              <w:spacing w:after="0"/>
              <w:rPr>
                <w:sz w:val="20"/>
                <w:szCs w:val="20"/>
                <w:color w:val="auto"/>
              </w:rPr>
            </w:pPr>
            <w:r>
              <w:rPr>
                <w:rFonts w:ascii="Arial" w:cs="Arial" w:eastAsia="Arial" w:hAnsi="Arial"/>
                <w:sz w:val="18"/>
                <w:szCs w:val="18"/>
                <w:b w:val="1"/>
                <w:bCs w:val="1"/>
                <w:color w:val="auto"/>
              </w:rPr>
              <w:t>SUBLESSEE:</w:t>
            </w: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THE MEDICINES COMPANY,</w:t>
            </w:r>
          </w:p>
        </w:tc>
        <w:tc>
          <w:tcPr>
            <w:tcW w:w="5880" w:type="dxa"/>
            <w:vAlign w:val="bottom"/>
            <w:gridSpan w:val="2"/>
          </w:tcPr>
          <w:p>
            <w:pPr>
              <w:ind w:left="3080"/>
              <w:spacing w:after="0"/>
              <w:rPr>
                <w:sz w:val="20"/>
                <w:szCs w:val="20"/>
                <w:color w:val="auto"/>
              </w:rPr>
            </w:pPr>
            <w:r>
              <w:rPr>
                <w:rFonts w:ascii="Arial" w:cs="Arial" w:eastAsia="Arial" w:hAnsi="Arial"/>
                <w:sz w:val="18"/>
                <w:szCs w:val="18"/>
                <w:b w:val="1"/>
                <w:bCs w:val="1"/>
                <w:color w:val="auto"/>
              </w:rPr>
              <w:t>GOSSAMER BIO, INC.,</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5880" w:type="dxa"/>
            <w:vAlign w:val="bottom"/>
            <w:gridSpan w:val="2"/>
          </w:tcPr>
          <w:p>
            <w:pPr>
              <w:ind w:left="3080"/>
              <w:spacing w:after="0"/>
              <w:rPr>
                <w:sz w:val="20"/>
                <w:szCs w:val="20"/>
                <w:color w:val="auto"/>
              </w:rPr>
            </w:pPr>
            <w:r>
              <w:rPr>
                <w:rFonts w:ascii="Arial" w:cs="Arial" w:eastAsia="Arial" w:hAnsi="Arial"/>
                <w:sz w:val="18"/>
                <w:szCs w:val="18"/>
                <w:color w:val="auto"/>
              </w:rPr>
              <w:t>a Delaware corporation</w:t>
            </w:r>
          </w:p>
        </w:tc>
      </w:tr>
      <w:tr>
        <w:trPr>
          <w:trHeight w:val="405"/>
        </w:trPr>
        <w:tc>
          <w:tcPr>
            <w:tcW w:w="2780" w:type="dxa"/>
            <w:vAlign w:val="bottom"/>
            <w:gridSpan w:val="2"/>
          </w:tcPr>
          <w:p>
            <w:pPr>
              <w:spacing w:after="0"/>
              <w:rPr>
                <w:sz w:val="20"/>
                <w:szCs w:val="20"/>
                <w:color w:val="auto"/>
              </w:rPr>
            </w:pPr>
            <w:r>
              <w:rPr>
                <w:rFonts w:ascii="Arial" w:cs="Arial" w:eastAsia="Arial" w:hAnsi="Arial"/>
                <w:sz w:val="18"/>
                <w:szCs w:val="18"/>
                <w:color w:val="auto"/>
              </w:rPr>
              <w:t>By: /s/ William O’Connor</w:t>
            </w:r>
          </w:p>
        </w:tc>
        <w:tc>
          <w:tcPr>
            <w:tcW w:w="5880" w:type="dxa"/>
            <w:vAlign w:val="bottom"/>
            <w:gridSpan w:val="2"/>
          </w:tcPr>
          <w:p>
            <w:pPr>
              <w:ind w:left="3080"/>
              <w:spacing w:after="0"/>
              <w:rPr>
                <w:sz w:val="20"/>
                <w:szCs w:val="20"/>
                <w:color w:val="auto"/>
              </w:rPr>
            </w:pPr>
            <w:r>
              <w:rPr>
                <w:rFonts w:ascii="Arial" w:cs="Arial" w:eastAsia="Arial" w:hAnsi="Arial"/>
                <w:sz w:val="18"/>
                <w:szCs w:val="18"/>
                <w:color w:val="auto"/>
              </w:rPr>
              <w:t>By: /s/ Faheem Hasnain</w:t>
            </w:r>
          </w:p>
        </w:tc>
      </w:tr>
      <w:tr>
        <w:trPr>
          <w:trHeight w:val="20"/>
        </w:trPr>
        <w:tc>
          <w:tcPr>
            <w:tcW w:w="3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Name: William O’Connor</w:t>
            </w:r>
          </w:p>
        </w:tc>
        <w:tc>
          <w:tcPr>
            <w:tcW w:w="5880" w:type="dxa"/>
            <w:vAlign w:val="bottom"/>
            <w:gridSpan w:val="2"/>
          </w:tcPr>
          <w:p>
            <w:pPr>
              <w:ind w:left="3080"/>
              <w:spacing w:after="0"/>
              <w:rPr>
                <w:sz w:val="20"/>
                <w:szCs w:val="20"/>
                <w:color w:val="auto"/>
              </w:rPr>
            </w:pPr>
            <w:r>
              <w:rPr>
                <w:rFonts w:ascii="Arial" w:cs="Arial" w:eastAsia="Arial" w:hAnsi="Arial"/>
                <w:sz w:val="18"/>
                <w:szCs w:val="18"/>
                <w:color w:val="auto"/>
              </w:rPr>
              <w:t>Name: Faheem Hasnain</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Title: EVP, CFO</w:t>
            </w:r>
          </w:p>
        </w:tc>
        <w:tc>
          <w:tcPr>
            <w:tcW w:w="5880" w:type="dxa"/>
            <w:vAlign w:val="bottom"/>
            <w:gridSpan w:val="2"/>
          </w:tcPr>
          <w:p>
            <w:pPr>
              <w:ind w:left="3080"/>
              <w:spacing w:after="0"/>
              <w:rPr>
                <w:sz w:val="20"/>
                <w:szCs w:val="20"/>
                <w:color w:val="auto"/>
              </w:rPr>
            </w:pPr>
            <w:r>
              <w:rPr>
                <w:rFonts w:ascii="Arial" w:cs="Arial" w:eastAsia="Arial" w:hAnsi="Arial"/>
                <w:sz w:val="18"/>
                <w:szCs w:val="18"/>
                <w:color w:val="auto"/>
              </w:rPr>
              <w:t>Title: CEO</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Date: 12/29/17</w:t>
            </w:r>
          </w:p>
        </w:tc>
        <w:tc>
          <w:tcPr>
            <w:tcW w:w="5880" w:type="dxa"/>
            <w:vAlign w:val="bottom"/>
            <w:gridSpan w:val="2"/>
          </w:tcPr>
          <w:p>
            <w:pPr>
              <w:ind w:left="3080"/>
              <w:spacing w:after="0"/>
              <w:rPr>
                <w:sz w:val="20"/>
                <w:szCs w:val="20"/>
                <w:color w:val="auto"/>
              </w:rPr>
            </w:pPr>
            <w:r>
              <w:rPr>
                <w:rFonts w:ascii="Arial" w:cs="Arial" w:eastAsia="Arial" w:hAnsi="Arial"/>
                <w:sz w:val="18"/>
                <w:szCs w:val="18"/>
                <w:color w:val="auto"/>
              </w:rPr>
              <w:t>Date: December 29, 2017</w:t>
            </w:r>
          </w:p>
        </w:tc>
      </w:tr>
    </w:tbl>
    <w:p>
      <w:pPr>
        <w:sectPr>
          <w:pgSz w:w="11900" w:h="16838" w:orient="portrait"/>
          <w:cols w:equalWidth="0" w:num="1">
            <w:col w:w="10120"/>
          </w:cols>
          <w:pgMar w:left="440" w:top="270" w:right="1339" w:bottom="1440" w:gutter="0" w:footer="0" w:header="0"/>
        </w:sectPr>
      </w:pPr>
    </w:p>
    <w:bookmarkStart w:id="678" w:name="page679"/>
    <w:bookmarkEnd w:id="6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Floor Plan of Sublease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194310</wp:posOffset>
            </wp:positionV>
            <wp:extent cx="5497195" cy="405638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497195" cy="405638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79" w:name="page680"/>
    <w:bookmarkEnd w:id="6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5746115" cy="43224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746115" cy="43224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0" w:name="page681"/>
    <w:bookmarkEnd w:id="6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Lease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(Full Document Attached)</w:t>
      </w:r>
    </w:p>
    <w:p>
      <w:pPr>
        <w:sectPr>
          <w:pgSz w:w="11900" w:h="16838" w:orient="portrait"/>
          <w:cols w:equalWidth="0" w:num="1">
            <w:col w:w="9019"/>
          </w:cols>
          <w:pgMar w:left="1440" w:top="270" w:right="1440" w:bottom="1440" w:gutter="0" w:footer="0" w:header="0"/>
        </w:sectPr>
      </w:pPr>
    </w:p>
    <w:bookmarkStart w:id="681" w:name="page682"/>
    <w:bookmarkEnd w:id="6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LEASE AGREEMENT (this “</w:t>
      </w:r>
      <w:r>
        <w:rPr>
          <w:rFonts w:ascii="Arial" w:cs="Arial" w:eastAsia="Arial" w:hAnsi="Arial"/>
          <w:sz w:val="16"/>
          <w:szCs w:val="16"/>
          <w:b w:val="1"/>
          <w:bCs w:val="1"/>
          <w:color w:val="auto"/>
        </w:rPr>
        <w:t>Lease</w:t>
      </w:r>
      <w:r>
        <w:rPr>
          <w:rFonts w:ascii="Arial" w:cs="Arial" w:eastAsia="Arial" w:hAnsi="Arial"/>
          <w:sz w:val="16"/>
          <w:szCs w:val="16"/>
          <w:color w:val="auto"/>
        </w:rPr>
        <w:t xml:space="preserve">”) is made this _____ day of September, 2014, between </w:t>
      </w:r>
      <w:r>
        <w:rPr>
          <w:rFonts w:ascii="Arial" w:cs="Arial" w:eastAsia="Arial" w:hAnsi="Arial"/>
          <w:sz w:val="16"/>
          <w:szCs w:val="16"/>
          <w:b w:val="1"/>
          <w:bCs w:val="1"/>
          <w:color w:val="auto"/>
        </w:rPr>
        <w:t>ARE-SD REGION NO. 35, LLC</w:t>
      </w:r>
      <w:r>
        <w:rPr>
          <w:rFonts w:ascii="Arial" w:cs="Arial" w:eastAsia="Arial" w:hAnsi="Arial"/>
          <w:sz w:val="16"/>
          <w:szCs w:val="16"/>
          <w:color w:val="auto"/>
        </w:rPr>
        <w:t>, a 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THE MEDICINES COMPANY</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The to be constructed 2-story building to be known as 3013 Science Park Road, San Diego, California 92121.</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0"/>
              </w:rPr>
              <w:t xml:space="preserve">The Building, containing approximately 63,000, rentable square feet, as determined by Landlord, as shown on </w:t>
            </w:r>
            <w:r>
              <w:rPr>
                <w:rFonts w:ascii="Arial" w:cs="Arial" w:eastAsia="Arial" w:hAnsi="Arial"/>
                <w:sz w:val="18"/>
                <w:szCs w:val="18"/>
                <w:b w:val="1"/>
                <w:bCs w:val="1"/>
                <w:color w:val="auto"/>
                <w:w w:val="90"/>
              </w:rPr>
              <w:t>Exhibit A</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8820" w:type="dxa"/>
            <w:vAlign w:val="bottom"/>
            <w:gridSpan w:val="13"/>
          </w:tcPr>
          <w:p>
            <w:pPr>
              <w:ind w:left="60"/>
              <w:spacing w:after="0" w:line="190" w:lineRule="exact"/>
              <w:rPr>
                <w:sz w:val="20"/>
                <w:szCs w:val="20"/>
                <w:color w:val="auto"/>
              </w:rPr>
            </w:pPr>
            <w:r>
              <w:rPr>
                <w:rFonts w:ascii="Arial" w:cs="Arial" w:eastAsia="Arial" w:hAnsi="Arial"/>
                <w:sz w:val="18"/>
                <w:szCs w:val="18"/>
                <w:color w:val="auto"/>
              </w:rPr>
              <w:t>subject to adjustment as provided for in Section 5 hereof.</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Project:</w:t>
            </w: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160" w:type="dxa"/>
            <w:vAlign w:val="bottom"/>
            <w:vMerge w:val="continue"/>
          </w:tcPr>
          <w:p>
            <w:pPr>
              <w:spacing w:after="0"/>
              <w:rPr>
                <w:sz w:val="24"/>
                <w:szCs w:val="24"/>
                <w:color w:val="auto"/>
              </w:rPr>
            </w:pP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2"/>
              </w:rPr>
              <w:t>The real property on which the Building in which the Premises are located, together with all improvements thereon and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auto"/>
                <w:w w:val="87"/>
              </w:rPr>
              <w:t xml:space="preserve">appurtenances thereto as described on </w:t>
            </w:r>
            <w:r>
              <w:rPr>
                <w:rFonts w:ascii="Arial" w:cs="Arial" w:eastAsia="Arial" w:hAnsi="Arial"/>
                <w:sz w:val="18"/>
                <w:szCs w:val="18"/>
                <w:b w:val="1"/>
                <w:bCs w:val="1"/>
                <w:color w:val="auto"/>
                <w:w w:val="87"/>
              </w:rPr>
              <w:t>Exhibit B</w:t>
            </w:r>
            <w:r>
              <w:rPr>
                <w:rFonts w:ascii="Arial" w:cs="Arial" w:eastAsia="Arial" w:hAnsi="Arial"/>
                <w:sz w:val="18"/>
                <w:szCs w:val="18"/>
                <w:color w:val="auto"/>
                <w:w w:val="87"/>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4"/>
              </w:rPr>
              <w:t>$3.50 per rentable square foot of the Premises per month, subject to adjustment as provided for in Section 4 herein.</w:t>
            </w:r>
          </w:p>
        </w:tc>
        <w:tc>
          <w:tcPr>
            <w:tcW w:w="0" w:type="dxa"/>
            <w:vAlign w:val="bottom"/>
          </w:tcPr>
          <w:p>
            <w:pPr>
              <w:spacing w:after="0"/>
              <w:rPr>
                <w:sz w:val="1"/>
                <w:szCs w:val="1"/>
                <w:color w:val="auto"/>
              </w:rPr>
            </w:pPr>
          </w:p>
        </w:tc>
      </w:tr>
      <w:tr>
        <w:trPr>
          <w:trHeight w:val="304"/>
        </w:trPr>
        <w:tc>
          <w:tcPr>
            <w:tcW w:w="2160" w:type="dxa"/>
            <w:vAlign w:val="bottom"/>
          </w:tcPr>
          <w:p>
            <w:pPr>
              <w:spacing w:after="0"/>
              <w:rPr>
                <w:sz w:val="20"/>
                <w:szCs w:val="20"/>
                <w:color w:val="auto"/>
              </w:rPr>
            </w:pPr>
            <w:r>
              <w:rPr>
                <w:rFonts w:ascii="Arial" w:cs="Arial" w:eastAsia="Arial" w:hAnsi="Arial"/>
                <w:sz w:val="18"/>
                <w:szCs w:val="18"/>
                <w:b w:val="1"/>
                <w:bCs w:val="1"/>
                <w:color w:val="auto"/>
              </w:rPr>
              <w:t>Rentable Area of</w:t>
            </w:r>
          </w:p>
        </w:tc>
        <w:tc>
          <w:tcPr>
            <w:tcW w:w="7140" w:type="dxa"/>
            <w:vAlign w:val="bottom"/>
            <w:gridSpan w:val="11"/>
          </w:tcPr>
          <w:p>
            <w:pPr>
              <w:ind w:left="60"/>
              <w:spacing w:after="0"/>
              <w:rPr>
                <w:sz w:val="20"/>
                <w:szCs w:val="20"/>
                <w:color w:val="auto"/>
              </w:rPr>
            </w:pPr>
            <w:r>
              <w:rPr>
                <w:rFonts w:ascii="Arial" w:cs="Arial" w:eastAsia="Arial" w:hAnsi="Arial"/>
                <w:sz w:val="18"/>
                <w:szCs w:val="18"/>
                <w:color w:val="auto"/>
              </w:rPr>
              <w:t>63,000 sq. ft., subject to adjustment as provided for in Section 5 hereof.</w:t>
            </w:r>
          </w:p>
        </w:tc>
        <w:tc>
          <w:tcPr>
            <w:tcW w:w="6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0"/>
                <w:szCs w:val="20"/>
                <w:color w:val="auto"/>
              </w:rPr>
            </w:pPr>
            <w:r>
              <w:rPr>
                <w:rFonts w:ascii="Arial" w:cs="Arial" w:eastAsia="Arial" w:hAnsi="Arial"/>
                <w:sz w:val="18"/>
                <w:szCs w:val="18"/>
                <w:b w:val="1"/>
                <w:bCs w:val="1"/>
                <w:color w:val="auto"/>
              </w:rPr>
              <w:t>Rentable Area of</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63,000 sq. ft., subject to adjustment as provided for in Section 5 hereof.</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0"/>
                <w:szCs w:val="20"/>
                <w:color w:val="auto"/>
              </w:rPr>
            </w:pPr>
            <w:r>
              <w:rPr>
                <w:rFonts w:ascii="Arial" w:cs="Arial" w:eastAsia="Arial" w:hAnsi="Arial"/>
                <w:sz w:val="18"/>
                <w:szCs w:val="18"/>
                <w:b w:val="1"/>
                <w:bCs w:val="1"/>
                <w:color w:val="auto"/>
                <w:w w:val="99"/>
              </w:rPr>
              <w:t>Rentable Area of Project:</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165,938 sq. ft., subject to adjustment as provided for in Section 5 hereof.</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Tenant’s Share of</w:t>
            </w: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60" w:type="dxa"/>
            <w:vAlign w:val="bottom"/>
            <w:vMerge w:val="continue"/>
          </w:tcPr>
          <w:p>
            <w:pPr>
              <w:spacing w:after="0"/>
              <w:rPr>
                <w:sz w:val="24"/>
                <w:szCs w:val="24"/>
                <w:color w:val="auto"/>
              </w:rPr>
            </w:pP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100%, subject to adjustment as provided for in Section 5 hereof.</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20"/>
                <w:szCs w:val="20"/>
                <w:color w:val="auto"/>
              </w:rPr>
            </w:pPr>
            <w:r>
              <w:rPr>
                <w:rFonts w:ascii="Arial" w:cs="Arial" w:eastAsia="Arial" w:hAnsi="Arial"/>
                <w:sz w:val="18"/>
                <w:szCs w:val="18"/>
                <w:b w:val="1"/>
                <w:bCs w:val="1"/>
                <w:color w:val="auto"/>
              </w:rPr>
              <w:t>Operating Expenses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0"/>
                <w:szCs w:val="20"/>
                <w:color w:val="auto"/>
              </w:rPr>
            </w:pPr>
            <w:r>
              <w:rPr>
                <w:rFonts w:ascii="Arial" w:cs="Arial" w:eastAsia="Arial" w:hAnsi="Arial"/>
                <w:sz w:val="18"/>
                <w:szCs w:val="18"/>
                <w:b w:val="1"/>
                <w:bCs w:val="1"/>
                <w:color w:val="auto"/>
              </w:rPr>
              <w:t>Tenant’s Share of</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37.97%, subject to adjustment as provided for in Section 5 hereof.</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20"/>
                <w:szCs w:val="20"/>
                <w:color w:val="auto"/>
              </w:rPr>
            </w:pPr>
            <w:r>
              <w:rPr>
                <w:rFonts w:ascii="Arial" w:cs="Arial" w:eastAsia="Arial" w:hAnsi="Arial"/>
                <w:sz w:val="18"/>
                <w:szCs w:val="18"/>
                <w:b w:val="1"/>
                <w:bCs w:val="1"/>
                <w:color w:val="auto"/>
              </w:rPr>
              <w:t>Operating Expenses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Security Deposit:</w:t>
            </w:r>
          </w:p>
        </w:tc>
        <w:tc>
          <w:tcPr>
            <w:tcW w:w="3620" w:type="dxa"/>
            <w:vAlign w:val="bottom"/>
            <w:gridSpan w:val="5"/>
          </w:tcPr>
          <w:p>
            <w:pPr>
              <w:ind w:left="60"/>
              <w:spacing w:after="0"/>
              <w:rPr>
                <w:sz w:val="20"/>
                <w:szCs w:val="20"/>
                <w:color w:val="auto"/>
              </w:rPr>
            </w:pPr>
            <w:r>
              <w:rPr>
                <w:rFonts w:ascii="Arial" w:cs="Arial" w:eastAsia="Arial" w:hAnsi="Arial"/>
                <w:sz w:val="18"/>
                <w:szCs w:val="18"/>
                <w:color w:val="auto"/>
              </w:rPr>
              <w:t>None</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8"/>
                <w:szCs w:val="18"/>
                <w:b w:val="1"/>
                <w:bCs w:val="1"/>
                <w:color w:val="auto"/>
              </w:rPr>
              <w:t>Target Commencement</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0"/>
              </w:rPr>
              <w:t>September 15, 2016; provided, however, that the Target Commencement Date shall be extended 1 day for each day after</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rPr>
              <w:t>August 15, 2014, that this Lease has not been mutually executed and delivered by the parties.</w:t>
            </w: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8"/>
                <w:szCs w:val="18"/>
                <w:b w:val="1"/>
                <w:bCs w:val="1"/>
                <w:color w:val="auto"/>
              </w:rPr>
              <w:t>Rent Adjustment</w:t>
            </w:r>
          </w:p>
        </w:tc>
        <w:tc>
          <w:tcPr>
            <w:tcW w:w="1040" w:type="dxa"/>
            <w:vAlign w:val="bottom"/>
          </w:tcPr>
          <w:p>
            <w:pPr>
              <w:ind w:left="6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Percentage:</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8"/>
              </w:rPr>
              <w:t>Beginning on the Commencement Date and ending 144 months from the first day of the first full month after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3620" w:type="dxa"/>
            <w:vAlign w:val="bottom"/>
            <w:gridSpan w:val="5"/>
          </w:tcPr>
          <w:p>
            <w:pPr>
              <w:ind w:left="60"/>
              <w:spacing w:after="0"/>
              <w:rPr>
                <w:sz w:val="20"/>
                <w:szCs w:val="20"/>
                <w:color w:val="auto"/>
              </w:rPr>
            </w:pPr>
            <w:r>
              <w:rPr>
                <w:rFonts w:ascii="Arial" w:cs="Arial" w:eastAsia="Arial" w:hAnsi="Arial"/>
                <w:sz w:val="18"/>
                <w:szCs w:val="18"/>
                <w:color w:val="auto"/>
              </w:rPr>
              <w:t>Commencement Date.</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b w:val="1"/>
                <w:bCs w:val="1"/>
                <w:color w:val="auto"/>
              </w:rPr>
              <w:t>Permitted Use:</w:t>
            </w: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4"/>
              </w:rPr>
              <w:t>Research and development laboratory (which provided Tenant complies, at Tenant’s sole cost and expense, with all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8"/>
              </w:rPr>
              <w:t>applicable Legal Requirements and the provisions of this Lease, may include a BSL-3 laboratory), related office,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820" w:type="dxa"/>
            <w:vAlign w:val="bottom"/>
            <w:gridSpan w:val="13"/>
          </w:tcPr>
          <w:p>
            <w:pPr>
              <w:ind w:left="60"/>
              <w:spacing w:after="0"/>
              <w:rPr>
                <w:sz w:val="20"/>
                <w:szCs w:val="20"/>
                <w:color w:val="auto"/>
              </w:rPr>
            </w:pPr>
            <w:r>
              <w:rPr>
                <w:rFonts w:ascii="Arial" w:cs="Arial" w:eastAsia="Arial" w:hAnsi="Arial"/>
                <w:sz w:val="18"/>
                <w:szCs w:val="18"/>
                <w:color w:val="auto"/>
                <w:w w:val="92"/>
              </w:rPr>
              <w:t>manufacturing and other related uses consistent with the character of the Project and otherwise in compliance with the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620" w:type="dxa"/>
            <w:vAlign w:val="bottom"/>
            <w:gridSpan w:val="5"/>
          </w:tcPr>
          <w:p>
            <w:pPr>
              <w:ind w:left="60"/>
              <w:spacing w:after="0" w:line="190" w:lineRule="exact"/>
              <w:rPr>
                <w:sz w:val="20"/>
                <w:szCs w:val="20"/>
                <w:color w:val="auto"/>
              </w:rPr>
            </w:pPr>
            <w:r>
              <w:rPr>
                <w:rFonts w:ascii="Arial" w:cs="Arial" w:eastAsia="Arial" w:hAnsi="Arial"/>
                <w:sz w:val="18"/>
                <w:szCs w:val="18"/>
                <w:color w:val="auto"/>
              </w:rPr>
              <w:t>provisions of Section 7 hereof.</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160" w:type="dxa"/>
            <w:vAlign w:val="bottom"/>
          </w:tcPr>
          <w:p>
            <w:pPr>
              <w:spacing w:after="0"/>
              <w:rPr>
                <w:sz w:val="20"/>
                <w:szCs w:val="20"/>
                <w:color w:val="auto"/>
              </w:rPr>
            </w:pPr>
            <w:r>
              <w:rPr>
                <w:rFonts w:ascii="Arial" w:cs="Arial" w:eastAsia="Arial" w:hAnsi="Arial"/>
                <w:sz w:val="18"/>
                <w:szCs w:val="18"/>
                <w:b w:val="1"/>
                <w:bCs w:val="1"/>
                <w:color w:val="auto"/>
                <w:w w:val="92"/>
              </w:rPr>
              <w:t>Address for Rent Payment:</w:t>
            </w:r>
          </w:p>
        </w:tc>
        <w:tc>
          <w:tcPr>
            <w:tcW w:w="10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8"/>
          </w:tcPr>
          <w:p>
            <w:pPr>
              <w:ind w:left="80"/>
              <w:spacing w:after="0"/>
              <w:rPr>
                <w:sz w:val="20"/>
                <w:szCs w:val="20"/>
                <w:color w:val="auto"/>
              </w:rPr>
            </w:pPr>
            <w:r>
              <w:rPr>
                <w:rFonts w:ascii="Arial" w:cs="Arial" w:eastAsia="Arial" w:hAnsi="Arial"/>
                <w:sz w:val="18"/>
                <w:szCs w:val="18"/>
                <w:b w:val="1"/>
                <w:bCs w:val="1"/>
                <w:color w:val="auto"/>
              </w:rPr>
              <w:t>Landlord’s Notice Address:</w:t>
            </w:r>
          </w:p>
        </w:tc>
        <w:tc>
          <w:tcPr>
            <w:tcW w:w="0" w:type="dxa"/>
            <w:vAlign w:val="bottom"/>
          </w:tcPr>
          <w:p>
            <w:pPr>
              <w:spacing w:after="0"/>
              <w:rPr>
                <w:sz w:val="1"/>
                <w:szCs w:val="1"/>
                <w:color w:val="auto"/>
              </w:rPr>
            </w:pPr>
          </w:p>
        </w:tc>
      </w:tr>
      <w:tr>
        <w:trPr>
          <w:trHeight w:val="216"/>
        </w:trPr>
        <w:tc>
          <w:tcPr>
            <w:tcW w:w="5780" w:type="dxa"/>
            <w:vAlign w:val="bottom"/>
            <w:gridSpan w:val="6"/>
          </w:tcPr>
          <w:p>
            <w:pPr>
              <w:spacing w:after="0"/>
              <w:rPr>
                <w:sz w:val="20"/>
                <w:szCs w:val="20"/>
                <w:color w:val="auto"/>
              </w:rPr>
            </w:pPr>
            <w:r>
              <w:rPr>
                <w:rFonts w:ascii="Arial" w:cs="Arial" w:eastAsia="Arial" w:hAnsi="Arial"/>
                <w:sz w:val="18"/>
                <w:szCs w:val="18"/>
                <w:color w:val="auto"/>
              </w:rPr>
              <w:t>Alexandria Real Estate Equities, Inc.</w:t>
            </w:r>
          </w:p>
        </w:tc>
        <w:tc>
          <w:tcPr>
            <w:tcW w:w="5200" w:type="dxa"/>
            <w:vAlign w:val="bottom"/>
            <w:gridSpan w:val="8"/>
          </w:tcPr>
          <w:p>
            <w:pPr>
              <w:ind w:left="80"/>
              <w:spacing w:after="0"/>
              <w:rPr>
                <w:sz w:val="20"/>
                <w:szCs w:val="20"/>
                <w:color w:val="auto"/>
              </w:rPr>
            </w:pPr>
            <w:r>
              <w:rPr>
                <w:rFonts w:ascii="Arial" w:cs="Arial" w:eastAsia="Arial" w:hAnsi="Arial"/>
                <w:sz w:val="18"/>
                <w:szCs w:val="18"/>
                <w:color w:val="auto"/>
              </w:rPr>
              <w:t>385 E. Colorado Boulevard, Suite 299</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Dept. LA 23447</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8"/>
          </w:tcPr>
          <w:p>
            <w:pPr>
              <w:ind w:left="80"/>
              <w:spacing w:after="0"/>
              <w:rPr>
                <w:sz w:val="20"/>
                <w:szCs w:val="20"/>
                <w:color w:val="auto"/>
              </w:rPr>
            </w:pPr>
            <w:r>
              <w:rPr>
                <w:rFonts w:ascii="Arial" w:cs="Arial" w:eastAsia="Arial" w:hAnsi="Arial"/>
                <w:sz w:val="18"/>
                <w:szCs w:val="18"/>
                <w:color w:val="auto"/>
              </w:rPr>
              <w:t>Pasadena, CA 91101</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8"/>
              </w:rPr>
              <w:t>Pasadena, CA 91185-3447</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8"/>
          </w:tcPr>
          <w:p>
            <w:pPr>
              <w:ind w:left="80"/>
              <w:spacing w:after="0"/>
              <w:rPr>
                <w:sz w:val="20"/>
                <w:szCs w:val="20"/>
                <w:color w:val="auto"/>
              </w:rPr>
            </w:pPr>
            <w:r>
              <w:rPr>
                <w:rFonts w:ascii="Arial" w:cs="Arial" w:eastAsia="Arial" w:hAnsi="Arial"/>
                <w:sz w:val="18"/>
                <w:szCs w:val="18"/>
                <w:color w:val="auto"/>
              </w:rPr>
              <w:t>Attention: Corporate Secretary</w:t>
            </w:r>
          </w:p>
        </w:tc>
        <w:tc>
          <w:tcPr>
            <w:tcW w:w="0" w:type="dxa"/>
            <w:vAlign w:val="bottom"/>
          </w:tcPr>
          <w:p>
            <w:pPr>
              <w:spacing w:after="0"/>
              <w:rPr>
                <w:sz w:val="1"/>
                <w:szCs w:val="1"/>
                <w:color w:val="auto"/>
              </w:rPr>
            </w:pPr>
          </w:p>
        </w:tc>
      </w:tr>
    </w:tbl>
    <w:p>
      <w:pPr>
        <w:sectPr>
          <w:pgSz w:w="11900" w:h="16838" w:orient="portrait"/>
          <w:cols w:equalWidth="0" w:num="1">
            <w:col w:w="10980"/>
          </w:cols>
          <w:pgMar w:left="440" w:top="269" w:right="479" w:bottom="1440" w:gutter="0" w:footer="0" w:header="0"/>
        </w:sectPr>
      </w:pPr>
    </w:p>
    <w:bookmarkStart w:id="682" w:name="page683"/>
    <w:bookmarkEnd w:id="682"/>
    <w:p>
      <w:pPr>
        <w:spacing w:after="0"/>
        <w:rPr>
          <w:sz w:val="20"/>
          <w:szCs w:val="20"/>
          <w:color w:val="auto"/>
        </w:rPr>
      </w:pPr>
      <w:r>
        <w:rPr>
          <w:rFonts w:ascii="Arial" w:cs="Arial" w:eastAsia="Arial" w:hAnsi="Arial"/>
          <w:sz w:val="16"/>
          <w:szCs w:val="16"/>
          <w:b w:val="1"/>
          <w:bCs w:val="1"/>
          <w:color w:val="auto"/>
        </w:rPr>
        <w:t>Net Laboratory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-199390</wp:posOffset>
            </wp:positionV>
            <wp:extent cx="72891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6180" w:space="720"/>
            <w:col w:w="4120"/>
          </w:cols>
          <w:pgMar w:left="440" w:top="271" w:right="439" w:bottom="1440" w:gutter="0" w:footer="0" w:header="0"/>
        </w:sectPr>
      </w:pPr>
    </w:p>
    <w:p>
      <w:pPr>
        <w:spacing w:after="0"/>
        <w:rPr>
          <w:sz w:val="20"/>
          <w:szCs w:val="20"/>
          <w:color w:val="auto"/>
        </w:rPr>
      </w:pPr>
      <w:r>
        <w:rPr>
          <w:rFonts w:ascii="Arial" w:cs="Arial" w:eastAsia="Arial" w:hAnsi="Arial"/>
          <w:sz w:val="17"/>
          <w:szCs w:val="17"/>
          <w:b w:val="1"/>
          <w:bCs w:val="1"/>
          <w:color w:val="auto"/>
        </w:rPr>
        <w:t>Tenant’s Notice Address: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to 1/1/15: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11535 Sorrento Valley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VP Legal Affairs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Tenant’s Notice 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Following Substantial Completion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3013 Science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VP Legal</w:t>
      </w:r>
    </w:p>
    <w:p>
      <w:pPr>
        <w:spacing w:after="0" w:line="200" w:lineRule="exact"/>
        <w:rPr>
          <w:sz w:val="20"/>
          <w:szCs w:val="20"/>
          <w:color w:val="auto"/>
        </w:rPr>
      </w:pPr>
    </w:p>
    <w:p>
      <w:pPr>
        <w:sectPr>
          <w:pgSz w:w="11900" w:h="16838" w:orient="portrait"/>
          <w:cols w:equalWidth="0" w:num="2">
            <w:col w:w="5140" w:space="720"/>
            <w:col w:w="5160"/>
          </w:cols>
          <w:pgMar w:left="440" w:top="27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After 1/1/15 but prior to Substantial Completion of the Tenant Improvements: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3033 Science Park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VP Legal Affairs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all of the above instances, with a copy to Tenant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Sylvan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 07054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Rodin</w:t>
      </w:r>
    </w:p>
    <w:p>
      <w:pPr>
        <w:sectPr>
          <w:pgSz w:w="11900" w:h="16838" w:orient="portrait"/>
          <w:cols w:equalWidth="0" w:num="1">
            <w:col w:w="11020"/>
          </w:cols>
          <w:pgMar w:left="440" w:top="271" w:right="4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and Addenda are attached hereto and incorporated herein by this reference:</w:t>
      </w:r>
    </w:p>
    <w:p>
      <w:pPr>
        <w:sectPr>
          <w:pgSz w:w="11900" w:h="16838" w:orient="portrait"/>
          <w:cols w:equalWidth="0" w:num="1">
            <w:col w:w="11020"/>
          </w:cols>
          <w:pgMar w:left="440" w:top="271" w:right="4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 PREMISES DESCRIPTION</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PROJECT</w:t>
      </w:r>
    </w:p>
    <w:p>
      <w:pPr>
        <w:spacing w:after="0" w:line="129" w:lineRule="exact"/>
        <w:rPr>
          <w:sz w:val="20"/>
          <w:szCs w:val="20"/>
          <w:color w:val="auto"/>
        </w:rPr>
      </w:pPr>
    </w:p>
    <w:p>
      <w:pPr>
        <w:sectPr>
          <w:pgSz w:w="11900" w:h="16838" w:orient="portrait"/>
          <w:cols w:equalWidth="0" w:num="2">
            <w:col w:w="5140" w:space="720"/>
            <w:col w:w="5160"/>
          </w:cols>
          <w:pgMar w:left="440" w:top="271" w:right="4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117" w:lineRule="exact"/>
        <w:rPr>
          <w:sz w:val="20"/>
          <w:szCs w:val="20"/>
          <w:color w:val="auto"/>
        </w:rPr>
      </w:pPr>
    </w:p>
    <w:p>
      <w:pPr>
        <w:sectPr>
          <w:pgSz w:w="11900" w:h="16838" w:orient="portrait"/>
          <w:cols w:equalWidth="0" w:num="2">
            <w:col w:w="5140" w:space="720"/>
            <w:col w:w="5160"/>
          </w:cols>
          <w:pgMar w:left="440" w:top="271" w:right="439" w:bottom="1440" w:gutter="0" w:footer="0" w:header="0"/>
          <w:type w:val="continuous"/>
        </w:sectPr>
      </w:pP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 RULES AND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p>
      <w:pPr>
        <w:spacing w:after="0" w:line="129" w:lineRule="exact"/>
        <w:rPr>
          <w:sz w:val="20"/>
          <w:szCs w:val="20"/>
          <w:color w:val="auto"/>
        </w:rPr>
      </w:pPr>
    </w:p>
    <w:p>
      <w:pPr>
        <w:sectPr>
          <w:pgSz w:w="11900" w:h="16838" w:orient="portrait"/>
          <w:cols w:equalWidth="0" w:num="2">
            <w:col w:w="5140" w:space="720"/>
            <w:col w:w="5160"/>
          </w:cols>
          <w:pgMar w:left="440" w:top="271" w:right="439" w:bottom="1440" w:gutter="0" w:footer="0" w:header="0"/>
          <w:type w:val="continuous"/>
        </w:sectPr>
      </w:pPr>
    </w:p>
    <w:p>
      <w:pPr>
        <w:ind w:left="300" w:hanging="296"/>
        <w:spacing w:after="0"/>
        <w:tabs>
          <w:tab w:leader="none" w:pos="300" w:val="left"/>
        </w:tabs>
        <w:numPr>
          <w:ilvl w:val="0"/>
          <w:numId w:val="562"/>
        </w:numPr>
        <w:rPr>
          <w:rFonts w:ascii="Arial" w:cs="Arial" w:eastAsia="Arial" w:hAnsi="Arial"/>
          <w:sz w:val="18"/>
          <w:szCs w:val="18"/>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SIGNAGE</w:t>
      </w:r>
    </w:p>
    <w:p>
      <w:pPr>
        <w:spacing w:after="0" w:line="225" w:lineRule="exact"/>
        <w:rPr>
          <w:rFonts w:ascii="Arial" w:cs="Arial" w:eastAsia="Arial" w:hAnsi="Arial"/>
          <w:sz w:val="18"/>
          <w:szCs w:val="18"/>
          <w:color w:val="auto"/>
        </w:rPr>
      </w:pPr>
    </w:p>
    <w:p>
      <w:pPr>
        <w:ind w:right="280" w:firstLine="444"/>
        <w:spacing w:after="0" w:line="272" w:lineRule="auto"/>
        <w:tabs>
          <w:tab w:leader="none" w:pos="621" w:val="left"/>
        </w:tabs>
        <w:numPr>
          <w:ilvl w:val="1"/>
          <w:numId w:val="562"/>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 Premises to Tenant and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hereby leases the Premises from Landlord together with the non-exclusive appurtenant right to use the Project parking areas and other portions of the Project which are for the non-exclusive use of tenants of the Project, which parking areas and other portions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Landlord reserves the right to modify Common Areas, provided that such modifications do not materially adversely affect, other than on a temporary basis, Tenant’s access to the Premises or use of the Premises for the Permitted Use.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64" w:lineRule="exact"/>
        <w:rPr>
          <w:rFonts w:ascii="Arial" w:cs="Arial" w:eastAsia="Arial" w:hAnsi="Arial"/>
          <w:sz w:val="17"/>
          <w:szCs w:val="17"/>
          <w:color w:val="auto"/>
        </w:rPr>
      </w:pPr>
    </w:p>
    <w:p>
      <w:pPr>
        <w:ind w:firstLine="444"/>
        <w:spacing w:after="0" w:line="274" w:lineRule="auto"/>
        <w:tabs>
          <w:tab w:leader="none" w:pos="621" w:val="left"/>
        </w:tabs>
        <w:numPr>
          <w:ilvl w:val="1"/>
          <w:numId w:val="562"/>
        </w:numPr>
        <w:rPr>
          <w:rFonts w:ascii="Arial" w:cs="Arial" w:eastAsia="Arial" w:hAnsi="Arial"/>
          <w:sz w:val="17"/>
          <w:szCs w:val="17"/>
          <w:color w:val="auto"/>
        </w:rPr>
      </w:pPr>
      <w:r>
        <w:rPr>
          <w:rFonts w:ascii="Arial" w:cs="Arial" w:eastAsia="Arial" w:hAnsi="Arial"/>
          <w:sz w:val="17"/>
          <w:szCs w:val="17"/>
          <w:b w:val="1"/>
          <w:bCs w:val="1"/>
          <w:color w:val="auto"/>
        </w:rPr>
        <w:t>Delivery; Acceptance of Premises; Commencement Date</w:t>
      </w:r>
      <w:r>
        <w:rPr>
          <w:rFonts w:ascii="Arial" w:cs="Arial" w:eastAsia="Arial" w:hAnsi="Arial"/>
          <w:sz w:val="17"/>
          <w:szCs w:val="17"/>
          <w:color w:val="auto"/>
        </w:rPr>
        <w:t>. Landlord shall use reasonable efforts to deliver the Premises to Tenant on or before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Target Commencement Date. Upon delivery to Tenant, Landlord’s Work shall be Substantially Completed and the parking structure serving the Project in the location shown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will be substantially complete and available for Tenant’s use (“</w:t>
      </w:r>
      <w:r>
        <w:rPr>
          <w:rFonts w:ascii="Arial" w:cs="Arial" w:eastAsia="Arial" w:hAnsi="Arial"/>
          <w:sz w:val="17"/>
          <w:szCs w:val="17"/>
          <w:b w:val="1"/>
          <w:bCs w:val="1"/>
          <w:color w:val="auto"/>
        </w:rPr>
        <w:t>Delivery</w:t>
      </w:r>
      <w:r>
        <w:rPr>
          <w:rFonts w:ascii="Arial" w:cs="Arial" w:eastAsia="Arial" w:hAnsi="Arial"/>
          <w:sz w:val="17"/>
          <w:szCs w:val="17"/>
          <w:color w:val="auto"/>
        </w:rPr>
        <w:t>” or “</w:t>
      </w:r>
      <w:r>
        <w:rPr>
          <w:rFonts w:ascii="Arial" w:cs="Arial" w:eastAsia="Arial" w:hAnsi="Arial"/>
          <w:sz w:val="17"/>
          <w:szCs w:val="17"/>
          <w:b w:val="1"/>
          <w:bCs w:val="1"/>
          <w:color w:val="auto"/>
        </w:rPr>
        <w:t>Deliver</w:t>
      </w:r>
      <w:r>
        <w:rPr>
          <w:rFonts w:ascii="Arial" w:cs="Arial" w:eastAsia="Arial" w:hAnsi="Arial"/>
          <w:sz w:val="17"/>
          <w:szCs w:val="17"/>
          <w:color w:val="auto"/>
        </w:rPr>
        <w:t>”). If Landlord fails to timely Deliver the Premises, Landlord shall not be liable to Tenant for any loss or damage resulting therefrom, and this Lease shall not be void or voidable except as provided herein. If Landlord does not Deliver the Premises within 270 days of the Target Commencement Date for any reason other than Force Majeure delays and Tenant Delays, this Lease may be terminated by Tenant by written notice to</w:t>
      </w:r>
    </w:p>
    <w:p>
      <w:pPr>
        <w:sectPr>
          <w:pgSz w:w="11900" w:h="16838" w:orient="portrait"/>
          <w:cols w:equalWidth="0" w:num="1">
            <w:col w:w="11020"/>
          </w:cols>
          <w:pgMar w:left="440" w:top="271" w:right="439" w:bottom="1440" w:gutter="0" w:footer="0" w:header="0"/>
          <w:type w:val="continuous"/>
        </w:sectPr>
      </w:pPr>
    </w:p>
    <w:bookmarkStart w:id="683" w:name="page684"/>
    <w:bookmarkEnd w:id="68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25</w:t>
      </w:r>
    </w:p>
    <w:p>
      <w:pPr>
        <w:spacing w:after="0" w:line="1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Landlord, and if so terminated by Tenant, neither Landlord nor Tenant shall have any further rights, duties or obligations under this Lease, except with respect to provisions which expressly survive termination of this Lease and Landlord will return any amounts paid to Landlord by Tenant pursuant to the terms of this Lease. As used herein, the terms “</w:t>
      </w:r>
      <w:r>
        <w:rPr>
          <w:rFonts w:ascii="Arial" w:cs="Arial" w:eastAsia="Arial" w:hAnsi="Arial"/>
          <w:sz w:val="16"/>
          <w:szCs w:val="16"/>
          <w:b w:val="1"/>
          <w:bCs w:val="1"/>
          <w:color w:val="auto"/>
        </w:rPr>
        <w:t>Landlord’s Work</w:t>
      </w:r>
      <w:r>
        <w:rPr>
          <w:rFonts w:ascii="Arial" w:cs="Arial" w:eastAsia="Arial" w:hAnsi="Arial"/>
          <w:sz w:val="16"/>
          <w:szCs w:val="16"/>
          <w:color w:val="auto"/>
        </w:rPr>
        <w:t>,” “</w:t>
      </w:r>
      <w:r>
        <w:rPr>
          <w:rFonts w:ascii="Arial" w:cs="Arial" w:eastAsia="Arial" w:hAnsi="Arial"/>
          <w:sz w:val="16"/>
          <w:szCs w:val="16"/>
          <w:b w:val="1"/>
          <w:bCs w:val="1"/>
          <w:color w:val="auto"/>
        </w:rPr>
        <w:t>Tenant Delays</w:t>
      </w:r>
      <w:r>
        <w:rPr>
          <w:rFonts w:ascii="Arial" w:cs="Arial" w:eastAsia="Arial" w:hAnsi="Arial"/>
          <w:sz w:val="16"/>
          <w:szCs w:val="16"/>
          <w:color w:val="auto"/>
        </w:rPr>
        <w:t>” and “</w:t>
      </w:r>
      <w:r>
        <w:rPr>
          <w:rFonts w:ascii="Arial" w:cs="Arial" w:eastAsia="Arial" w:hAnsi="Arial"/>
          <w:sz w:val="16"/>
          <w:szCs w:val="16"/>
          <w:b w:val="1"/>
          <w:bCs w:val="1"/>
          <w:color w:val="auto"/>
        </w:rPr>
        <w:t>Substantially Completed</w:t>
      </w:r>
      <w:r>
        <w:rPr>
          <w:rFonts w:ascii="Arial" w:cs="Arial" w:eastAsia="Arial" w:hAnsi="Arial"/>
          <w:sz w:val="16"/>
          <w:szCs w:val="16"/>
          <w:color w:val="auto"/>
        </w:rPr>
        <w:t>” shall have the meanings set forth for such terms in the Work Letter. If Tenant does not elect to void this Lease within 10 business days of the lapse of such 270 day period, such right to void this Lease shall be waived and this Lease shall remain in full force and effect; provided that Tenant will have a second right to terminate this Lease in the event Landlord has still not Delivered the Premises within 365 days of the Target Commencement Date for any reason other than Force Majeure delays and Tenant Delays, which right will be exercisable for a period of 10 business days after such 365 day period.</w:t>
      </w:r>
    </w:p>
    <w:p>
      <w:pPr>
        <w:spacing w:after="0" w:line="16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earlier of: (i) the date Landlord Delivers the Premises to Tenant; or (ii) the date Landlord could have Delivered the Premises but for Tenant Delays. Notwithstanding anything to the contrary contained in this Lease, but provided Tenant is not in Default hereunder, Landlord hereby grants Tenant an abatement of the Base Rent payable during the period beginning on the Commencement Date and ending 10 months after the Commencement Date (“</w:t>
      </w:r>
      <w:r>
        <w:rPr>
          <w:rFonts w:ascii="Arial" w:cs="Arial" w:eastAsia="Arial" w:hAnsi="Arial"/>
          <w:sz w:val="18"/>
          <w:szCs w:val="18"/>
          <w:b w:val="1"/>
          <w:bCs w:val="1"/>
          <w:color w:val="auto"/>
        </w:rPr>
        <w:t>Base Rent Abatement</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the first day of the 11</w:t>
      </w:r>
      <w:r>
        <w:rPr>
          <w:rFonts w:ascii="Arial" w:cs="Arial" w:eastAsia="Arial" w:hAnsi="Arial"/>
          <w:sz w:val="15"/>
          <w:szCs w:val="15"/>
          <w:color w:val="auto"/>
        </w:rPr>
        <w:t>th</w:t>
      </w:r>
      <w:r>
        <w:rPr>
          <w:rFonts w:ascii="Arial" w:cs="Arial" w:eastAsia="Arial" w:hAnsi="Arial"/>
          <w:sz w:val="18"/>
          <w:szCs w:val="18"/>
          <w:color w:val="auto"/>
        </w:rPr>
        <w:t xml:space="preserve"> month after the Commencement Date shall be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In the event Landlord Delivers the Premises to Tenant more than 180 days after the Target Commencement Date (as extended for Force Majeure delays and Tenant Delays), the period of Base Rent Abatement and the Rent Commencement Date (and all subsequent rent increase dates) will be extended by an equivalent number of days that Delivery is delayed beyond the Target Commencement Date.</w:t>
      </w:r>
    </w:p>
    <w:p>
      <w:pPr>
        <w:spacing w:after="0" w:line="18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any Extension Terms which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w:t>
      </w:r>
    </w:p>
    <w:p>
      <w:pPr>
        <w:spacing w:after="0" w:line="18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Except as set forth in the Work Letter or otherwise expressly set forth in this Lease: (i) Tenant shall accept the Premises in their condition as of the Commencement Date with all Landlord’s Work Substantially Complete; (ii) Landlord shall have no liability for any defects in the Premises, except as set forth herein or in the Work Letter; and (iii) Tenant’s taking possession of the Premises shall be conclusive evidence that Tenant accepts the Premises and that the Premises were in good condition at the time possession was taken. Tenant will not be permitted occupancy of the Premises prior to the date upon which the Premises are Delivered to Tenant with Landlord’s Work Substantially Completed.</w:t>
      </w:r>
    </w:p>
    <w:p>
      <w:pPr>
        <w:spacing w:after="0" w:line="173"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Except as otherwise expressly set forth in this Lease (including the Work Letter),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(including all exhibits attached hereto and any side letters entered into by and between Landlord and Tenant in connection with this Lease) constitutes the complete agreement of Landlord and Tenant with respect to the subject matter hereof and supersedes any and all prior representations, inducements, promises, agreements, understandings and negotiations which are not contained herein.</w:t>
      </w:r>
    </w:p>
    <w:p>
      <w:pPr>
        <w:sectPr>
          <w:pgSz w:w="11900" w:h="16838" w:orient="portrait"/>
          <w:cols w:equalWidth="0" w:num="1">
            <w:col w:w="11020"/>
          </w:cols>
          <w:pgMar w:left="440" w:top="270" w:right="439" w:bottom="1440" w:gutter="0" w:footer="0" w:header="0"/>
        </w:sectPr>
      </w:pPr>
    </w:p>
    <w:bookmarkStart w:id="684" w:name="page685"/>
    <w:bookmarkEnd w:id="68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26</w:t>
      </w:r>
    </w:p>
    <w:p>
      <w:pPr>
        <w:spacing w:after="0" w:line="158" w:lineRule="exact"/>
        <w:rPr>
          <w:sz w:val="20"/>
          <w:szCs w:val="20"/>
          <w:color w:val="auto"/>
        </w:rPr>
      </w:pPr>
    </w:p>
    <w:p>
      <w:pPr>
        <w:ind w:left="620" w:hanging="176"/>
        <w:spacing w:after="0"/>
        <w:tabs>
          <w:tab w:leader="none" w:pos="620" w:val="left"/>
        </w:tabs>
        <w:numPr>
          <w:ilvl w:val="0"/>
          <w:numId w:val="563"/>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2" w:lineRule="auto"/>
        <w:tabs>
          <w:tab w:leader="none" w:pos="685" w:val="left"/>
        </w:tabs>
        <w:numPr>
          <w:ilvl w:val="0"/>
          <w:numId w:val="564"/>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 Base Rent for the month in which the Rent Commencement Date occurs shall be due and payable to Landlord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Commencement Date. Tenant shall pay to Landlord in advance, without demand, abatement (except as permitted herein),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(other than the funding of the additional TI Allowance for which TI Rent is due)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7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Notwithstanding anything to the contrary contained in this Lease, for the period commencing on the Rent Commencement Date through the last day of the 18</w:t>
      </w:r>
      <w:r>
        <w:rPr>
          <w:rFonts w:ascii="Arial" w:cs="Arial" w:eastAsia="Arial" w:hAnsi="Arial"/>
          <w:sz w:val="15"/>
          <w:szCs w:val="15"/>
          <w:color w:val="auto"/>
        </w:rPr>
        <w:t>th</w:t>
      </w:r>
      <w:r>
        <w:rPr>
          <w:rFonts w:ascii="Arial" w:cs="Arial" w:eastAsia="Arial" w:hAnsi="Arial"/>
          <w:sz w:val="18"/>
          <w:szCs w:val="18"/>
          <w:color w:val="auto"/>
        </w:rPr>
        <w:t xml:space="preserve"> month after the Commencement Date, Tenant shall be required to pay Base Rent with respect to only 50,000 rentable square feet of the Premises; provided, however, that during such period, the administration rent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shall be based on the amount of Base Rent that would have been payable with respect to the entire Premises. Tenant shall commence paying Base Rent with respect to the entire Premises on the first day of the 19</w:t>
      </w:r>
      <w:r>
        <w:rPr>
          <w:rFonts w:ascii="Arial" w:cs="Arial" w:eastAsia="Arial" w:hAnsi="Arial"/>
          <w:sz w:val="15"/>
          <w:szCs w:val="15"/>
          <w:color w:val="auto"/>
        </w:rPr>
        <w:t>th</w:t>
      </w:r>
      <w:r>
        <w:rPr>
          <w:rFonts w:ascii="Arial" w:cs="Arial" w:eastAsia="Arial" w:hAnsi="Arial"/>
          <w:sz w:val="18"/>
          <w:szCs w:val="18"/>
          <w:color w:val="auto"/>
        </w:rPr>
        <w:t xml:space="preserve"> month after the Commencement Date.</w:t>
      </w:r>
    </w:p>
    <w:p>
      <w:pPr>
        <w:spacing w:after="0" w:line="76" w:lineRule="exact"/>
        <w:rPr>
          <w:sz w:val="20"/>
          <w:szCs w:val="20"/>
          <w:color w:val="auto"/>
        </w:rPr>
      </w:pPr>
    </w:p>
    <w:p>
      <w:pPr>
        <w:ind w:right="60" w:firstLine="444"/>
        <w:spacing w:after="0" w:line="258" w:lineRule="auto"/>
        <w:tabs>
          <w:tab w:leader="none" w:pos="695"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Commencement Date,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pursuant to the terms of this Lease by reason of any default of Tenant or failure to comply with the agreements, terms, covenants and conditions of this Lease to be performed by Tenant, after any applicable notice and cure period.</w:t>
      </w:r>
    </w:p>
    <w:p>
      <w:pPr>
        <w:spacing w:after="0" w:line="76" w:lineRule="exact"/>
        <w:rPr>
          <w:sz w:val="20"/>
          <w:szCs w:val="20"/>
          <w:color w:val="auto"/>
        </w:rPr>
      </w:pPr>
    </w:p>
    <w:p>
      <w:pPr>
        <w:ind w:left="620" w:hanging="176"/>
        <w:spacing w:after="0"/>
        <w:tabs>
          <w:tab w:leader="none" w:pos="620"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56" w:lineRule="auto"/>
        <w:tabs>
          <w:tab w:leader="none" w:pos="685" w:val="left"/>
        </w:tabs>
        <w:numPr>
          <w:ilvl w:val="0"/>
          <w:numId w:val="567"/>
        </w:numPr>
        <w:rPr>
          <w:rFonts w:ascii="Arial" w:cs="Arial" w:eastAsia="Arial" w:hAnsi="Arial"/>
          <w:sz w:val="18"/>
          <w:szCs w:val="18"/>
          <w:color w:val="auto"/>
        </w:rPr>
      </w:pPr>
      <w:r>
        <w:rPr>
          <w:rFonts w:ascii="Arial" w:cs="Arial" w:eastAsia="Arial" w:hAnsi="Arial"/>
          <w:sz w:val="18"/>
          <w:szCs w:val="18"/>
          <w:b w:val="1"/>
          <w:bCs w:val="1"/>
          <w:color w:val="auto"/>
        </w:rPr>
        <w:t>Annual Adjustments</w:t>
      </w:r>
      <w:r>
        <w:rPr>
          <w:rFonts w:ascii="Arial" w:cs="Arial" w:eastAsia="Arial" w:hAnsi="Arial"/>
          <w:sz w:val="18"/>
          <w:szCs w:val="18"/>
          <w:color w:val="auto"/>
        </w:rPr>
        <w:t>. Base Rent (excluding any TI Rent) shall be increased on the first annual anniversary of the first day of the first full</w:t>
      </w:r>
      <w:r>
        <w:rPr>
          <w:rFonts w:ascii="Arial" w:cs="Arial" w:eastAsia="Arial" w:hAnsi="Arial"/>
          <w:sz w:val="18"/>
          <w:szCs w:val="18"/>
          <w:b w:val="1"/>
          <w:bCs w:val="1"/>
          <w:color w:val="auto"/>
        </w:rPr>
        <w:t xml:space="preserve"> </w:t>
      </w:r>
      <w:r>
        <w:rPr>
          <w:rFonts w:ascii="Arial" w:cs="Arial" w:eastAsia="Arial" w:hAnsi="Arial"/>
          <w:sz w:val="18"/>
          <w:szCs w:val="18"/>
          <w:color w:val="auto"/>
        </w:rPr>
        <w:t>month after the Commencement Date to $3.60 per rentable square foot of the Premises per month. Thereafter, Base Rent (excluding any TI Rent) shall be increased on each annual anniversary of the first day of the first full month after the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9" w:lineRule="exact"/>
        <w:rPr>
          <w:rFonts w:ascii="Arial" w:cs="Arial" w:eastAsia="Arial" w:hAnsi="Arial"/>
          <w:sz w:val="18"/>
          <w:szCs w:val="18"/>
          <w:color w:val="auto"/>
        </w:rPr>
      </w:pPr>
    </w:p>
    <w:p>
      <w:pPr>
        <w:ind w:right="40" w:firstLine="444"/>
        <w:spacing w:after="0" w:line="256" w:lineRule="auto"/>
        <w:tabs>
          <w:tab w:leader="none" w:pos="695" w:val="left"/>
        </w:tabs>
        <w:numPr>
          <w:ilvl w:val="0"/>
          <w:numId w:val="567"/>
        </w:numPr>
        <w:rPr>
          <w:rFonts w:ascii="Arial" w:cs="Arial" w:eastAsia="Arial" w:hAnsi="Arial"/>
          <w:sz w:val="18"/>
          <w:szCs w:val="18"/>
          <w:color w:val="auto"/>
        </w:rPr>
      </w:pPr>
      <w:r>
        <w:rPr>
          <w:rFonts w:ascii="Arial" w:cs="Arial" w:eastAsia="Arial" w:hAnsi="Arial"/>
          <w:sz w:val="18"/>
          <w:szCs w:val="18"/>
          <w:b w:val="1"/>
          <w:bCs w:val="1"/>
          <w:color w:val="auto"/>
        </w:rPr>
        <w:t>Additional TI Allowance</w:t>
      </w:r>
      <w:r>
        <w:rPr>
          <w:rFonts w:ascii="Arial" w:cs="Arial" w:eastAsia="Arial" w:hAnsi="Arial"/>
          <w:sz w:val="18"/>
          <w:szCs w:val="18"/>
          <w:color w:val="auto"/>
        </w:rPr>
        <w:t>. In addition to the Tenant Improvement Allowance (as defined in the Work Letter), Landlord shall,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Work Letter, make available to Tenant the Additional Tenant Improvement Allowance (as defined in the Work Letter). Commencing on the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8% per annum over the Base Term, which interest shall begin to accrue on the date that Landlord first disburses such Additional Tenant Improvement Allowance</w:t>
      </w:r>
    </w:p>
    <w:p>
      <w:pPr>
        <w:sectPr>
          <w:pgSz w:w="11900" w:h="16838" w:orient="portrait"/>
          <w:cols w:equalWidth="0" w:num="1">
            <w:col w:w="11020"/>
          </w:cols>
          <w:pgMar w:left="440" w:top="269" w:right="439" w:bottom="1440" w:gutter="0" w:footer="0" w:header="0"/>
        </w:sectPr>
      </w:pPr>
    </w:p>
    <w:bookmarkStart w:id="685" w:name="page686"/>
    <w:bookmarkEnd w:id="68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27</w:t>
      </w:r>
    </w:p>
    <w:p>
      <w:pPr>
        <w:spacing w:after="0" w:line="15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or any portion(s) thereof (“</w:t>
      </w:r>
      <w:r>
        <w:rPr>
          <w:rFonts w:ascii="Arial" w:cs="Arial" w:eastAsia="Arial" w:hAnsi="Arial"/>
          <w:sz w:val="17"/>
          <w:szCs w:val="17"/>
          <w:b w:val="1"/>
          <w:bCs w:val="1"/>
          <w:color w:val="auto"/>
        </w:rPr>
        <w:t>TI Rent</w:t>
      </w:r>
      <w:r>
        <w:rPr>
          <w:rFonts w:ascii="Arial" w:cs="Arial" w:eastAsia="Arial" w:hAnsi="Arial"/>
          <w:sz w:val="17"/>
          <w:szCs w:val="17"/>
          <w:color w:val="auto"/>
        </w:rPr>
        <w:t>”). The TI Rent will not be subject to increase on any Adjustment Date. Any of the Additional Tenant Improvement Allowance and applicable interest remaining unpaid as of the expiration or earlier termination of the Lease (unless such termination is due to a Landlord default or otherwise caused by the act or omission of Landlord or any Landlord Party) shall be paid to Landlord in a lump sum at the expiration or earlier termination of this Lease. Tenant may prepay the TI Rent in full at any time without penalty.</w:t>
      </w:r>
    </w:p>
    <w:p>
      <w:pPr>
        <w:spacing w:after="0" w:line="57" w:lineRule="exact"/>
        <w:rPr>
          <w:sz w:val="20"/>
          <w:szCs w:val="20"/>
          <w:color w:val="auto"/>
        </w:rPr>
      </w:pPr>
    </w:p>
    <w:p>
      <w:pPr>
        <w:ind w:right="20" w:firstLine="444"/>
        <w:spacing w:after="0" w:line="261" w:lineRule="auto"/>
        <w:tabs>
          <w:tab w:leader="none" w:pos="621" w:val="left"/>
        </w:tabs>
        <w:numPr>
          <w:ilvl w:val="0"/>
          <w:numId w:val="568"/>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84"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Notwithstanding anything to the contrary contained in this Lease, for the period commencing on the Commencement Date through the last day of the 18</w:t>
      </w:r>
      <w:r>
        <w:rPr>
          <w:rFonts w:ascii="Arial" w:cs="Arial" w:eastAsia="Arial" w:hAnsi="Arial"/>
          <w:sz w:val="15"/>
          <w:szCs w:val="15"/>
          <w:color w:val="auto"/>
        </w:rPr>
        <w:t>th</w:t>
      </w:r>
      <w:r>
        <w:rPr>
          <w:rFonts w:ascii="Arial" w:cs="Arial" w:eastAsia="Arial" w:hAnsi="Arial"/>
          <w:sz w:val="18"/>
          <w:szCs w:val="18"/>
          <w:color w:val="auto"/>
        </w:rPr>
        <w:t xml:space="preserve"> month after the Commencement Date, Tenant shall be required to pay Operating Expenses with respect to only 50,000 rentable square feet of the Premises. During such period, Tenant’s Share of Operating Expenses of Building shall be 79.37% and Tenant’s Share of Operating Expenses of Project shall be 30.13%. Tenant shall commence paying Operating Expenses with respect to the entire Premises on the first day of the 19</w:t>
      </w:r>
      <w:r>
        <w:rPr>
          <w:rFonts w:ascii="Arial" w:cs="Arial" w:eastAsia="Arial" w:hAnsi="Arial"/>
          <w:sz w:val="15"/>
          <w:szCs w:val="15"/>
          <w:color w:val="auto"/>
        </w:rPr>
        <w:t>th</w:t>
      </w:r>
      <w:r>
        <w:rPr>
          <w:rFonts w:ascii="Arial" w:cs="Arial" w:eastAsia="Arial" w:hAnsi="Arial"/>
          <w:sz w:val="18"/>
          <w:szCs w:val="18"/>
          <w:color w:val="auto"/>
        </w:rPr>
        <w:t xml:space="preserve"> month after the Commencement Date.</w:t>
      </w:r>
    </w:p>
    <w:p>
      <w:pPr>
        <w:spacing w:after="0" w:line="184"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capital repairs and improvements amortized over the lesser of 15 years and the useful life of such capital items, and the costs of Landlord’s third party property manager (not to exceed 3.0% of Base Rent (excluding any TI Rent)) or, if there is no third party property manager, administration rent in the amount of 3.0% of Base Rent (excluding any TI Rent)(provided that during any period of Base Rent Abatement, administration rent shall not be abated and shall be based on the amount of Base Rent that would have been payable but for the Base Rent Abatement), excluding only:</w:t>
      </w:r>
    </w:p>
    <w:p>
      <w:pPr>
        <w:spacing w:after="0" w:line="81" w:lineRule="exact"/>
        <w:rPr>
          <w:sz w:val="20"/>
          <w:szCs w:val="20"/>
          <w:color w:val="auto"/>
        </w:rPr>
      </w:pPr>
    </w:p>
    <w:p>
      <w:pPr>
        <w:ind w:right="540" w:firstLine="444"/>
        <w:spacing w:after="0" w:line="277" w:lineRule="auto"/>
        <w:tabs>
          <w:tab w:leader="none" w:pos="68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Commencement Date (and the original construction costs of the parking structure) and costs of correcting defects in all such original construction or renovation;</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117" w:lineRule="exact"/>
        <w:rPr>
          <w:rFonts w:ascii="Arial" w:cs="Arial" w:eastAsia="Arial" w:hAnsi="Arial"/>
          <w:sz w:val="18"/>
          <w:szCs w:val="18"/>
          <w:color w:val="auto"/>
        </w:rPr>
      </w:pPr>
    </w:p>
    <w:p>
      <w:pPr>
        <w:ind w:right="140" w:firstLine="444"/>
        <w:spacing w:after="0" w:line="277" w:lineRule="auto"/>
        <w:tabs>
          <w:tab w:leader="none" w:pos="68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or any ground lease payments;</w:t>
      </w:r>
    </w:p>
    <w:p>
      <w:pPr>
        <w:spacing w:after="0" w:line="62" w:lineRule="exact"/>
        <w:rPr>
          <w:rFonts w:ascii="Arial" w:cs="Arial" w:eastAsia="Arial" w:hAnsi="Arial"/>
          <w:sz w:val="18"/>
          <w:szCs w:val="18"/>
          <w:color w:val="auto"/>
        </w:rPr>
      </w:pPr>
    </w:p>
    <w:p>
      <w:pPr>
        <w:ind w:right="540" w:firstLine="444"/>
        <w:spacing w:after="0" w:line="277" w:lineRule="auto"/>
        <w:tabs>
          <w:tab w:leader="none" w:pos="696"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depreciation of the Project (except for capital improvements, the cost of which are permitted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to be included in Operating Expenses);</w:t>
      </w:r>
    </w:p>
    <w:p>
      <w:pPr>
        <w:spacing w:after="0" w:line="62" w:lineRule="exact"/>
        <w:rPr>
          <w:rFonts w:ascii="Arial" w:cs="Arial" w:eastAsia="Arial" w:hAnsi="Arial"/>
          <w:sz w:val="18"/>
          <w:szCs w:val="18"/>
          <w:color w:val="auto"/>
        </w:rPr>
      </w:pPr>
    </w:p>
    <w:p>
      <w:pPr>
        <w:ind w:right="120" w:firstLine="444"/>
        <w:spacing w:after="0" w:line="308" w:lineRule="auto"/>
        <w:tabs>
          <w:tab w:leader="none" w:pos="68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ectPr>
          <w:pgSz w:w="11900" w:h="16838" w:orient="portrait"/>
          <w:cols w:equalWidth="0" w:num="1">
            <w:col w:w="11020"/>
          </w:cols>
          <w:pgMar w:left="440" w:top="271" w:right="439" w:bottom="1440" w:gutter="0" w:footer="0" w:header="0"/>
        </w:sectPr>
      </w:pPr>
    </w:p>
    <w:bookmarkStart w:id="686" w:name="page687"/>
    <w:bookmarkEnd w:id="68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28</w:t>
      </w:r>
    </w:p>
    <w:p>
      <w:pPr>
        <w:spacing w:after="0" w:line="162" w:lineRule="exact"/>
        <w:rPr>
          <w:sz w:val="20"/>
          <w:szCs w:val="20"/>
          <w:color w:val="auto"/>
        </w:rPr>
      </w:pPr>
    </w:p>
    <w:p>
      <w:pPr>
        <w:ind w:left="660" w:hanging="216"/>
        <w:spacing w:after="0"/>
        <w:tabs>
          <w:tab w:leader="none" w:pos="66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17" w:lineRule="exact"/>
        <w:rPr>
          <w:rFonts w:ascii="Arial" w:cs="Arial" w:eastAsia="Arial" w:hAnsi="Arial"/>
          <w:sz w:val="18"/>
          <w:szCs w:val="18"/>
          <w:color w:val="auto"/>
        </w:rPr>
      </w:pPr>
    </w:p>
    <w:p>
      <w:pPr>
        <w:ind w:right="420" w:firstLine="444"/>
        <w:spacing w:after="0" w:line="277" w:lineRule="auto"/>
        <w:tabs>
          <w:tab w:leader="none" w:pos="69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62" w:lineRule="exact"/>
        <w:rPr>
          <w:rFonts w:ascii="Arial" w:cs="Arial" w:eastAsia="Arial" w:hAnsi="Arial"/>
          <w:sz w:val="18"/>
          <w:szCs w:val="18"/>
          <w:color w:val="auto"/>
        </w:rPr>
      </w:pPr>
    </w:p>
    <w:p>
      <w:pPr>
        <w:ind w:right="360" w:firstLine="444"/>
        <w:spacing w:after="0" w:line="277" w:lineRule="auto"/>
        <w:tabs>
          <w:tab w:leader="none" w:pos="69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third parties, or Taxes to be paid directly by Tenant or other tenants of the Project, whether or not actually paid;</w:t>
      </w:r>
    </w:p>
    <w:p>
      <w:pPr>
        <w:spacing w:after="0" w:line="62" w:lineRule="exact"/>
        <w:rPr>
          <w:rFonts w:ascii="Arial" w:cs="Arial" w:eastAsia="Arial" w:hAnsi="Arial"/>
          <w:sz w:val="18"/>
          <w:szCs w:val="18"/>
          <w:color w:val="auto"/>
        </w:rPr>
      </w:pPr>
    </w:p>
    <w:p>
      <w:pPr>
        <w:jc w:val="both"/>
        <w:ind w:right="280" w:firstLine="444"/>
        <w:spacing w:after="0" w:line="286" w:lineRule="auto"/>
        <w:tabs>
          <w:tab w:leader="none" w:pos="656" w:val="left"/>
        </w:tabs>
        <w:numPr>
          <w:ilvl w:val="0"/>
          <w:numId w:val="570"/>
        </w:numPr>
        <w:rPr>
          <w:rFonts w:ascii="Arial" w:cs="Arial" w:eastAsia="Arial" w:hAnsi="Arial"/>
          <w:sz w:val="17"/>
          <w:szCs w:val="17"/>
          <w:color w:val="auto"/>
        </w:rPr>
      </w:pPr>
      <w:r>
        <w:rPr>
          <w:rFonts w:ascii="Arial" w:cs="Arial" w:eastAsia="Arial" w:hAnsi="Arial"/>
          <w:sz w:val="17"/>
          <w:szCs w:val="17"/>
          <w:color w:val="auto"/>
        </w:rPr>
        <w:t>salaries, wages, benefits and other compensation paid to officers and employees of Landlord who are not assigned in whole or in part to the operation, management, maintenance or repair of the Project (which costs shall be prorated if such officers and employees are assigned to the Project only in part in proportion to the amount of time spent by such officers and employees on the Project);</w:t>
      </w:r>
    </w:p>
    <w:p>
      <w:pPr>
        <w:spacing w:after="0" w:line="57" w:lineRule="exact"/>
        <w:rPr>
          <w:rFonts w:ascii="Arial" w:cs="Arial" w:eastAsia="Arial" w:hAnsi="Arial"/>
          <w:sz w:val="17"/>
          <w:szCs w:val="17"/>
          <w:color w:val="auto"/>
        </w:rPr>
      </w:pPr>
    </w:p>
    <w:p>
      <w:pPr>
        <w:ind w:right="160" w:firstLine="444"/>
        <w:spacing w:after="0" w:line="277" w:lineRule="auto"/>
        <w:tabs>
          <w:tab w:leader="none" w:pos="65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62" w:lineRule="exact"/>
        <w:rPr>
          <w:rFonts w:ascii="Arial" w:cs="Arial" w:eastAsia="Arial" w:hAnsi="Arial"/>
          <w:sz w:val="18"/>
          <w:szCs w:val="18"/>
          <w:color w:val="auto"/>
        </w:rPr>
      </w:pPr>
    </w:p>
    <w:p>
      <w:pPr>
        <w:ind w:right="160" w:firstLine="444"/>
        <w:spacing w:after="0" w:line="286" w:lineRule="auto"/>
        <w:tabs>
          <w:tab w:leader="none" w:pos="696" w:val="left"/>
        </w:tabs>
        <w:numPr>
          <w:ilvl w:val="0"/>
          <w:numId w:val="570"/>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the Project;</w:t>
      </w:r>
    </w:p>
    <w:p>
      <w:pPr>
        <w:spacing w:after="0" w:line="57" w:lineRule="exact"/>
        <w:rPr>
          <w:rFonts w:ascii="Arial" w:cs="Arial" w:eastAsia="Arial" w:hAnsi="Arial"/>
          <w:sz w:val="17"/>
          <w:szCs w:val="17"/>
          <w:color w:val="auto"/>
        </w:rPr>
      </w:pPr>
    </w:p>
    <w:p>
      <w:pPr>
        <w:ind w:right="200" w:firstLine="444"/>
        <w:spacing w:after="0" w:line="277" w:lineRule="auto"/>
        <w:tabs>
          <w:tab w:leader="none" w:pos="65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40" w:firstLine="444"/>
        <w:spacing w:after="0" w:line="264" w:lineRule="auto"/>
        <w:tabs>
          <w:tab w:leader="none" w:pos="74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73" w:lineRule="exact"/>
        <w:rPr>
          <w:rFonts w:ascii="Arial" w:cs="Arial" w:eastAsia="Arial" w:hAnsi="Arial"/>
          <w:sz w:val="18"/>
          <w:szCs w:val="18"/>
          <w:color w:val="auto"/>
        </w:rPr>
      </w:pPr>
    </w:p>
    <w:p>
      <w:pPr>
        <w:ind w:right="160" w:firstLine="444"/>
        <w:spacing w:after="0" w:line="308" w:lineRule="auto"/>
        <w:tabs>
          <w:tab w:leader="none" w:pos="696" w:val="left"/>
        </w:tabs>
        <w:numPr>
          <w:ilvl w:val="0"/>
          <w:numId w:val="570"/>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117" w:lineRule="exact"/>
        <w:rPr>
          <w:rFonts w:ascii="Arial" w:cs="Arial" w:eastAsia="Arial" w:hAnsi="Arial"/>
          <w:sz w:val="18"/>
          <w:szCs w:val="18"/>
          <w:color w:val="auto"/>
        </w:rPr>
      </w:pPr>
    </w:p>
    <w:p>
      <w:pPr>
        <w:jc w:val="both"/>
        <w:ind w:right="140" w:firstLine="444"/>
        <w:spacing w:after="0" w:line="264" w:lineRule="auto"/>
        <w:tabs>
          <w:tab w:leader="none" w:pos="69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ectPr>
          <w:pgSz w:w="11900" w:h="16838" w:orient="portrait"/>
          <w:cols w:equalWidth="0" w:num="1">
            <w:col w:w="11020"/>
          </w:cols>
          <w:pgMar w:left="440" w:top="270" w:right="439" w:bottom="1440" w:gutter="0" w:footer="0" w:header="0"/>
        </w:sectPr>
      </w:pPr>
    </w:p>
    <w:bookmarkStart w:id="687" w:name="page688"/>
    <w:bookmarkEnd w:id="68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29</w:t>
      </w:r>
    </w:p>
    <w:p>
      <w:pPr>
        <w:spacing w:after="0" w:line="162" w:lineRule="exact"/>
        <w:rPr>
          <w:sz w:val="20"/>
          <w:szCs w:val="20"/>
          <w:color w:val="auto"/>
        </w:rPr>
      </w:pPr>
    </w:p>
    <w:p>
      <w:pPr>
        <w:ind w:right="80" w:firstLine="444"/>
        <w:spacing w:after="0" w:line="277" w:lineRule="auto"/>
        <w:tabs>
          <w:tab w:leader="none" w:pos="66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62" w:lineRule="exact"/>
        <w:rPr>
          <w:rFonts w:ascii="Arial" w:cs="Arial" w:eastAsia="Arial" w:hAnsi="Arial"/>
          <w:sz w:val="18"/>
          <w:szCs w:val="18"/>
          <w:color w:val="auto"/>
        </w:rPr>
      </w:pPr>
    </w:p>
    <w:p>
      <w:pPr>
        <w:ind w:right="120" w:firstLine="444"/>
        <w:spacing w:after="0" w:line="277" w:lineRule="auto"/>
        <w:tabs>
          <w:tab w:leader="none" w:pos="67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Materials in or about the Building or the Project (provided, however, that the foregoing is in no event intended to limit Tenant’s obligations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of this Lease);</w:t>
      </w:r>
    </w:p>
    <w:p>
      <w:pPr>
        <w:spacing w:after="0" w:line="62" w:lineRule="exact"/>
        <w:rPr>
          <w:rFonts w:ascii="Arial" w:cs="Arial" w:eastAsia="Arial" w:hAnsi="Arial"/>
          <w:sz w:val="18"/>
          <w:szCs w:val="18"/>
          <w:color w:val="auto"/>
        </w:rPr>
      </w:pPr>
    </w:p>
    <w:p>
      <w:pPr>
        <w:ind w:right="780" w:firstLine="444"/>
        <w:spacing w:after="0" w:line="277" w:lineRule="auto"/>
        <w:tabs>
          <w:tab w:leader="none" w:pos="65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costs of removing abandoned HVAC and other equipment and related pipes, conduit and fixtures from the roof, or relocating antenna equipment of third parties unrelated to Tenant;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reserves;</w:t>
      </w:r>
    </w:p>
    <w:p>
      <w:pPr>
        <w:spacing w:after="0" w:line="117"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any expenses otherwise includable within Operating Expenses to the extent actually reimbursed by insurance (or would have been reimbursed by insurance required to be carried by Landlord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444"/>
        <w:spacing w:after="0" w:line="277" w:lineRule="auto"/>
        <w:tabs>
          <w:tab w:leader="none" w:pos="73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costs in connection with the Amenities (as defined in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other than the Amenities Fee (as defined in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payable by Tenant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costs occasioned by condemnation;</w:t>
      </w:r>
    </w:p>
    <w:p>
      <w:pPr>
        <w:spacing w:after="0" w:line="117" w:lineRule="exact"/>
        <w:rPr>
          <w:rFonts w:ascii="Arial" w:cs="Arial" w:eastAsia="Arial" w:hAnsi="Arial"/>
          <w:sz w:val="18"/>
          <w:szCs w:val="18"/>
          <w:color w:val="auto"/>
        </w:rPr>
      </w:pPr>
    </w:p>
    <w:p>
      <w:pPr>
        <w:ind w:right="140" w:firstLine="444"/>
        <w:spacing w:after="0" w:line="277" w:lineRule="auto"/>
        <w:tabs>
          <w:tab w:leader="none" w:pos="69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long term rentals for equipment ordinarily considered to be of a capital nature except if such equipment is customarily leased in the operation of first class laboratory/ office buildings in the San Diego metropolitan area;</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capital expenditures and repair and maintenance expenses made to the building located at 3033 Science Park Road, San Diego, California;</w:t>
      </w:r>
    </w:p>
    <w:p>
      <w:pPr>
        <w:spacing w:after="0" w:line="140" w:lineRule="exact"/>
        <w:rPr>
          <w:rFonts w:ascii="Arial" w:cs="Arial" w:eastAsia="Arial" w:hAnsi="Arial"/>
          <w:sz w:val="16"/>
          <w:szCs w:val="16"/>
          <w:color w:val="auto"/>
        </w:rPr>
      </w:pPr>
    </w:p>
    <w:p>
      <w:pPr>
        <w:ind w:left="760" w:hanging="316"/>
        <w:spacing w:after="0"/>
        <w:tabs>
          <w:tab w:leader="none" w:pos="760" w:val="left"/>
        </w:tabs>
        <w:numPr>
          <w:ilvl w:val="0"/>
          <w:numId w:val="571"/>
        </w:numPr>
        <w:rPr>
          <w:rFonts w:ascii="Arial" w:cs="Arial" w:eastAsia="Arial" w:hAnsi="Arial"/>
          <w:sz w:val="17"/>
          <w:szCs w:val="17"/>
          <w:color w:val="auto"/>
        </w:rPr>
      </w:pPr>
      <w:r>
        <w:rPr>
          <w:rFonts w:ascii="Arial" w:cs="Arial" w:eastAsia="Arial" w:hAnsi="Arial"/>
          <w:sz w:val="17"/>
          <w:szCs w:val="17"/>
          <w:color w:val="auto"/>
        </w:rPr>
        <w:t>any “tap fees” or one-time lump sewer, water or utility hook up fee incurred by Landlord as part of Landlord’s Work;</w:t>
      </w:r>
    </w:p>
    <w:p>
      <w:pPr>
        <w:spacing w:after="0" w:line="129" w:lineRule="exact"/>
        <w:rPr>
          <w:sz w:val="20"/>
          <w:szCs w:val="20"/>
          <w:color w:val="auto"/>
        </w:rPr>
      </w:pPr>
    </w:p>
    <w:p>
      <w:pPr>
        <w:ind w:left="780" w:hanging="336"/>
        <w:spacing w:after="0"/>
        <w:tabs>
          <w:tab w:leader="none" w:pos="7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cost of performing Landlord’s Work;</w:t>
      </w:r>
    </w:p>
    <w:p>
      <w:pPr>
        <w:spacing w:after="0" w:line="117" w:lineRule="exact"/>
        <w:rPr>
          <w:rFonts w:ascii="Arial" w:cs="Arial" w:eastAsia="Arial" w:hAnsi="Arial"/>
          <w:sz w:val="18"/>
          <w:szCs w:val="18"/>
          <w:color w:val="auto"/>
        </w:rPr>
      </w:pPr>
    </w:p>
    <w:p>
      <w:pPr>
        <w:ind w:right="700" w:firstLine="444"/>
        <w:spacing w:after="0" w:line="277" w:lineRule="auto"/>
        <w:tabs>
          <w:tab w:leader="none" w:pos="765" w:val="left"/>
        </w:tabs>
        <w:numPr>
          <w:ilvl w:val="0"/>
          <w:numId w:val="572"/>
        </w:numPr>
        <w:rPr>
          <w:rFonts w:ascii="Arial" w:cs="Arial" w:eastAsia="Arial" w:hAnsi="Arial"/>
          <w:sz w:val="18"/>
          <w:szCs w:val="18"/>
          <w:color w:val="auto"/>
        </w:rPr>
      </w:pPr>
      <w:r>
        <w:rPr>
          <w:rFonts w:ascii="Arial" w:cs="Arial" w:eastAsia="Arial" w:hAnsi="Arial"/>
          <w:sz w:val="18"/>
          <w:szCs w:val="18"/>
          <w:color w:val="auto"/>
        </w:rPr>
        <w:t>insurance deductibles in excess of deductibles that Tenant can demonstrate are in excess of customary deductible amounts carried by institutional owners of comparable projects in the Torrey Pines area; and</w:t>
      </w:r>
    </w:p>
    <w:p>
      <w:pPr>
        <w:spacing w:after="0" w:line="62" w:lineRule="exact"/>
        <w:rPr>
          <w:rFonts w:ascii="Arial" w:cs="Arial" w:eastAsia="Arial" w:hAnsi="Arial"/>
          <w:sz w:val="18"/>
          <w:szCs w:val="18"/>
          <w:color w:val="auto"/>
        </w:rPr>
      </w:pPr>
    </w:p>
    <w:p>
      <w:pPr>
        <w:ind w:right="180" w:firstLine="444"/>
        <w:spacing w:after="0" w:line="277" w:lineRule="auto"/>
        <w:tabs>
          <w:tab w:leader="none" w:pos="786"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w:t>
      </w:r>
    </w:p>
    <w:p>
      <w:pPr>
        <w:sectPr>
          <w:pgSz w:w="11900" w:h="16838" w:orient="portrait"/>
          <w:cols w:equalWidth="0" w:num="1">
            <w:col w:w="11020"/>
          </w:cols>
          <w:pgMar w:left="440" w:top="270" w:right="439" w:bottom="1440" w:gutter="0" w:footer="0" w:header="0"/>
        </w:sectPr>
      </w:pPr>
    </w:p>
    <w:bookmarkStart w:id="688" w:name="page689"/>
    <w:bookmarkEnd w:id="68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30</w:t>
      </w:r>
    </w:p>
    <w:p>
      <w:pPr>
        <w:spacing w:after="0" w:line="1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81"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The Annual Statement shall be final and binding upon Tenant unless Tenant, within 120 days after Tenant’s receipt thereof, shall contest any item therein by giving written notice to Landlord, specifying each item contested and the reason therefor. If, during such 120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and in good faith determines to be responsive to Tenant’s questions, including source documentation for the disputed items (the “</w:t>
      </w:r>
      <w:r>
        <w:rPr>
          <w:rFonts w:ascii="Arial" w:cs="Arial" w:eastAsia="Arial" w:hAnsi="Arial"/>
          <w:sz w:val="16"/>
          <w:szCs w:val="16"/>
          <w:b w:val="1"/>
          <w:bCs w:val="1"/>
          <w:color w:val="auto"/>
        </w:rPr>
        <w:t>Expense Information</w:t>
      </w:r>
      <w:r>
        <w:rPr>
          <w:rFonts w:ascii="Arial" w:cs="Arial" w:eastAsia="Arial" w:hAnsi="Arial"/>
          <w:sz w:val="16"/>
          <w:szCs w:val="16"/>
          <w:color w:val="auto"/>
        </w:rPr>
        <w:t>”). If after Tenant’s review of such Expense Information, Landlord and Tenant cannot agree upon the amount of Tenant’s Share of Operating Expenses, then Tenant shall have the right to have an independent regionally recognized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w:t>
      </w:r>
    </w:p>
    <w:p>
      <w:pPr>
        <w:spacing w:after="0" w:line="173" w:lineRule="exact"/>
        <w:rPr>
          <w:sz w:val="20"/>
          <w:szCs w:val="20"/>
          <w:color w:val="auto"/>
        </w:rPr>
      </w:pPr>
    </w:p>
    <w:p>
      <w:pPr>
        <w:ind w:right="20" w:firstLine="441"/>
        <w:spacing w:after="0" w:line="282" w:lineRule="auto"/>
        <w:rPr>
          <w:sz w:val="20"/>
          <w:szCs w:val="20"/>
          <w:color w:val="auto"/>
        </w:rPr>
      </w:pPr>
      <w:r>
        <w:rPr>
          <w:rFonts w:ascii="Arial" w:cs="Arial" w:eastAsia="Arial" w:hAnsi="Arial"/>
          <w:sz w:val="16"/>
          <w:szCs w:val="16"/>
          <w:color w:val="auto"/>
        </w:rPr>
        <w:t>The rentable square footage of the Premises shall be adjusted prior to the Commencement Date based upon the construction drawings for the Building Shell (as defined in the Work Letter), using the 2010 Standard Method of Measuring Floor Area in Office Buildings for single tenant buildings as adopted by the Building Owners and Managers Association (ANSI/BOMA Z65.1-2010)(the “</w:t>
      </w:r>
      <w:r>
        <w:rPr>
          <w:rFonts w:ascii="Arial" w:cs="Arial" w:eastAsia="Arial" w:hAnsi="Arial"/>
          <w:sz w:val="16"/>
          <w:szCs w:val="16"/>
          <w:b w:val="1"/>
          <w:bCs w:val="1"/>
          <w:color w:val="auto"/>
        </w:rPr>
        <w:t>Measurement Standard</w:t>
      </w:r>
      <w:r>
        <w:rPr>
          <w:rFonts w:ascii="Arial" w:cs="Arial" w:eastAsia="Arial" w:hAnsi="Arial"/>
          <w:sz w:val="16"/>
          <w:szCs w:val="16"/>
          <w:color w:val="auto"/>
        </w:rPr>
        <w:t>”); provided that (except in the event that Tenant leases other premises at the Project) in no event will the final rentable square footage of the Premises be more than 5% higher than 63,000 for purposes of calculating all of Tenant’s financial obligations hereunder (i.e., if the Premises is larger, Tenant will not be obligated to pay rent or expenses for the additional square footage but all other terms and conditions of this Lease will apply to such additional space). A copy of the letter or report from the TI Architect (as defined in the Work Letter) setting forth its calculation of the actual Rentable Area of the Premises based upon the construction drawings for the Building Shell (and using the Measurement Standard), together with all documentary support therefor, shall be furnished to Landlord and Tenant (the “</w:t>
      </w:r>
      <w:r>
        <w:rPr>
          <w:rFonts w:ascii="Arial" w:cs="Arial" w:eastAsia="Arial" w:hAnsi="Arial"/>
          <w:sz w:val="16"/>
          <w:szCs w:val="16"/>
          <w:b w:val="1"/>
          <w:bCs w:val="1"/>
          <w:color w:val="auto"/>
        </w:rPr>
        <w:t>Notice of Re-determination of RSF</w:t>
      </w:r>
      <w:r>
        <w:rPr>
          <w:rFonts w:ascii="Arial" w:cs="Arial" w:eastAsia="Arial" w:hAnsi="Arial"/>
          <w:sz w:val="16"/>
          <w:szCs w:val="16"/>
          <w:color w:val="auto"/>
        </w:rPr>
        <w:t>”). If, within 15 days after receipt of the Notice of Re-determination of RSF, either party disputes in good faith the results of the calculation, then such party shall notify the other party and the TI Architect in writing setting forth in reasonable detail the particular matters which such party disputes. Within 30 days after timely receipt of a dispute notice, the TI Architect shall consider the disputed matter and advise the parties of its conclusion and whether there should be an adjustment to its original Notice of Re-determination of RSF. The decision of the TI Architect, following the dispute process provided for above, shall be binding on both parties and not subject to further challenge. If the actual rentable square footage of the Premises as set forth in the Notice of Re-determination of RSF deviates from the amount specified in the definitions of “</w:t>
      </w:r>
      <w:r>
        <w:rPr>
          <w:rFonts w:ascii="Arial" w:cs="Arial" w:eastAsia="Arial" w:hAnsi="Arial"/>
          <w:sz w:val="16"/>
          <w:szCs w:val="16"/>
          <w:b w:val="1"/>
          <w:bCs w:val="1"/>
          <w:color w:val="auto"/>
        </w:rPr>
        <w:t>Premises</w:t>
      </w:r>
      <w:r>
        <w:rPr>
          <w:rFonts w:ascii="Arial" w:cs="Arial" w:eastAsia="Arial" w:hAnsi="Arial"/>
          <w:sz w:val="16"/>
          <w:szCs w:val="16"/>
          <w:color w:val="auto"/>
        </w:rPr>
        <w:t>”, “</w:t>
      </w:r>
      <w:r>
        <w:rPr>
          <w:rFonts w:ascii="Arial" w:cs="Arial" w:eastAsia="Arial" w:hAnsi="Arial"/>
          <w:sz w:val="16"/>
          <w:szCs w:val="16"/>
          <w:b w:val="1"/>
          <w:bCs w:val="1"/>
          <w:color w:val="auto"/>
        </w:rPr>
        <w:t>Rentable Area of Premises</w:t>
      </w:r>
      <w:r>
        <w:rPr>
          <w:rFonts w:ascii="Arial" w:cs="Arial" w:eastAsia="Arial" w:hAnsi="Arial"/>
          <w:sz w:val="16"/>
          <w:szCs w:val="16"/>
          <w:color w:val="auto"/>
        </w:rPr>
        <w:t>” and “</w:t>
      </w:r>
      <w:r>
        <w:rPr>
          <w:rFonts w:ascii="Arial" w:cs="Arial" w:eastAsia="Arial" w:hAnsi="Arial"/>
          <w:sz w:val="16"/>
          <w:szCs w:val="16"/>
          <w:b w:val="1"/>
          <w:bCs w:val="1"/>
          <w:color w:val="auto"/>
        </w:rPr>
        <w:t>Rentable Area of Building</w:t>
      </w:r>
      <w:r>
        <w:rPr>
          <w:rFonts w:ascii="Arial" w:cs="Arial" w:eastAsia="Arial" w:hAnsi="Arial"/>
          <w:sz w:val="16"/>
          <w:szCs w:val="16"/>
          <w:color w:val="auto"/>
        </w:rPr>
        <w:t>” on page 1 of this Lease, then, subject to the 5% cap on increases set forth above, this Lease shall be amended so as to (i) reflect the actual rentable square footage as set forth in the Notice of Re-determination of RSF in the definitions of “</w:t>
      </w:r>
      <w:r>
        <w:rPr>
          <w:rFonts w:ascii="Arial" w:cs="Arial" w:eastAsia="Arial" w:hAnsi="Arial"/>
          <w:sz w:val="16"/>
          <w:szCs w:val="16"/>
          <w:b w:val="1"/>
          <w:bCs w:val="1"/>
          <w:color w:val="auto"/>
        </w:rPr>
        <w:t>Premises</w:t>
      </w:r>
      <w:r>
        <w:rPr>
          <w:rFonts w:ascii="Arial" w:cs="Arial" w:eastAsia="Arial" w:hAnsi="Arial"/>
          <w:sz w:val="16"/>
          <w:szCs w:val="16"/>
          <w:color w:val="auto"/>
        </w:rPr>
        <w:t>”, “</w:t>
      </w:r>
      <w:r>
        <w:rPr>
          <w:rFonts w:ascii="Arial" w:cs="Arial" w:eastAsia="Arial" w:hAnsi="Arial"/>
          <w:sz w:val="16"/>
          <w:szCs w:val="16"/>
          <w:b w:val="1"/>
          <w:bCs w:val="1"/>
          <w:color w:val="auto"/>
        </w:rPr>
        <w:t>Rentable Area of Premises</w:t>
      </w:r>
      <w:r>
        <w:rPr>
          <w:rFonts w:ascii="Arial" w:cs="Arial" w:eastAsia="Arial" w:hAnsi="Arial"/>
          <w:sz w:val="16"/>
          <w:szCs w:val="16"/>
          <w:color w:val="auto"/>
        </w:rPr>
        <w:t>”, “</w:t>
      </w:r>
      <w:r>
        <w:rPr>
          <w:rFonts w:ascii="Arial" w:cs="Arial" w:eastAsia="Arial" w:hAnsi="Arial"/>
          <w:sz w:val="16"/>
          <w:szCs w:val="16"/>
          <w:b w:val="1"/>
          <w:bCs w:val="1"/>
          <w:color w:val="auto"/>
        </w:rPr>
        <w:t>Rentable Area of Building</w:t>
      </w:r>
      <w:r>
        <w:rPr>
          <w:rFonts w:ascii="Arial" w:cs="Arial" w:eastAsia="Arial" w:hAnsi="Arial"/>
          <w:sz w:val="16"/>
          <w:szCs w:val="16"/>
          <w:color w:val="auto"/>
        </w:rPr>
        <w:t>” and “</w:t>
      </w:r>
      <w:r>
        <w:rPr>
          <w:rFonts w:ascii="Arial" w:cs="Arial" w:eastAsia="Arial" w:hAnsi="Arial"/>
          <w:sz w:val="16"/>
          <w:szCs w:val="16"/>
          <w:b w:val="1"/>
          <w:bCs w:val="1"/>
          <w:color w:val="auto"/>
        </w:rPr>
        <w:t>Rentable Area of Project</w:t>
      </w:r>
      <w:r>
        <w:rPr>
          <w:rFonts w:ascii="Arial" w:cs="Arial" w:eastAsia="Arial" w:hAnsi="Arial"/>
          <w:sz w:val="16"/>
          <w:szCs w:val="16"/>
          <w:color w:val="auto"/>
        </w:rPr>
        <w:t>”, and</w:t>
      </w:r>
    </w:p>
    <w:p>
      <w:pPr>
        <w:spacing w:after="0" w:line="13" w:lineRule="exact"/>
        <w:rPr>
          <w:sz w:val="20"/>
          <w:szCs w:val="20"/>
          <w:color w:val="auto"/>
        </w:rPr>
      </w:pPr>
    </w:p>
    <w:p>
      <w:pPr>
        <w:ind w:right="440" w:firstLine="4"/>
        <w:spacing w:after="0" w:line="261" w:lineRule="auto"/>
        <w:tabs>
          <w:tab w:leader="none" w:pos="26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appropriately adjust the amount set forth in the definition of “</w:t>
      </w:r>
      <w:r>
        <w:rPr>
          <w:rFonts w:ascii="Arial" w:cs="Arial" w:eastAsia="Arial" w:hAnsi="Arial"/>
          <w:sz w:val="18"/>
          <w:szCs w:val="18"/>
          <w:b w:val="1"/>
          <w:bCs w:val="1"/>
          <w:color w:val="auto"/>
        </w:rPr>
        <w:t>Tenant’s Share of Operating of the Project</w:t>
      </w:r>
      <w:r>
        <w:rPr>
          <w:rFonts w:ascii="Arial" w:cs="Arial" w:eastAsia="Arial" w:hAnsi="Arial"/>
          <w:sz w:val="18"/>
          <w:szCs w:val="18"/>
          <w:color w:val="auto"/>
        </w:rPr>
        <w:t>” which was calculated based on the square footages set forth on page 1 of this Lease.</w:t>
      </w:r>
    </w:p>
    <w:p>
      <w:pPr>
        <w:sectPr>
          <w:pgSz w:w="11900" w:h="16838" w:orient="portrait"/>
          <w:cols w:equalWidth="0" w:num="1">
            <w:col w:w="11020"/>
          </w:cols>
          <w:pgMar w:left="440" w:top="271" w:right="439" w:bottom="1440" w:gutter="0" w:footer="0" w:header="0"/>
        </w:sectPr>
      </w:pPr>
    </w:p>
    <w:bookmarkStart w:id="689" w:name="page690"/>
    <w:bookmarkEnd w:id="68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31</w:t>
      </w:r>
    </w:p>
    <w:p>
      <w:pPr>
        <w:spacing w:after="0" w:line="158"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percentages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76" w:lineRule="exact"/>
        <w:rPr>
          <w:sz w:val="20"/>
          <w:szCs w:val="20"/>
          <w:color w:val="auto"/>
        </w:rPr>
      </w:pPr>
    </w:p>
    <w:p>
      <w:pPr>
        <w:ind w:left="620" w:hanging="176"/>
        <w:spacing w:after="0"/>
        <w:tabs>
          <w:tab w:leader="none" w:pos="620" w:val="left"/>
        </w:tabs>
        <w:numPr>
          <w:ilvl w:val="0"/>
          <w:numId w:val="574"/>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80" w:firstLine="444"/>
        <w:spacing w:after="0" w:line="289" w:lineRule="auto"/>
        <w:tabs>
          <w:tab w:leader="none" w:pos="621" w:val="left"/>
        </w:tabs>
        <w:numPr>
          <w:ilvl w:val="0"/>
          <w:numId w:val="574"/>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on page 1 of this Lease, and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w:t>
      </w:r>
    </w:p>
    <w:p>
      <w:pPr>
        <w:spacing w:after="0" w:line="1"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(together with the regulations promulgated pursuant thereto, “</w:t>
      </w:r>
      <w:r>
        <w:rPr>
          <w:rFonts w:ascii="Arial" w:cs="Arial" w:eastAsia="Arial" w:hAnsi="Arial"/>
          <w:sz w:val="17"/>
          <w:szCs w:val="17"/>
          <w:b w:val="1"/>
          <w:bCs w:val="1"/>
          <w:color w:val="auto"/>
        </w:rPr>
        <w:t>ADA</w:t>
      </w:r>
      <w:r>
        <w:rPr>
          <w:rFonts w:ascii="Arial" w:cs="Arial" w:eastAsia="Arial" w:hAnsi="Arial"/>
          <w:sz w:val="17"/>
          <w:szCs w:val="17"/>
          <w:color w:val="auto"/>
        </w:rPr>
        <w:t>”)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 and each, a “</w:t>
      </w:r>
      <w:r>
        <w:rPr>
          <w:rFonts w:ascii="Arial" w:cs="Arial" w:eastAsia="Arial" w:hAnsi="Arial"/>
          <w:sz w:val="17"/>
          <w:szCs w:val="17"/>
          <w:b w:val="1"/>
          <w:bCs w:val="1"/>
          <w:color w:val="auto"/>
        </w:rPr>
        <w:t>Legal Requirement</w:t>
      </w:r>
      <w:r>
        <w:rPr>
          <w:rFonts w:ascii="Arial" w:cs="Arial" w:eastAsia="Arial" w:hAnsi="Arial"/>
          <w:sz w:val="17"/>
          <w:szCs w:val="17"/>
          <w:color w:val="auto"/>
        </w:rPr>
        <w:t xml:space="preserve">”). Tenant shall, upon 5 days’ written notice from Landlord, discontinue any use of the Premises which is declared by any Governmental Authority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having jurisdiction to be a violation of a Legal Requirement. Tenant will not use or permit the Premises to be used for any purpose or in any manner that would void Tenant’s or Landlord’s insurance, materially increase the insurance risk as a result of a change in Tenant’s operations following the Commencement Date to include activities not customarily being performed by comparable tenants in comparable buildings in the Torrey Pines area,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particular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will overload the floor in or upon the Premises (unless Tenant agrees to pay for any reinforcement of the floor as reasonably determined to be necessary by Landlord) or transport or move such items through the Common Areas of the Project or in the Project elevators without the prior written consent of Landlord, which consent shall not be unreasonably withheld. Except as may be provided under the Work Letter, Tenant shall not, without the prior written consent of Landlord, use the Premises in any manner which will require ventilation, air exchange, heating, gas, steam, electricity or water beyond the existing capacity of the Building (unless Tenant agrees to pay the cost of any increase in capacity).</w:t>
      </w:r>
    </w:p>
    <w:p>
      <w:pPr>
        <w:sectPr>
          <w:pgSz w:w="11900" w:h="16838" w:orient="portrait"/>
          <w:cols w:equalWidth="0" w:num="1">
            <w:col w:w="11020"/>
          </w:cols>
          <w:pgMar w:left="440" w:top="270" w:right="439" w:bottom="1440" w:gutter="0" w:footer="0" w:header="0"/>
        </w:sectPr>
      </w:pPr>
    </w:p>
    <w:bookmarkStart w:id="690" w:name="page691"/>
    <w:bookmarkEnd w:id="69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32</w:t>
      </w:r>
    </w:p>
    <w:p>
      <w:pPr>
        <w:spacing w:after="0" w:line="162"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Landlord shall be responsible for the compliance of the Premises and the Common Areas of the Project with Legal Requirements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particular use of the Premises or Tenant’s Alterations) make any alterations or modifications to the Common Areas or the exterior of the Building that are required by Legal Requirements. Except as provided in the two immediately preceding sentences, Tenant, at its sole expense, shall make any alterations or modifications to the interior of the Premises that are required by Legal Requirements (including, without limitation, compliance of the Premises with the ADA) related to Tenant’s particular use or occupancy of the Premises or any Tenant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particular use or occupancy of the Premises or Tenant’s Alterations, and Tenant shall indemnify, defend, hold and save Landlord harmless from and against any and all Claims arising out of or in connection with any failure of the Premises to comply with any Legal Requirement related to Tenant’s particular use or occupancy of the Premises or Tenant’s Alterations. For purposes of Section 1938 of the California Civil Code, as of the date of this Lease, the Project has not been inspected by a certified access specialist.</w:t>
      </w:r>
    </w:p>
    <w:p>
      <w:pPr>
        <w:spacing w:after="0" w:line="17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Tenant acknowledges and agrees that as of the date of this Lease, the Building has not been constructed and that because the Building has not been constructed, there are no existing disclosures for Landlord to provide to Tenant in connection with the California Nonresidential Building Energy Use Disclosure regulations.</w:t>
      </w:r>
    </w:p>
    <w:p>
      <w:pPr>
        <w:spacing w:after="0" w:line="69" w:lineRule="exact"/>
        <w:rPr>
          <w:sz w:val="20"/>
          <w:szCs w:val="20"/>
          <w:color w:val="auto"/>
        </w:rPr>
      </w:pPr>
    </w:p>
    <w:p>
      <w:pPr>
        <w:ind w:left="620" w:hanging="176"/>
        <w:spacing w:after="0"/>
        <w:tabs>
          <w:tab w:leader="none" w:pos="620" w:val="left"/>
        </w:tabs>
        <w:numPr>
          <w:ilvl w:val="1"/>
          <w:numId w:val="575"/>
        </w:numPr>
        <w:rPr>
          <w:rFonts w:ascii="Arial" w:cs="Arial" w:eastAsia="Arial" w:hAnsi="Arial"/>
          <w:sz w:val="17"/>
          <w:szCs w:val="17"/>
          <w:color w:val="auto"/>
        </w:rPr>
      </w:pPr>
      <w:r>
        <w:rPr>
          <w:rFonts w:ascii="Arial" w:cs="Arial" w:eastAsia="Arial" w:hAnsi="Arial"/>
          <w:sz w:val="17"/>
          <w:szCs w:val="17"/>
          <w:b w:val="1"/>
          <w:bCs w:val="1"/>
          <w:color w:val="auto"/>
        </w:rPr>
        <w:t>Holding Over</w:t>
      </w:r>
      <w:r>
        <w:rPr>
          <w:rFonts w:ascii="Arial" w:cs="Arial" w:eastAsia="Arial" w:hAnsi="Arial"/>
          <w:sz w:val="17"/>
          <w:szCs w:val="17"/>
          <w:color w:val="auto"/>
        </w:rPr>
        <w:t>. If, with Landlord’s express written consent, Tenant retains possession of the Premises after the termination of the Term,</w:t>
      </w:r>
    </w:p>
    <w:p>
      <w:pPr>
        <w:spacing w:after="0" w:line="38" w:lineRule="exact"/>
        <w:rPr>
          <w:rFonts w:ascii="Arial" w:cs="Arial" w:eastAsia="Arial" w:hAnsi="Arial"/>
          <w:sz w:val="17"/>
          <w:szCs w:val="17"/>
          <w:color w:val="auto"/>
        </w:rPr>
      </w:pPr>
    </w:p>
    <w:p>
      <w:pPr>
        <w:ind w:right="40" w:firstLine="4"/>
        <w:spacing w:after="0" w:line="285" w:lineRule="auto"/>
        <w:tabs>
          <w:tab w:leader="none" w:pos="215"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may be agreed upon by Landlord and Tenant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(x) for the first 60 days of any holdover shall be equal to 125% of Rent in effect during the last 30 days of the Term, and (y) for any period of holdover in excess of 60 days shall be equal to 150% of Rent in effect during the last 30 days of the Term; and (B) Tenant shall be responsible for all damages suffered by Landlord resulting from or occasioned by Tenant’s holding over, including consequential damages; provided, however, that Tenant shall not be liable for consequential damages in connection with a hold over of 60 days or less. No holding over by Tenant, whether with or without consent of Landlord, shall operate to extend this Lease except as otherwise expressly provided, and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ectPr>
          <w:pgSz w:w="11900" w:h="16838" w:orient="portrait"/>
          <w:cols w:equalWidth="0" w:num="1">
            <w:col w:w="11020"/>
          </w:cols>
          <w:pgMar w:left="440" w:top="270" w:right="439" w:bottom="1440" w:gutter="0" w:footer="0" w:header="0"/>
        </w:sectPr>
      </w:pPr>
    </w:p>
    <w:bookmarkStart w:id="691" w:name="page692"/>
    <w:bookmarkEnd w:id="69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33</w:t>
      </w:r>
    </w:p>
    <w:p>
      <w:pPr>
        <w:spacing w:after="0" w:line="158" w:lineRule="exact"/>
        <w:rPr>
          <w:sz w:val="20"/>
          <w:szCs w:val="20"/>
          <w:color w:val="auto"/>
        </w:rPr>
      </w:pPr>
    </w:p>
    <w:p>
      <w:pPr>
        <w:ind w:firstLine="444"/>
        <w:spacing w:after="0" w:line="285" w:lineRule="auto"/>
        <w:tabs>
          <w:tab w:leader="none" w:pos="621" w:val="left"/>
        </w:tabs>
        <w:numPr>
          <w:ilvl w:val="0"/>
          <w:numId w:val="577"/>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contained herein, Landlord shall only charge Tenant for assessments as if those assessments were paid by Landlord over the longest possible term which Landlord is permitted to pay for the applicable assessments without additional charge other than interest, if any, provided under the terms of the underlying assessments. Taxes shall not include any net income taxes, franchise taxes, capital levy taxes, transfer taxes. excess profits taxes, estate taxes, succession taxes or inheritance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7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If Tenant disputes in good faith any valuation of the Building for tax assessment purposes and/or any increase in the tax rate, then Tenant may request in writing (a “</w:t>
      </w:r>
      <w:r>
        <w:rPr>
          <w:rFonts w:ascii="Arial" w:cs="Arial" w:eastAsia="Arial" w:hAnsi="Arial"/>
          <w:sz w:val="17"/>
          <w:szCs w:val="17"/>
          <w:b w:val="1"/>
          <w:bCs w:val="1"/>
          <w:color w:val="auto"/>
        </w:rPr>
        <w:t>Tax Dispute Notice</w:t>
      </w:r>
      <w:r>
        <w:rPr>
          <w:rFonts w:ascii="Arial" w:cs="Arial" w:eastAsia="Arial" w:hAnsi="Arial"/>
          <w:sz w:val="17"/>
          <w:szCs w:val="17"/>
          <w:color w:val="auto"/>
        </w:rPr>
        <w:t>”) that Landlord contest the same. A Tax Dispute Notice shall set forth in reasonable detail the particular matters which Tenant disputes and Tenant’s basis for such dispute. Upon receipt of a Tax Dispute Notice, provided that no Default exists under this Lease, Landlord shall consider Tenant’s request. If Landlord, in the exercise of its reasonable discretion, agrees with Tenant’s valuation and basis for dispute, Landlord shall use reasonable efforts to contest those matters set forth in the applicable Tax Dispute Notice. Tenant shall reimburse Landlord within 30 days of invoice for all costs and expenses actually incurred by Landlord in contesting such matters. Failure of Tenant to timely pay the foregoing amounts shall permit Landlord to suspend or terminate any such contest. Tenant shall be entitled to Tenant’s Share of any refund obtained by reason of any such contest or otherwise whether obtained during or after the expiration of the Term, except that if the refund shall relate to the year in which the Term commences or expires, Tenant’s Share of the refund shall be apportioned between Landlord and Tenant according to the number of days within the Term provided Tenant paid Taxes for the year relating to such refund.</w:t>
      </w:r>
    </w:p>
    <w:p>
      <w:pPr>
        <w:sectPr>
          <w:pgSz w:w="11900" w:h="16838" w:orient="portrait"/>
          <w:cols w:equalWidth="0" w:num="1">
            <w:col w:w="11020"/>
          </w:cols>
          <w:pgMar w:left="440" w:top="270" w:right="439" w:bottom="1440" w:gutter="0" w:footer="0" w:header="0"/>
        </w:sectPr>
      </w:pPr>
    </w:p>
    <w:bookmarkStart w:id="692" w:name="page693"/>
    <w:bookmarkEnd w:id="692"/>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34</w:t>
      </w:r>
    </w:p>
    <w:p>
      <w:pPr>
        <w:spacing w:after="0" w:line="16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Landlord shall not voluntarily issue any assessments or bonds for the Project which would increase Tenant’s payment of Taxes without Tenant’s prior written consent, which may be withheld in Tenant’s sole and absolute discretion; provided that the foregoing limitation shall in no way limit Tenant’s obligation to pay any Taxes owed on account of assessments or bonds for the Project that are initiated or issued by any Governmental Authority or person other than Landlord.</w:t>
      </w:r>
    </w:p>
    <w:p>
      <w:pPr>
        <w:spacing w:after="0" w:line="75" w:lineRule="exact"/>
        <w:rPr>
          <w:sz w:val="20"/>
          <w:szCs w:val="20"/>
          <w:color w:val="auto"/>
        </w:rPr>
      </w:pPr>
    </w:p>
    <w:p>
      <w:pPr>
        <w:ind w:right="60" w:firstLine="444"/>
        <w:spacing w:after="0" w:line="289" w:lineRule="auto"/>
        <w:tabs>
          <w:tab w:leader="none" w:pos="711" w:val="left"/>
        </w:tabs>
        <w:numPr>
          <w:ilvl w:val="0"/>
          <w:numId w:val="578"/>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 hereunder,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right to 2.5 parking spaces per 1,000 rentable square feet of the space in the Premises, at no additional cost during the Base Term, in those areas designated for non-reserved parking in a parking structure to be constructed by Landlord, at the Project (which may, at Landlord’s option, be expanded by a lot line or similar adjustment), subject in each case to Landlord’s reasonable rules and regulations. Landlord may allocate parking spaces among Tenant and other tenants in the Project as described above if Landlord determines that such parking facilities are becoming crowded. Landlord shall not be responsible for enforcing Tenant’s parking rights against any third parties, including other tenants of the Project; provided, however, that Landlord will use reasonable efforts to alleviate any over crowding which Tenant notifies Landlord of in writing. Tenant shall not be required to pay an additional parking charge for parking during any Extension Terms and, in lieu thereof, the market rate being charged in the Torrey Pines area at comparable projects to the Project for parking spaces comparable to the parking spaces being provided to Tenant during the applicable Extension Term shall be determined as part of the Market Rate and added to the Base Rent which Tenant is required to pay during the applicable Extension Term.</w:t>
      </w:r>
    </w:p>
    <w:p>
      <w:pPr>
        <w:spacing w:after="0" w:line="53" w:lineRule="exact"/>
        <w:rPr>
          <w:rFonts w:ascii="Arial" w:cs="Arial" w:eastAsia="Arial" w:hAnsi="Arial"/>
          <w:sz w:val="16"/>
          <w:szCs w:val="16"/>
          <w:color w:val="auto"/>
        </w:rPr>
      </w:pPr>
    </w:p>
    <w:p>
      <w:pPr>
        <w:ind w:right="60" w:firstLine="444"/>
        <w:spacing w:after="0" w:line="270" w:lineRule="auto"/>
        <w:tabs>
          <w:tab w:leader="none" w:pos="704" w:val="left"/>
        </w:tabs>
        <w:numPr>
          <w:ilvl w:val="0"/>
          <w:numId w:val="578"/>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Tenant shall contract directly with utility providers for all water, electricity, heat, light, power, sewer, and other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gas and fire sprinklers to the extent the Project is plumbed for such services), and refuse and trash collection (“</w:t>
      </w:r>
      <w:r>
        <w:rPr>
          <w:rFonts w:ascii="Arial" w:cs="Arial" w:eastAsia="Arial" w:hAnsi="Arial"/>
          <w:sz w:val="17"/>
          <w:szCs w:val="17"/>
          <w:b w:val="1"/>
          <w:bCs w:val="1"/>
          <w:color w:val="auto"/>
        </w:rPr>
        <w:t>Utilities</w:t>
      </w:r>
      <w:r>
        <w:rPr>
          <w:rFonts w:ascii="Arial" w:cs="Arial" w:eastAsia="Arial" w:hAnsi="Arial"/>
          <w:sz w:val="17"/>
          <w:szCs w:val="17"/>
          <w:color w:val="auto"/>
        </w:rPr>
        <w:t>”) required by Tenant during the Term. Tenant shall pay directly to such Utility providers prior to delinquency for all such Utilities furnished to Tenant or the Project during the Term. Unless billed directly to Tenant, Landlord shall, as part of Operating Expenses, pay for all maintenance charges for Utilities, and any storm sewer charges or other similar charges for Utilities imposed by any Governmental Authority or Utility provider, and any taxes, penalties, surcharges or similar charges thereon. To the extent that any Utilities, maintenance charges for Utilities, any storm sewer charges or other similar charges for Utilities imposed by any Governmental Authority or Utility provider, or any taxes, penalties, surcharges or similar charges are paid for by Landlord, Tenant shall reimburse Landlord for such costs as Operating Expenses. No interruption or failure of Utilities, from any cause whatsoever other than Landlord’s willful misconduct, shall result in eviction or constructive eviction of Tenant, termination of this Lease or, except in connection with a Service Interruption (as defined below), the abatement of Rent. Tenant shall be responsible for obtaining and paying for its own janitorial services for the Premises.</w:t>
      </w:r>
    </w:p>
    <w:p>
      <w:pPr>
        <w:spacing w:after="0" w:line="17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w:t>
      </w:r>
    </w:p>
    <w:p>
      <w:pPr>
        <w:sectPr>
          <w:pgSz w:w="11900" w:h="16838" w:orient="portrait"/>
          <w:cols w:equalWidth="0" w:num="1">
            <w:col w:w="11020"/>
          </w:cols>
          <w:pgMar w:left="440" w:top="270" w:right="439" w:bottom="1440" w:gutter="0" w:footer="0" w:header="0"/>
        </w:sectPr>
      </w:pPr>
    </w:p>
    <w:bookmarkStart w:id="693" w:name="page694"/>
    <w:bookmarkEnd w:id="69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35</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Interruption</w:t>
      </w:r>
      <w:r>
        <w:rPr>
          <w:rFonts w:ascii="Arial" w:cs="Arial" w:eastAsia="Arial" w:hAnsi="Arial"/>
          <w:sz w:val="17"/>
          <w:szCs w:val="17"/>
          <w:color w:val="auto"/>
        </w:rPr>
        <w:t>”), and (ii) such Service Interruption continues for more than 3 consecutive business days after Landlord shall have received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3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7"/>
          <w:szCs w:val="17"/>
          <w:b w:val="1"/>
          <w:bCs w:val="1"/>
          <w:color w:val="auto"/>
        </w:rPr>
        <w:t>Essential Services</w:t>
      </w:r>
      <w:r>
        <w:rPr>
          <w:rFonts w:ascii="Arial" w:cs="Arial" w:eastAsia="Arial" w:hAnsi="Arial"/>
          <w:sz w:val="17"/>
          <w:szCs w:val="17"/>
          <w:color w:val="auto"/>
        </w:rPr>
        <w:t xml:space="preserve">” shall mean the following services: HVAC service, water, sewer and electricity, but in each case only to the extent that Landlord has an obligation to provide same to Tenant under this Lease. This paragraph shall not apply to any events described in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w:t>
      </w:r>
      <w:r>
        <w:rPr>
          <w:rFonts w:ascii="Arial" w:cs="Arial" w:eastAsia="Arial" w:hAnsi="Arial"/>
          <w:sz w:val="17"/>
          <w:szCs w:val="17"/>
          <w:color w:val="auto"/>
        </w:rPr>
        <w:t>.</w:t>
      </w:r>
    </w:p>
    <w:p>
      <w:pPr>
        <w:spacing w:after="0" w:line="66" w:lineRule="exact"/>
        <w:rPr>
          <w:sz w:val="20"/>
          <w:szCs w:val="20"/>
          <w:color w:val="auto"/>
        </w:rPr>
      </w:pPr>
    </w:p>
    <w:p>
      <w:pPr>
        <w:ind w:firstLine="444"/>
        <w:spacing w:after="0" w:line="285" w:lineRule="auto"/>
        <w:tabs>
          <w:tab w:leader="none" w:pos="711" w:val="left"/>
        </w:tabs>
        <w:numPr>
          <w:ilvl w:val="0"/>
          <w:numId w:val="579"/>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initial Tenant Improvements (as defined in the Work Letter) which shall be governed by the Work Letter),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and shall not be otherwise unreasonably withheld. Landlord shall approve or disapprove of any such request within 15 business days of its receipt of such request consent along with the information reasonably required by Landlord to consider such request. Tenant may construct nonstructural Alterations in the Premises without Landlord’s prior approval if the aggregate cost of all such work in any 12 month period does not exceed $50,000 (a “</w:t>
      </w:r>
      <w:r>
        <w:rPr>
          <w:rFonts w:ascii="Arial" w:cs="Arial" w:eastAsia="Arial" w:hAnsi="Arial"/>
          <w:sz w:val="16"/>
          <w:szCs w:val="16"/>
          <w:b w:val="1"/>
          <w:bCs w:val="1"/>
          <w:color w:val="auto"/>
        </w:rPr>
        <w:t>Notice-Only Alteration</w:t>
      </w:r>
      <w:r>
        <w:rPr>
          <w:rFonts w:ascii="Arial" w:cs="Arial" w:eastAsia="Arial" w:hAnsi="Arial"/>
          <w:sz w:val="16"/>
          <w:szCs w:val="16"/>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w:t>
      </w:r>
    </w:p>
    <w:p>
      <w:pPr>
        <w:sectPr>
          <w:pgSz w:w="11900" w:h="16838" w:orient="portrait"/>
          <w:cols w:equalWidth="0" w:num="1">
            <w:col w:w="11020"/>
          </w:cols>
          <w:pgMar w:left="440" w:top="271" w:right="439" w:bottom="1440" w:gutter="0" w:footer="0" w:header="0"/>
        </w:sectPr>
      </w:pPr>
    </w:p>
    <w:bookmarkStart w:id="694" w:name="page695"/>
    <w:bookmarkEnd w:id="69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36</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2%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6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In connection with any Alteration work in excess of $500,000, Landlord may require Tenant to furnish security or make other arrangements reasonably satisfactory to Landlord to assure payment for the completion of all Alterations work free and clear of liens. All Alterations work shall be completed free and clear of all liens, and Tenant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Alterations if the nature of such Alterations is such that such plans are typically prepared.</w:t>
      </w:r>
    </w:p>
    <w:p>
      <w:pPr>
        <w:spacing w:after="0" w:line="178"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Tenant will not be required to remove any cabling, telecommunications lines or security systems installed by or on behalf of Tenant (except that Landlord shall have the right to require Tenant to remove any equipment installed on the Building roof).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any Installations for which Landlord has given Tenant notice of removal in accordance with the immediately preceding sentence, and (ii)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8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Tenant shall not be required to remove the Tenant Improvements at the expiration or earlier termination of the Term nor shall Tenant have the right to remove any of the Tenant Improvements at any time.</w:t>
      </w:r>
    </w:p>
    <w:p>
      <w:pPr>
        <w:spacing w:after="0" w:line="166"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(which agreement by Landlord shall not be unreasonably withheld, conditioned or delayed),</w:t>
      </w:r>
    </w:p>
    <w:p>
      <w:pPr>
        <w:spacing w:after="0" w:line="1" w:lineRule="exact"/>
        <w:rPr>
          <w:sz w:val="20"/>
          <w:szCs w:val="20"/>
          <w:color w:val="auto"/>
        </w:rPr>
      </w:pPr>
    </w:p>
    <w:p>
      <w:pPr>
        <w:ind w:right="160" w:firstLine="4"/>
        <w:spacing w:after="0" w:line="302" w:lineRule="auto"/>
        <w:tabs>
          <w:tab w:leader="none" w:pos="255" w:val="left"/>
        </w:tabs>
        <w:numPr>
          <w:ilvl w:val="0"/>
          <w:numId w:val="5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with the TI Fund, all Alterations, all fixtures, and all partitions, hardware, built-in machinery, built-in casework and cabinets and other similar additions, equipment, property and</w:t>
      </w:r>
    </w:p>
    <w:p>
      <w:pPr>
        <w:sectPr>
          <w:pgSz w:w="11900" w:h="16838" w:orient="portrait"/>
          <w:cols w:equalWidth="0" w:num="1">
            <w:col w:w="11020"/>
          </w:cols>
          <w:pgMar w:left="440" w:top="269" w:right="439" w:bottom="1440" w:gutter="0" w:footer="0" w:header="0"/>
        </w:sectPr>
      </w:pPr>
    </w:p>
    <w:bookmarkStart w:id="695" w:name="page696"/>
    <w:bookmarkEnd w:id="69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37</w:t>
      </w:r>
    </w:p>
    <w:p>
      <w:pPr>
        <w:spacing w:after="0" w:line="162"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35" w:lineRule="exact"/>
        <w:rPr>
          <w:sz w:val="20"/>
          <w:szCs w:val="20"/>
          <w:color w:val="auto"/>
        </w:rPr>
      </w:pPr>
    </w:p>
    <w:p>
      <w:pPr>
        <w:ind w:firstLine="444"/>
        <w:spacing w:after="0" w:line="285" w:lineRule="auto"/>
        <w:tabs>
          <w:tab w:leader="none" w:pos="711" w:val="left"/>
        </w:tabs>
        <w:numPr>
          <w:ilvl w:val="0"/>
          <w:numId w:val="581"/>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excluded from Operating Expenses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all of the structural, exterior (including roof), parking and other Common Areas of the Project (including any parking structure serving the Project, even if located off-site), including HVAC, plumbing, fire sprinklers, elevators and all other building systems serving the Premises and/or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caused by Tenant, or by any of Tenant’s agents, assignees, sublessees,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and damages caused by Tenant or any Tenant Parties excluded. Losses and damages caused by Tenant or any Tenant Party shall be repaired by Landlord, to the extent not covered by insurance, at Tenant’s sole cost and expense. Landlord reserves the right to temporarily stop Building Systems services when necessary (i) by reason of accident or emergency, or (ii) for planned repairs, alterations or improvements, which are, in the reasonable judgment of Landlord,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48 hours advance notice of any planned stoppage of Building Systems services for routine maintenance, repairs, alterations or improvements. Tenant shall promptly give Landlord written notice of any repair required by Landlord pursuant to this Section, after which Landlord shall make a commercially reasonable effort to effect such repair. Landlord shall use reasonable efforts to minimize interference with Tenant’s operations in the Premises during such planned stoppages of Building Systems.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including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below.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right="40" w:firstLine="444"/>
        <w:spacing w:after="0" w:line="271" w:lineRule="auto"/>
        <w:tabs>
          <w:tab w:leader="none" w:pos="711" w:val="left"/>
        </w:tabs>
        <w:numPr>
          <w:ilvl w:val="0"/>
          <w:numId w:val="581"/>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including, without limitation, entries, doors, ceilings, interior windows, interior walls, and the interior side of demising walls.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business days after demand therefor; provided, however, that if such failure by Tenant creates or could create an emergency (i.e., a circumstance which poses an imminent threat of harm to persons or substantial property damage), Landlord may immediately commence cure of such failure and shall thereafter be entitled to recover the actual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 the full uninsured cost of any repair or replacement to any part of the Project that results from damage caused by Tenant or any Tenant Party and any repair that benefits only the Premises.</w:t>
      </w:r>
    </w:p>
    <w:p>
      <w:pPr>
        <w:sectPr>
          <w:pgSz w:w="11900" w:h="16838" w:orient="portrait"/>
          <w:cols w:equalWidth="0" w:num="1">
            <w:col w:w="11020"/>
          </w:cols>
          <w:pgMar w:left="440" w:top="271" w:right="439" w:bottom="1440" w:gutter="0" w:footer="0" w:header="0"/>
        </w:sectPr>
      </w:pPr>
    </w:p>
    <w:bookmarkStart w:id="696" w:name="page697"/>
    <w:bookmarkEnd w:id="69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38</w:t>
      </w:r>
    </w:p>
    <w:p>
      <w:pPr>
        <w:spacing w:after="0" w:line="158" w:lineRule="exact"/>
        <w:rPr>
          <w:sz w:val="20"/>
          <w:szCs w:val="20"/>
          <w:color w:val="auto"/>
        </w:rPr>
      </w:pPr>
    </w:p>
    <w:p>
      <w:pPr>
        <w:ind w:right="20" w:firstLine="444"/>
        <w:spacing w:after="0" w:line="289" w:lineRule="auto"/>
        <w:tabs>
          <w:tab w:leader="none" w:pos="711" w:val="left"/>
        </w:tabs>
        <w:numPr>
          <w:ilvl w:val="0"/>
          <w:numId w:val="582"/>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15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53" w:lineRule="exact"/>
        <w:rPr>
          <w:rFonts w:ascii="Arial" w:cs="Arial" w:eastAsia="Arial" w:hAnsi="Arial"/>
          <w:sz w:val="16"/>
          <w:szCs w:val="16"/>
          <w:color w:val="auto"/>
        </w:rPr>
      </w:pPr>
    </w:p>
    <w:p>
      <w:pPr>
        <w:ind w:right="80" w:firstLine="444"/>
        <w:spacing w:after="0" w:line="292" w:lineRule="auto"/>
        <w:tabs>
          <w:tab w:leader="none" w:pos="711" w:val="left"/>
        </w:tabs>
        <w:numPr>
          <w:ilvl w:val="0"/>
          <w:numId w:val="582"/>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Tenant hereby indemnifies and agrees to defend, save and hold Landlord harmless from and against any and all Claims for</w:t>
      </w:r>
      <w:r>
        <w:rPr>
          <w:rFonts w:ascii="Arial" w:cs="Arial" w:eastAsia="Arial" w:hAnsi="Arial"/>
          <w:sz w:val="16"/>
          <w:szCs w:val="16"/>
          <w:b w:val="1"/>
          <w:bCs w:val="1"/>
          <w:color w:val="auto"/>
        </w:rPr>
        <w:t xml:space="preserve"> </w:t>
      </w:r>
      <w:r>
        <w:rPr>
          <w:rFonts w:ascii="Arial" w:cs="Arial" w:eastAsia="Arial" w:hAnsi="Arial"/>
          <w:sz w:val="16"/>
          <w:szCs w:val="16"/>
          <w:color w:val="auto"/>
        </w:rPr>
        <w:t>injury or death to persons or damage to property occurring within or about the Premises, arising directly or indirectly out of use or occupancy of the Premises or a breach or default by Tenant in the performance of any of its obligations hereunder, except to the extent caused by the willful misconduct or negligence of Landlord, its agents or employees.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66"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Subject to the other provisions of this Lease, Landlord hereby indemnifies and agrees to defend, save and hold Tenant harmless from and against any and all Claims for injury or death to persons or damage to property occurring at the Project to the extent caused by the willful misconduct or gross negligence of Landlord, its agents or employees.</w:t>
      </w:r>
    </w:p>
    <w:p>
      <w:pPr>
        <w:spacing w:after="0" w:line="69" w:lineRule="exact"/>
        <w:rPr>
          <w:sz w:val="20"/>
          <w:szCs w:val="20"/>
          <w:color w:val="auto"/>
        </w:rPr>
      </w:pPr>
    </w:p>
    <w:p>
      <w:pPr>
        <w:ind w:right="120" w:firstLine="444"/>
        <w:spacing w:after="0" w:line="255" w:lineRule="auto"/>
        <w:tabs>
          <w:tab w:leader="none" w:pos="711" w:val="left"/>
        </w:tabs>
        <w:numPr>
          <w:ilvl w:val="0"/>
          <w:numId w:val="583"/>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 replacement cost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(including the initial Tenant Improvements to the extent paid for by Landlord).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w:t>
      </w:r>
    </w:p>
    <w:p>
      <w:pPr>
        <w:sectPr>
          <w:pgSz w:w="11900" w:h="16838" w:orient="portrait"/>
          <w:cols w:equalWidth="0" w:num="1">
            <w:col w:w="11020"/>
          </w:cols>
          <w:pgMar w:left="440" w:top="271" w:right="439" w:bottom="1440" w:gutter="0" w:footer="0" w:header="0"/>
        </w:sectPr>
      </w:pPr>
    </w:p>
    <w:bookmarkStart w:id="697" w:name="page698"/>
    <w:bookmarkEnd w:id="69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39</w:t>
      </w:r>
    </w:p>
    <w:p>
      <w:pPr>
        <w:spacing w:after="0" w:line="1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can substantiate as resulting from Tenant’s particular use of the Premises.</w:t>
      </w:r>
    </w:p>
    <w:p>
      <w:pPr>
        <w:spacing w:after="0" w:line="17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$5,000,000 per occurrence for bodily injury and property damage with respect to the Premises. Tenant’s insurance may be satisfied with a combination of primary and excess or umbrella policies. The commercial general liability insurance policy shall name Alexandria Real Estate Equities, Inc., and Landlord, its officers, directors, employees, managers, agents and contractors (collectively, “</w:t>
      </w:r>
      <w:r>
        <w:rPr>
          <w:rFonts w:ascii="Arial" w:cs="Arial" w:eastAsia="Arial" w:hAnsi="Arial"/>
          <w:sz w:val="17"/>
          <w:szCs w:val="17"/>
          <w:b w:val="1"/>
          <w:bCs w:val="1"/>
          <w:color w:val="auto"/>
        </w:rPr>
        <w:t>Landlord Parties</w:t>
      </w:r>
      <w:r>
        <w:rPr>
          <w:rFonts w:ascii="Arial" w:cs="Arial" w:eastAsia="Arial" w:hAnsi="Arial"/>
          <w:sz w:val="17"/>
          <w:szCs w:val="17"/>
          <w:color w:val="auto"/>
        </w:rPr>
        <w:t>”), as additional insureds; insure on an occurrence and not a claims-made basis; be issued by insurance companies which have a rating of not less than policyholder rating of A and financial category rating of at least Class X in “Best’s Insurance Guide”; not contain a hostile fire exclusion; contain a contractual liability endorsement; and provide primary coverage to Landlord (any policy issued to Landlord providing duplicate or similar coverage shall be deemed excess over Tenant’s policies). Tenant shall (i) provide Landlord with 30 days’ advance written notice of cancellation of such commercial general liability policy, and (ii) request that its insurer to endeavor to provide 10 days’ advance written notice of cancellation of such commercial general liability policy.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93"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8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ectPr>
          <w:pgSz w:w="11900" w:h="16838" w:orient="portrait"/>
          <w:cols w:equalWidth="0" w:num="1">
            <w:col w:w="11020"/>
          </w:cols>
          <w:pgMar w:left="440" w:top="270" w:right="439" w:bottom="1440" w:gutter="0" w:footer="0" w:header="0"/>
        </w:sectPr>
      </w:pPr>
    </w:p>
    <w:bookmarkStart w:id="698" w:name="page699"/>
    <w:bookmarkEnd w:id="69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40</w:t>
      </w:r>
    </w:p>
    <w:p>
      <w:pPr>
        <w:spacing w:after="0" w:line="162"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75" w:lineRule="exact"/>
        <w:rPr>
          <w:sz w:val="20"/>
          <w:szCs w:val="20"/>
          <w:color w:val="auto"/>
        </w:rPr>
      </w:pPr>
    </w:p>
    <w:p>
      <w:pPr>
        <w:ind w:right="60" w:firstLine="444"/>
        <w:spacing w:after="0" w:line="285" w:lineRule="auto"/>
        <w:tabs>
          <w:tab w:leader="none" w:pos="711" w:val="left"/>
        </w:tabs>
        <w:numPr>
          <w:ilvl w:val="0"/>
          <w:numId w:val="584"/>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casualty,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12 months (the “</w:t>
      </w:r>
      <w:r>
        <w:rPr>
          <w:rFonts w:ascii="Arial" w:cs="Arial" w:eastAsia="Arial" w:hAnsi="Arial"/>
          <w:sz w:val="16"/>
          <w:szCs w:val="16"/>
          <w:b w:val="1"/>
          <w:bCs w:val="1"/>
          <w:color w:val="auto"/>
        </w:rPr>
        <w:t>Maximum Restoration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Landlord may, in such notice, elect to terminate this Lease as of the date that is 75 days after the date of discovery of such damage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destruction;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notwithstanding Landlord’s election to restore, Tenant may elect to terminate this Lease by written notice to Landlord delivered within 10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10 business days of the expiration of the Maximum Restoration Period or, if longer, the Restoration Period, elect to terminate this Lease, in which event Landlord and Tenant shall be relieved of their respective obligations hereunder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 If this Lease has not been terminated pursuant to this </w:t>
      </w:r>
      <w:r>
        <w:rPr>
          <w:rFonts w:ascii="Arial" w:cs="Arial" w:eastAsia="Arial" w:hAnsi="Arial"/>
          <w:sz w:val="16"/>
          <w:szCs w:val="16"/>
          <w:u w:val="single" w:color="auto"/>
          <w:color w:val="auto"/>
        </w:rPr>
        <w:t>Section 18</w:t>
      </w:r>
      <w:r>
        <w:rPr>
          <w:rFonts w:ascii="Arial" w:cs="Arial" w:eastAsia="Arial" w:hAnsi="Arial"/>
          <w:sz w:val="16"/>
          <w:szCs w:val="16"/>
          <w:color w:val="auto"/>
        </w:rPr>
        <w:t>, and, prior to the Maximum Restoration Period, Landlord determines that sufficient insurance proceeds will not be available for the repair or restoration required to the Premises or the Project and Landlord elects to terminate the Lease, Landlord shall deliver written notice to Tenant of such insufficiency promptly after Landlord becomes aware of such insufficiency and this Lease shall terminate 30 days after Tenant’s receipt of Landlord’s notice.</w:t>
      </w:r>
    </w:p>
    <w:p>
      <w:pPr>
        <w:spacing w:after="0" w:line="16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Tenant, at its expense, shall promptly perform, subject to delays arising from the collection of insurance proceeds, from Force Majeure (as defined in </w:t>
      </w:r>
      <w:r>
        <w:rPr>
          <w:rFonts w:ascii="Arial" w:cs="Arial" w:eastAsia="Arial" w:hAnsi="Arial"/>
          <w:sz w:val="17"/>
          <w:szCs w:val="17"/>
          <w:u w:val="single" w:color="auto"/>
          <w:color w:val="auto"/>
        </w:rPr>
        <w:t>Section 34</w:t>
      </w:r>
      <w:r>
        <w:rPr>
          <w:rFonts w:ascii="Arial" w:cs="Arial" w:eastAsia="Arial" w:hAnsi="Arial"/>
          <w:sz w:val="17"/>
          <w:szCs w:val="17"/>
          <w:color w:val="auto"/>
        </w:rPr>
        <w:t>) events or to obtain Hazardous Material Clearances, all repairs or restoration not required to be done by Landlord within the Premises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w:t>
      </w:r>
    </w:p>
    <w:p>
      <w:pPr>
        <w:sectPr>
          <w:pgSz w:w="11900" w:h="16838" w:orient="portrait"/>
          <w:cols w:equalWidth="0" w:num="1">
            <w:col w:w="11020"/>
          </w:cols>
          <w:pgMar w:left="440" w:top="271" w:right="439" w:bottom="1440" w:gutter="0" w:footer="0" w:header="0"/>
        </w:sectPr>
      </w:pPr>
    </w:p>
    <w:bookmarkStart w:id="699" w:name="page700"/>
    <w:bookmarkEnd w:id="69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41</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Restoration Period.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the Lease by reason of damage or casualty loss.</w:t>
      </w:r>
    </w:p>
    <w:p>
      <w:pPr>
        <w:spacing w:after="0" w:line="189"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pacing w:after="0" w:line="42" w:lineRule="exact"/>
        <w:rPr>
          <w:sz w:val="20"/>
          <w:szCs w:val="20"/>
          <w:color w:val="auto"/>
        </w:rPr>
      </w:pPr>
    </w:p>
    <w:p>
      <w:pPr>
        <w:ind w:right="100" w:firstLine="444"/>
        <w:spacing w:after="0" w:line="268" w:lineRule="auto"/>
        <w:tabs>
          <w:tab w:leader="none" w:pos="711" w:val="left"/>
        </w:tabs>
        <w:numPr>
          <w:ilvl w:val="0"/>
          <w:numId w:val="585"/>
        </w:numPr>
        <w:rPr>
          <w:rFonts w:ascii="Arial" w:cs="Arial" w:eastAsia="Arial" w:hAnsi="Arial"/>
          <w:sz w:val="17"/>
          <w:szCs w:val="17"/>
          <w:color w:val="auto"/>
        </w:rPr>
      </w:pPr>
      <w:r>
        <w:rPr>
          <w:rFonts w:ascii="Arial" w:cs="Arial" w:eastAsia="Arial" w:hAnsi="Arial"/>
          <w:sz w:val="17"/>
          <w:szCs w:val="17"/>
          <w:b w:val="1"/>
          <w:bCs w:val="1"/>
          <w:color w:val="auto"/>
        </w:rPr>
        <w:t>Condemnation</w:t>
      </w:r>
      <w:r>
        <w:rPr>
          <w:rFonts w:ascii="Arial" w:cs="Arial" w:eastAsia="Arial" w:hAnsi="Arial"/>
          <w:sz w:val="17"/>
          <w:szCs w:val="17"/>
          <w:color w:val="auto"/>
        </w:rPr>
        <w:t>. If the whole or any material part of the Premises or the Project (or the parking structure serving the Project) is taken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or quasi-public use under governmental law, ordinance, or regulation, or by right of eminent domain, or by private purchase in lieu thereof (a “</w:t>
      </w:r>
      <w:r>
        <w:rPr>
          <w:rFonts w:ascii="Arial" w:cs="Arial" w:eastAsia="Arial" w:hAnsi="Arial"/>
          <w:sz w:val="17"/>
          <w:szCs w:val="17"/>
          <w:b w:val="1"/>
          <w:bCs w:val="1"/>
          <w:color w:val="auto"/>
        </w:rPr>
        <w:t>Taking</w:t>
      </w:r>
      <w:r>
        <w:rPr>
          <w:rFonts w:ascii="Arial" w:cs="Arial" w:eastAsia="Arial" w:hAnsi="Arial"/>
          <w:sz w:val="17"/>
          <w:szCs w:val="17"/>
          <w:color w:val="auto"/>
        </w:rPr>
        <w:t>” or “</w:t>
      </w:r>
      <w:r>
        <w:rPr>
          <w:rFonts w:ascii="Arial" w:cs="Arial" w:eastAsia="Arial" w:hAnsi="Arial"/>
          <w:sz w:val="17"/>
          <w:szCs w:val="17"/>
          <w:b w:val="1"/>
          <w:bCs w:val="1"/>
          <w:color w:val="auto"/>
        </w:rPr>
        <w:t>Taken</w:t>
      </w:r>
      <w:r>
        <w:rPr>
          <w:rFonts w:ascii="Arial" w:cs="Arial" w:eastAsia="Arial" w:hAnsi="Arial"/>
          <w:sz w:val="17"/>
          <w:szCs w:val="17"/>
          <w:color w:val="auto"/>
        </w:rPr>
        <w:t>”), and the Taking would in Landlord’s reasonable judgment, materially interfere with or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72" w:lineRule="exact"/>
        <w:rPr>
          <w:rFonts w:ascii="Arial" w:cs="Arial" w:eastAsia="Arial" w:hAnsi="Arial"/>
          <w:sz w:val="17"/>
          <w:szCs w:val="17"/>
          <w:color w:val="auto"/>
        </w:rPr>
      </w:pPr>
    </w:p>
    <w:p>
      <w:pPr>
        <w:ind w:left="720" w:hanging="276"/>
        <w:spacing w:after="0"/>
        <w:tabs>
          <w:tab w:leader="none" w:pos="720" w:val="left"/>
        </w:tabs>
        <w:numPr>
          <w:ilvl w:val="0"/>
          <w:numId w:val="585"/>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17" w:lineRule="exact"/>
        <w:rPr>
          <w:sz w:val="20"/>
          <w:szCs w:val="20"/>
          <w:color w:val="auto"/>
        </w:rPr>
      </w:pPr>
    </w:p>
    <w:p>
      <w:pPr>
        <w:ind w:right="460" w:firstLine="444"/>
        <w:spacing w:after="0" w:line="314" w:lineRule="auto"/>
        <w:tabs>
          <w:tab w:leader="none" w:pos="685" w:val="left"/>
        </w:tabs>
        <w:numPr>
          <w:ilvl w:val="0"/>
          <w:numId w:val="586"/>
        </w:numPr>
        <w:rPr>
          <w:rFonts w:ascii="Arial" w:cs="Arial" w:eastAsia="Arial" w:hAnsi="Arial"/>
          <w:sz w:val="16"/>
          <w:szCs w:val="16"/>
          <w:color w:val="auto"/>
        </w:rPr>
      </w:pPr>
      <w:r>
        <w:rPr>
          <w:rFonts w:ascii="Arial" w:cs="Arial" w:eastAsia="Arial" w:hAnsi="Arial"/>
          <w:sz w:val="16"/>
          <w:szCs w:val="16"/>
          <w:b w:val="1"/>
          <w:bCs w:val="1"/>
          <w:color w:val="auto"/>
        </w:rPr>
        <w:t>Payment Defaults</w:t>
      </w:r>
      <w:r>
        <w:rPr>
          <w:rFonts w:ascii="Arial" w:cs="Arial" w:eastAsia="Arial" w:hAnsi="Arial"/>
          <w:sz w:val="16"/>
          <w:szCs w:val="16"/>
          <w:color w:val="auto"/>
        </w:rPr>
        <w:t>. Tenant shall fail to pay any installment of Rent or any other payment hereunder when due; provided, however, that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will give Tenant notice and an opportunity to cure any failure to pay Rent within 3 days of any such notice not more than twice in any 12 month period and Tenant agrees that such notice shall be in lieu of and not in addition to, or shall be deemed to be, any notice required by law.</w:t>
      </w:r>
    </w:p>
    <w:p>
      <w:pPr>
        <w:sectPr>
          <w:pgSz w:w="11900" w:h="16838" w:orient="portrait"/>
          <w:cols w:equalWidth="0" w:num="1">
            <w:col w:w="11020"/>
          </w:cols>
          <w:pgMar w:left="440" w:top="270" w:right="439" w:bottom="1440" w:gutter="0" w:footer="0" w:header="0"/>
        </w:sectPr>
      </w:pPr>
    </w:p>
    <w:bookmarkStart w:id="700" w:name="page701"/>
    <w:bookmarkEnd w:id="70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42</w:t>
      </w:r>
    </w:p>
    <w:p>
      <w:pPr>
        <w:spacing w:after="0" w:line="158" w:lineRule="exact"/>
        <w:rPr>
          <w:sz w:val="20"/>
          <w:szCs w:val="20"/>
          <w:color w:val="auto"/>
        </w:rPr>
      </w:pPr>
    </w:p>
    <w:p>
      <w:pPr>
        <w:ind w:firstLine="444"/>
        <w:spacing w:after="0" w:line="266" w:lineRule="auto"/>
        <w:tabs>
          <w:tab w:leader="none" w:pos="695"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or materially changed, or Landlord shall receive a notice of nonrenewal of any such insurance and Tenant shall fail to obtain replacement insurance at least 5 days before the expiration of the current coverage.</w:t>
      </w:r>
    </w:p>
    <w:p>
      <w:pPr>
        <w:spacing w:after="0" w:line="68" w:lineRule="exact"/>
        <w:rPr>
          <w:rFonts w:ascii="Arial" w:cs="Arial" w:eastAsia="Arial" w:hAnsi="Arial"/>
          <w:sz w:val="18"/>
          <w:szCs w:val="18"/>
          <w:color w:val="auto"/>
        </w:rPr>
      </w:pPr>
    </w:p>
    <w:p>
      <w:pPr>
        <w:ind w:right="80" w:firstLine="444"/>
        <w:spacing w:after="0" w:line="303" w:lineRule="auto"/>
        <w:tabs>
          <w:tab w:leader="none" w:pos="685" w:val="left"/>
        </w:tabs>
        <w:numPr>
          <w:ilvl w:val="0"/>
          <w:numId w:val="587"/>
        </w:numPr>
        <w:rPr>
          <w:rFonts w:ascii="Arial" w:cs="Arial" w:eastAsia="Arial" w:hAnsi="Arial"/>
          <w:sz w:val="16"/>
          <w:szCs w:val="16"/>
          <w:color w:val="auto"/>
        </w:rPr>
      </w:pPr>
      <w:r>
        <w:rPr>
          <w:rFonts w:ascii="Arial" w:cs="Arial" w:eastAsia="Arial" w:hAnsi="Arial"/>
          <w:sz w:val="16"/>
          <w:szCs w:val="16"/>
          <w:b w:val="1"/>
          <w:bCs w:val="1"/>
          <w:color w:val="auto"/>
        </w:rPr>
        <w:t>Abandonment</w:t>
      </w:r>
      <w:r>
        <w:rPr>
          <w:rFonts w:ascii="Arial" w:cs="Arial" w:eastAsia="Arial" w:hAnsi="Arial"/>
          <w:sz w:val="16"/>
          <w:szCs w:val="16"/>
          <w:color w:val="auto"/>
        </w:rPr>
        <w:t>. Tenant shall abandon the Premises. Tenant shall not be deemed to have abandoned the Premises if (i) Tenant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with reasonable advance notice prior to vacating and, at the time of vacating the Premises, Tenant completes Tenant’s obligations with respect to the Surrender Plan in compliance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43" w:lineRule="exact"/>
        <w:rPr>
          <w:rFonts w:ascii="Arial" w:cs="Arial" w:eastAsia="Arial" w:hAnsi="Arial"/>
          <w:sz w:val="16"/>
          <w:szCs w:val="16"/>
          <w:color w:val="auto"/>
        </w:rPr>
      </w:pPr>
    </w:p>
    <w:p>
      <w:pPr>
        <w:ind w:right="260" w:firstLine="444"/>
        <w:spacing w:after="0" w:line="266" w:lineRule="auto"/>
        <w:tabs>
          <w:tab w:leader="none" w:pos="695"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the Premises except as expressly permitted herein, or Tenant’s interest in this Lease shall be attached, executed upon, or otherwise judicially seized and such action is not released within 90 days of the action.</w:t>
      </w:r>
    </w:p>
    <w:p>
      <w:pPr>
        <w:spacing w:after="0" w:line="68" w:lineRule="exact"/>
        <w:rPr>
          <w:rFonts w:ascii="Arial" w:cs="Arial" w:eastAsia="Arial" w:hAnsi="Arial"/>
          <w:sz w:val="18"/>
          <w:szCs w:val="18"/>
          <w:color w:val="auto"/>
        </w:rPr>
      </w:pPr>
    </w:p>
    <w:p>
      <w:pPr>
        <w:ind w:right="240" w:firstLine="444"/>
        <w:spacing w:after="0" w:line="282" w:lineRule="auto"/>
        <w:tabs>
          <w:tab w:leader="none" w:pos="685"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15</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Tenant receives notice that any such lien is filed against the Premises.</w:t>
      </w:r>
    </w:p>
    <w:p>
      <w:pPr>
        <w:spacing w:after="0" w:line="53" w:lineRule="exact"/>
        <w:rPr>
          <w:rFonts w:ascii="Arial" w:cs="Arial" w:eastAsia="Arial" w:hAnsi="Arial"/>
          <w:sz w:val="18"/>
          <w:szCs w:val="18"/>
          <w:color w:val="auto"/>
        </w:rPr>
      </w:pPr>
    </w:p>
    <w:p>
      <w:pPr>
        <w:ind w:right="40" w:firstLine="444"/>
        <w:spacing w:after="0" w:line="255" w:lineRule="auto"/>
        <w:tabs>
          <w:tab w:leader="none" w:pos="665"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w:t>
      </w:r>
      <w:r>
        <w:rPr>
          <w:rFonts w:ascii="Arial" w:cs="Arial" w:eastAsia="Arial" w:hAnsi="Arial"/>
          <w:sz w:val="18"/>
          <w:szCs w:val="18"/>
          <w:b w:val="1"/>
          <w:bCs w:val="1"/>
          <w:color w:val="auto"/>
        </w:rPr>
        <w:t>for Relief</w:t>
      </w:r>
      <w:r>
        <w:rPr>
          <w:rFonts w:ascii="Arial" w:cs="Arial" w:eastAsia="Arial" w:hAnsi="Arial"/>
          <w:sz w:val="18"/>
          <w:szCs w:val="18"/>
          <w:color w:val="auto"/>
        </w:rPr>
        <w:t>”); (C) become the subject of any Proceeding for Relief which is not dismissed within 90 days of its filing or entry; or (D) die or suffer a legal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(if Tenant, guarantor, or surety is an individual) or be dissolved or otherwise fail to maintain its legal existence (if Tenant, guarantor or surety is a corporation, partnership or other entity).</w:t>
      </w:r>
    </w:p>
    <w:p>
      <w:pPr>
        <w:spacing w:after="0" w:line="81" w:lineRule="exact"/>
        <w:rPr>
          <w:rFonts w:ascii="Arial" w:cs="Arial" w:eastAsia="Arial" w:hAnsi="Arial"/>
          <w:sz w:val="18"/>
          <w:szCs w:val="18"/>
          <w:color w:val="auto"/>
        </w:rPr>
      </w:pPr>
    </w:p>
    <w:p>
      <w:pPr>
        <w:ind w:right="420" w:firstLine="444"/>
        <w:spacing w:after="0" w:line="282" w:lineRule="auto"/>
        <w:tabs>
          <w:tab w:leader="none" w:pos="695"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business days after a second notice requesting such document.</w:t>
      </w:r>
    </w:p>
    <w:p>
      <w:pPr>
        <w:spacing w:after="0" w:line="53" w:lineRule="exact"/>
        <w:rPr>
          <w:rFonts w:ascii="Arial" w:cs="Arial" w:eastAsia="Arial" w:hAnsi="Arial"/>
          <w:sz w:val="18"/>
          <w:szCs w:val="18"/>
          <w:color w:val="auto"/>
        </w:rPr>
      </w:pPr>
    </w:p>
    <w:p>
      <w:pPr>
        <w:jc w:val="both"/>
        <w:ind w:right="200" w:firstLine="444"/>
        <w:spacing w:after="0" w:line="347" w:lineRule="auto"/>
        <w:tabs>
          <w:tab w:leader="none" w:pos="695" w:val="left"/>
        </w:tabs>
        <w:numPr>
          <w:ilvl w:val="0"/>
          <w:numId w:val="587"/>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30 days after written notice thereof from Landlord to Tenant.</w:t>
      </w:r>
    </w:p>
    <w:p>
      <w:pPr>
        <w:spacing w:after="0" w:line="12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w:t>
      </w:r>
    </w:p>
    <w:p>
      <w:pPr>
        <w:sectPr>
          <w:pgSz w:w="11900" w:h="16838" w:orient="portrait"/>
          <w:cols w:equalWidth="0" w:num="1">
            <w:col w:w="11020"/>
          </w:cols>
          <w:pgMar w:left="440" w:top="270" w:right="439" w:bottom="1440" w:gutter="0" w:footer="0" w:header="0"/>
        </w:sectPr>
      </w:pPr>
    </w:p>
    <w:bookmarkStart w:id="701" w:name="page702"/>
    <w:bookmarkEnd w:id="70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43</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90 days from the date of Landlord’s notice.</w:t>
      </w:r>
    </w:p>
    <w:p>
      <w:pPr>
        <w:spacing w:after="0" w:line="75" w:lineRule="exact"/>
        <w:rPr>
          <w:sz w:val="20"/>
          <w:szCs w:val="20"/>
          <w:color w:val="auto"/>
        </w:rPr>
      </w:pPr>
    </w:p>
    <w:p>
      <w:pPr>
        <w:ind w:left="720" w:hanging="276"/>
        <w:spacing w:after="0"/>
        <w:tabs>
          <w:tab w:leader="none" w:pos="72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17" w:lineRule="exact"/>
        <w:rPr>
          <w:sz w:val="20"/>
          <w:szCs w:val="20"/>
          <w:color w:val="auto"/>
        </w:rPr>
      </w:pPr>
    </w:p>
    <w:p>
      <w:pPr>
        <w:ind w:right="160" w:firstLine="444"/>
        <w:spacing w:after="0" w:line="258" w:lineRule="auto"/>
        <w:tabs>
          <w:tab w:leader="none" w:pos="685"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75" w:lineRule="exact"/>
        <w:rPr>
          <w:rFonts w:ascii="Arial" w:cs="Arial" w:eastAsia="Arial" w:hAnsi="Arial"/>
          <w:sz w:val="18"/>
          <w:szCs w:val="18"/>
          <w:color w:val="auto"/>
        </w:rPr>
      </w:pPr>
    </w:p>
    <w:p>
      <w:pPr>
        <w:ind w:firstLine="444"/>
        <w:spacing w:after="0" w:line="291" w:lineRule="auto"/>
        <w:tabs>
          <w:tab w:leader="none" w:pos="695" w:val="left"/>
        </w:tabs>
        <w:numPr>
          <w:ilvl w:val="0"/>
          <w:numId w:val="589"/>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52" w:lineRule="exact"/>
        <w:rPr>
          <w:rFonts w:ascii="Arial" w:cs="Arial" w:eastAsia="Arial" w:hAnsi="Arial"/>
          <w:sz w:val="16"/>
          <w:szCs w:val="16"/>
          <w:color w:val="auto"/>
        </w:rPr>
      </w:pPr>
    </w:p>
    <w:p>
      <w:pPr>
        <w:ind w:right="180" w:firstLine="444"/>
        <w:spacing w:after="0" w:line="266" w:lineRule="auto"/>
        <w:tabs>
          <w:tab w:leader="none" w:pos="685"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 have in addition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72" w:lineRule="exact"/>
        <w:rPr>
          <w:rFonts w:ascii="Arial" w:cs="Arial" w:eastAsia="Arial" w:hAnsi="Arial"/>
          <w:sz w:val="18"/>
          <w:szCs w:val="18"/>
          <w:color w:val="auto"/>
        </w:rPr>
      </w:pPr>
    </w:p>
    <w:p>
      <w:pPr>
        <w:ind w:left="440" w:right="260" w:firstLine="428"/>
        <w:spacing w:after="0" w:line="279" w:lineRule="auto"/>
        <w:tabs>
          <w:tab w:leader="none" w:pos="1078"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63" w:lineRule="exact"/>
        <w:rPr>
          <w:rFonts w:ascii="Arial" w:cs="Arial" w:eastAsia="Arial" w:hAnsi="Arial"/>
          <w:sz w:val="17"/>
          <w:szCs w:val="17"/>
          <w:color w:val="auto"/>
        </w:rPr>
      </w:pPr>
    </w:p>
    <w:p>
      <w:pPr>
        <w:ind w:left="440" w:right="80" w:firstLine="428"/>
        <w:spacing w:after="0" w:line="277" w:lineRule="auto"/>
        <w:tabs>
          <w:tab w:leader="none" w:pos="1128" w:val="left"/>
        </w:tabs>
        <w:numPr>
          <w:ilvl w:val="1"/>
          <w:numId w:val="589"/>
        </w:numPr>
        <w:rPr>
          <w:rFonts w:ascii="Arial" w:cs="Arial" w:eastAsia="Arial" w:hAnsi="Arial"/>
          <w:sz w:val="18"/>
          <w:szCs w:val="18"/>
          <w:color w:val="auto"/>
        </w:rPr>
      </w:pPr>
      <w:r>
        <w:rPr>
          <w:rFonts w:ascii="Arial" w:cs="Arial" w:eastAsia="Arial" w:hAnsi="Arial"/>
          <w:sz w:val="18"/>
          <w:szCs w:val="18"/>
          <w:color w:val="auto"/>
        </w:rPr>
        <w:t xml:space="preserve">Upon any termination of this Lease, whether pursuant to the foregoing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or otherwise, Landlord may recover from Tenant the following:</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2"/>
          <w:numId w:val="589"/>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ectPr>
          <w:pgSz w:w="11900" w:h="16838" w:orient="portrait"/>
          <w:cols w:equalWidth="0" w:num="1">
            <w:col w:w="11020"/>
          </w:cols>
          <w:pgMar w:left="440" w:top="270" w:right="439" w:bottom="1440" w:gutter="0" w:footer="0" w:header="0"/>
        </w:sectPr>
      </w:pPr>
    </w:p>
    <w:bookmarkStart w:id="702" w:name="page703"/>
    <w:bookmarkEnd w:id="702"/>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44</w:t>
      </w:r>
    </w:p>
    <w:p>
      <w:pPr>
        <w:spacing w:after="0" w:line="162" w:lineRule="exact"/>
        <w:rPr>
          <w:sz w:val="20"/>
          <w:szCs w:val="20"/>
          <w:color w:val="auto"/>
        </w:rPr>
      </w:pPr>
    </w:p>
    <w:p>
      <w:pPr>
        <w:ind w:left="880" w:right="180" w:firstLine="411"/>
        <w:spacing w:after="0" w:line="308" w:lineRule="auto"/>
        <w:tabs>
          <w:tab w:leader="none" w:pos="157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38" w:lineRule="exact"/>
        <w:rPr>
          <w:rFonts w:ascii="Arial" w:cs="Arial" w:eastAsia="Arial" w:hAnsi="Arial"/>
          <w:sz w:val="17"/>
          <w:szCs w:val="17"/>
          <w:color w:val="auto"/>
        </w:rPr>
      </w:pPr>
    </w:p>
    <w:p>
      <w:pPr>
        <w:ind w:left="880" w:right="40" w:firstLine="411"/>
        <w:spacing w:after="0" w:line="277" w:lineRule="auto"/>
        <w:tabs>
          <w:tab w:leader="none" w:pos="157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left="880" w:right="240" w:firstLine="411"/>
        <w:spacing w:after="0" w:line="302" w:lineRule="auto"/>
        <w:tabs>
          <w:tab w:leader="none" w:pos="158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reasonable expenses of remodeling the Premises or any portion thereof for a new tenant, whether for the same or a different use, and any special concessions made to obtain a new tenant; and</w:t>
      </w:r>
    </w:p>
    <w:p>
      <w:pPr>
        <w:spacing w:after="0" w:line="46" w:lineRule="exact"/>
        <w:rPr>
          <w:rFonts w:ascii="Arial" w:cs="Arial" w:eastAsia="Arial" w:hAnsi="Arial"/>
          <w:sz w:val="16"/>
          <w:szCs w:val="16"/>
          <w:color w:val="auto"/>
        </w:rPr>
      </w:pPr>
    </w:p>
    <w:p>
      <w:pPr>
        <w:ind w:left="880" w:right="400" w:firstLine="411"/>
        <w:spacing w:after="0" w:line="277" w:lineRule="auto"/>
        <w:tabs>
          <w:tab w:leader="none" w:pos="156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At Landlord’s election, such other amounts in addition to or in lieu of the foregoing as may be permitted from time to time by applicable law.</w:t>
      </w:r>
    </w:p>
    <w:p>
      <w:pPr>
        <w:spacing w:after="0" w:line="166"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xml:space="preserve">” shall be computed by allowing interest at the Default Rate. As used in </w:t>
      </w:r>
      <w:r>
        <w:rPr>
          <w:rFonts w:ascii="Arial" w:cs="Arial" w:eastAsia="Arial" w:hAnsi="Arial"/>
          <w:sz w:val="16"/>
          <w:szCs w:val="16"/>
          <w:u w:val="single" w:color="auto"/>
          <w:color w:val="auto"/>
        </w:rPr>
        <w:t>Section 21(c)(ii)(C)</w:t>
      </w:r>
      <w:r>
        <w:rPr>
          <w:rFonts w:ascii="Arial" w:cs="Arial" w:eastAsia="Arial" w:hAnsi="Arial"/>
          <w:sz w:val="16"/>
          <w:szCs w:val="16"/>
          <w:color w:val="auto"/>
        </w:rPr>
        <w:t xml:space="preserve">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discounting such amount at the discount rate of the Federal Reserve Bank of San Francisco at the time of award plus 1%.</w:t>
      </w:r>
    </w:p>
    <w:p>
      <w:pPr>
        <w:spacing w:after="0" w:line="47" w:lineRule="exact"/>
        <w:rPr>
          <w:sz w:val="20"/>
          <w:szCs w:val="20"/>
          <w:color w:val="auto"/>
        </w:rPr>
      </w:pPr>
    </w:p>
    <w:p>
      <w:pPr>
        <w:ind w:left="440" w:right="120" w:firstLine="428"/>
        <w:spacing w:after="0" w:line="279" w:lineRule="auto"/>
        <w:tabs>
          <w:tab w:leader="none" w:pos="1178" w:val="left"/>
        </w:tabs>
        <w:numPr>
          <w:ilvl w:val="0"/>
          <w:numId w:val="591"/>
        </w:numPr>
        <w:rPr>
          <w:rFonts w:ascii="Arial" w:cs="Arial" w:eastAsia="Arial" w:hAnsi="Arial"/>
          <w:sz w:val="17"/>
          <w:szCs w:val="17"/>
          <w:color w:val="auto"/>
        </w:rPr>
      </w:pPr>
      <w:r>
        <w:rPr>
          <w:rFonts w:ascii="Arial" w:cs="Arial" w:eastAsia="Arial" w:hAnsi="Arial"/>
          <w:sz w:val="17"/>
          <w:szCs w:val="17"/>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63" w:lineRule="exact"/>
        <w:rPr>
          <w:rFonts w:ascii="Arial" w:cs="Arial" w:eastAsia="Arial" w:hAnsi="Arial"/>
          <w:sz w:val="17"/>
          <w:szCs w:val="17"/>
          <w:color w:val="auto"/>
        </w:rPr>
      </w:pPr>
    </w:p>
    <w:p>
      <w:pPr>
        <w:ind w:left="440" w:firstLine="428"/>
        <w:spacing w:after="0" w:line="276" w:lineRule="auto"/>
        <w:tabs>
          <w:tab w:leader="none" w:pos="1168" w:val="left"/>
        </w:tabs>
        <w:numPr>
          <w:ilvl w:val="0"/>
          <w:numId w:val="591"/>
        </w:numPr>
        <w:rPr>
          <w:rFonts w:ascii="Arial" w:cs="Arial" w:eastAsia="Arial" w:hAnsi="Arial"/>
          <w:sz w:val="17"/>
          <w:szCs w:val="17"/>
          <w:color w:val="auto"/>
        </w:rPr>
      </w:pPr>
      <w:r>
        <w:rPr>
          <w:rFonts w:ascii="Arial" w:cs="Arial" w:eastAsia="Arial" w:hAnsi="Arial"/>
          <w:sz w:val="17"/>
          <w:szCs w:val="17"/>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64" w:lineRule="exact"/>
        <w:rPr>
          <w:rFonts w:ascii="Arial" w:cs="Arial" w:eastAsia="Arial" w:hAnsi="Arial"/>
          <w:sz w:val="17"/>
          <w:szCs w:val="17"/>
          <w:color w:val="auto"/>
        </w:rPr>
      </w:pPr>
    </w:p>
    <w:p>
      <w:pPr>
        <w:ind w:left="440" w:firstLine="428"/>
        <w:spacing w:after="0" w:line="277" w:lineRule="auto"/>
        <w:tabs>
          <w:tab w:leader="none" w:pos="1118" w:val="left"/>
        </w:tabs>
        <w:numPr>
          <w:ilvl w:val="0"/>
          <w:numId w:val="591"/>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 xml:space="preserve"> hereof, at Tenant’s expense.</w:t>
      </w:r>
    </w:p>
    <w:p>
      <w:pPr>
        <w:sectPr>
          <w:pgSz w:w="11900" w:h="16838" w:orient="portrait"/>
          <w:cols w:equalWidth="0" w:num="1">
            <w:col w:w="11020"/>
          </w:cols>
          <w:pgMar w:left="440" w:top="270" w:right="439" w:bottom="1440" w:gutter="0" w:footer="0" w:header="0"/>
        </w:sectPr>
      </w:pPr>
    </w:p>
    <w:bookmarkStart w:id="703" w:name="page704"/>
    <w:bookmarkEnd w:id="70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45</w:t>
      </w:r>
    </w:p>
    <w:p>
      <w:pPr>
        <w:spacing w:after="0" w:line="158" w:lineRule="exact"/>
        <w:rPr>
          <w:sz w:val="20"/>
          <w:szCs w:val="20"/>
          <w:color w:val="auto"/>
        </w:rPr>
      </w:pPr>
    </w:p>
    <w:p>
      <w:pPr>
        <w:ind w:firstLine="444"/>
        <w:spacing w:after="0" w:line="285" w:lineRule="auto"/>
        <w:tabs>
          <w:tab w:leader="none" w:pos="695"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 Notwithstanding any contrary provision of this Lease, neither party shall be liable to the other party for any consequential damages arising under this Lease; provided that this sentence shall not apply to Landlord’s damages (x) as expressly provided for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and/or (y) in connection with Tenant’s obligations as more fully set forth in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In no event shall the foregoing limit the damages to which Landlord is entitled under this </w:t>
      </w:r>
      <w:r>
        <w:rPr>
          <w:rFonts w:ascii="Arial" w:cs="Arial" w:eastAsia="Arial" w:hAnsi="Arial"/>
          <w:sz w:val="16"/>
          <w:szCs w:val="16"/>
          <w:u w:val="single" w:color="auto"/>
          <w:color w:val="auto"/>
        </w:rPr>
        <w:t>Section 21(c)(ii)(A)-(D)</w:t>
      </w:r>
      <w:r>
        <w:rPr>
          <w:rFonts w:ascii="Arial" w:cs="Arial" w:eastAsia="Arial" w:hAnsi="Arial"/>
          <w:sz w:val="16"/>
          <w:szCs w:val="16"/>
          <w:color w:val="auto"/>
        </w:rPr>
        <w:t>.</w:t>
      </w:r>
    </w:p>
    <w:p>
      <w:pPr>
        <w:spacing w:after="0" w:line="67" w:lineRule="exact"/>
        <w:rPr>
          <w:sz w:val="20"/>
          <w:szCs w:val="20"/>
          <w:color w:val="auto"/>
        </w:rPr>
      </w:pPr>
    </w:p>
    <w:p>
      <w:pPr>
        <w:ind w:left="720" w:hanging="276"/>
        <w:spacing w:after="0"/>
        <w:tabs>
          <w:tab w:leader="none" w:pos="720" w:val="left"/>
        </w:tabs>
        <w:numPr>
          <w:ilvl w:val="0"/>
          <w:numId w:val="593"/>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9" w:lineRule="auto"/>
        <w:tabs>
          <w:tab w:leader="none" w:pos="685" w:val="left"/>
        </w:tabs>
        <w:numPr>
          <w:ilvl w:val="0"/>
          <w:numId w:val="594"/>
        </w:numPr>
        <w:rPr>
          <w:rFonts w:ascii="Arial" w:cs="Arial" w:eastAsia="Arial" w:hAnsi="Arial"/>
          <w:sz w:val="16"/>
          <w:szCs w:val="16"/>
          <w:color w:val="auto"/>
        </w:rPr>
      </w:pPr>
      <w:r>
        <w:rPr>
          <w:rFonts w:ascii="Arial" w:cs="Arial" w:eastAsia="Arial" w:hAnsi="Arial"/>
          <w:sz w:val="16"/>
          <w:szCs w:val="16"/>
          <w:b w:val="1"/>
          <w:bCs w:val="1"/>
          <w:color w:val="auto"/>
        </w:rPr>
        <w:t>General Prohibition</w:t>
      </w:r>
      <w:r>
        <w:rPr>
          <w:rFonts w:ascii="Arial" w:cs="Arial" w:eastAsia="Arial" w:hAnsi="Arial"/>
          <w:sz w:val="16"/>
          <w:szCs w:val="16"/>
          <w:color w:val="auto"/>
        </w:rPr>
        <w:t>. Without Landlord’s prior written consent subject to and on the conditions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22(b)</w:t>
      </w:r>
      <w:r>
        <w:rPr>
          <w:rFonts w:ascii="Arial" w:cs="Arial" w:eastAsia="Arial" w:hAnsi="Arial"/>
          <w:sz w:val="16"/>
          <w:szCs w:val="16"/>
          <w:b w:val="1"/>
          <w:bCs w:val="1"/>
          <w:color w:val="auto"/>
        </w:rPr>
        <w:t xml:space="preserve"> </w:t>
      </w:r>
      <w:r>
        <w:rPr>
          <w:rFonts w:ascii="Arial" w:cs="Arial" w:eastAsia="Arial" w:hAnsi="Arial"/>
          <w:sz w:val="16"/>
          <w:szCs w:val="16"/>
          <w:color w:val="auto"/>
        </w:rPr>
        <w:t>below,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Transfers of publicly traded stock or the issuance of new stock through nationally recognized stock exchanges will not be deemed an assignment or other transfer for purposes of this Lease.</w:t>
      </w:r>
    </w:p>
    <w:p>
      <w:pPr>
        <w:sectPr>
          <w:pgSz w:w="11900" w:h="16838" w:orient="portrait"/>
          <w:cols w:equalWidth="0" w:num="1">
            <w:col w:w="11020"/>
          </w:cols>
          <w:pgMar w:left="440" w:top="270" w:right="439" w:bottom="1440" w:gutter="0" w:footer="0" w:header="0"/>
        </w:sectPr>
      </w:pPr>
    </w:p>
    <w:bookmarkStart w:id="704" w:name="page705"/>
    <w:bookmarkEnd w:id="70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46</w:t>
      </w:r>
    </w:p>
    <w:p>
      <w:pPr>
        <w:spacing w:after="0" w:line="158" w:lineRule="exact"/>
        <w:rPr>
          <w:sz w:val="20"/>
          <w:szCs w:val="20"/>
          <w:color w:val="auto"/>
        </w:rPr>
      </w:pPr>
    </w:p>
    <w:p>
      <w:pPr>
        <w:ind w:right="100" w:firstLine="444"/>
        <w:spacing w:after="0" w:line="283" w:lineRule="auto"/>
        <w:tabs>
          <w:tab w:leader="none" w:pos="695" w:val="left"/>
        </w:tabs>
        <w:numPr>
          <w:ilvl w:val="1"/>
          <w:numId w:val="595"/>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except in connection with a Permitted Assignment (as defined below), terminate this Lease with respect to the space described in the Assignment Notice as of the Assignment Date (an “</w:t>
      </w:r>
      <w:r>
        <w:rPr>
          <w:rFonts w:ascii="Arial" w:cs="Arial" w:eastAsia="Arial" w:hAnsi="Arial"/>
          <w:sz w:val="16"/>
          <w:szCs w:val="16"/>
          <w:b w:val="1"/>
          <w:bCs w:val="1"/>
          <w:color w:val="auto"/>
        </w:rPr>
        <w:t>Assignment Termination</w:t>
      </w:r>
      <w:r>
        <w:rPr>
          <w:rFonts w:ascii="Arial" w:cs="Arial" w:eastAsia="Arial" w:hAnsi="Arial"/>
          <w:sz w:val="16"/>
          <w:szCs w:val="16"/>
          <w:color w:val="auto"/>
        </w:rPr>
        <w:t>”). If Landlord fails to respond within such 10 business day period, then Tenant shall provide Landlord with a second written notice stating in bold and all caps 12 point font that Landlord’s failure to respond to Tenant’s Assignment Notice within 5 business days after Landlord’s receipt of the second notice shall be deemed approval by Landlord, and if Landlord does not respond within such 5 business day period, then Landlord shall be deemed to have approved such Assignment Notice request. Among other reasons, it shall be reasonable for Landlord to withhold its consent in any of these instances:</w:t>
      </w:r>
    </w:p>
    <w:p>
      <w:pPr>
        <w:spacing w:after="0" w:line="6" w:lineRule="exact"/>
        <w:rPr>
          <w:rFonts w:ascii="Arial" w:cs="Arial" w:eastAsia="Arial" w:hAnsi="Arial"/>
          <w:sz w:val="16"/>
          <w:szCs w:val="16"/>
          <w:color w:val="auto"/>
        </w:rPr>
      </w:pPr>
    </w:p>
    <w:p>
      <w:pPr>
        <w:ind w:right="80" w:firstLine="4"/>
        <w:spacing w:after="0" w:line="281" w:lineRule="auto"/>
        <w:tabs>
          <w:tab w:leader="none" w:pos="255"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proposed assignee or subtenant is a governmental agency; (2) in Landlord’s reasonable judgment, the use of the Premises by the proposed assignee or subtenant would entail any alterations that would materially lessen the value of the leasehold improvements in the Premises, or would require materially increased services by Landlord</w:t>
      </w:r>
      <w:r>
        <w:rPr>
          <w:rFonts w:ascii="Arial" w:cs="Arial" w:eastAsia="Arial" w:hAnsi="Arial"/>
          <w:sz w:val="16"/>
          <w:szCs w:val="16"/>
          <w:b w:val="1"/>
          <w:bCs w:val="1"/>
          <w:color w:val="auto"/>
        </w:rPr>
        <w:t>; (3)</w:t>
      </w:r>
      <w:r>
        <w:rPr>
          <w:rFonts w:ascii="Arial" w:cs="Arial" w:eastAsia="Arial" w:hAnsi="Arial"/>
          <w:sz w:val="16"/>
          <w:szCs w:val="16"/>
          <w:color w:val="auto"/>
        </w:rPr>
        <w:t xml:space="preserve"> 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(iii) attract protestors to the Building or the Project, or</w:t>
      </w:r>
    </w:p>
    <w:p>
      <w:pPr>
        <w:spacing w:after="0" w:line="3"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(iv) lessen the attractiveness of the Building or the Project to any tenants or prospective tenants, purchasers or lenders; (4) in Landlord’s reasonable judgment, the proposed assignee or subtenant lacks the creditworthiness to support the financial obligations it will incur under the proposed assignment or sublease</w:t>
      </w:r>
      <w:r>
        <w:rPr>
          <w:rFonts w:ascii="Arial" w:cs="Arial" w:eastAsia="Arial" w:hAnsi="Arial"/>
          <w:sz w:val="16"/>
          <w:szCs w:val="16"/>
          <w:b w:val="1"/>
          <w:bCs w:val="1"/>
          <w:color w:val="auto"/>
        </w:rPr>
        <w:t>; (5) in Landlord’s reasonable judgment, the character, reputation, or business of the proposed assignee or subtenant is inconsistent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with the desired tenant-mix or the quality of other tenancies in the Project or is inconsistent with the type and quality of the nature of the Building; (6) Landlord has received from any prior landlord to the proposed assignee or subtenant a negative report detailing any default(s) and/or litigation with and/or environmental contamination caused by the proposed assignee or subtenant in connection with its lease with such prior landlord; (7) Landlord has experienced previous defaults by or is in litigation with the proposed assignee or subtenant; (8) the use of the Premises by the proposed assignee or subtenant will violate any applicable Legal Requirement; (9) the proposed assignee or subtenant is an entity with whom Landlord is negotiating to lease space in the Project; or (10) the assignment or sublease is prohibited by Landlord’s lender.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delivers notice of its election to exercise an Assignment Termination, Tenant shall have the right to withdraw such Assignment Notice by written notice to Landlord of such election within 5 business days after Landlord’s notice electing to exercise the</w:t>
      </w:r>
    </w:p>
    <w:p>
      <w:pPr>
        <w:sectPr>
          <w:pgSz w:w="11900" w:h="16838" w:orient="portrait"/>
          <w:cols w:equalWidth="0" w:num="1">
            <w:col w:w="11020"/>
          </w:cols>
          <w:pgMar w:left="440" w:top="269" w:right="439" w:bottom="1440" w:gutter="0" w:footer="0" w:header="0"/>
        </w:sectPr>
      </w:pPr>
    </w:p>
    <w:bookmarkStart w:id="705" w:name="page706"/>
    <w:bookmarkEnd w:id="70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47</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6"/>
          <w:szCs w:val="16"/>
          <w:b w:val="1"/>
          <w:bCs w:val="1"/>
          <w:color w:val="auto"/>
        </w:rPr>
        <w:t>Control Permitted Assignment</w:t>
      </w:r>
      <w:r>
        <w:rPr>
          <w:rFonts w:ascii="Arial" w:cs="Arial" w:eastAsia="Arial" w:hAnsi="Arial"/>
          <w:sz w:val="16"/>
          <w:szCs w:val="16"/>
          <w:color w:val="auto"/>
        </w:rPr>
        <w:t>”) shall not be required, provided that Landlord shall have the right to approve the form of any such sublease or assignment (which approval shall not be unreasonably withheld or delayed). In addition, Tenant shall have the right to assign this Lease, upon 30 days prior written notice to Landlord ((x) unless Tenant is prohibited from providing such notice by applicable Legal Requirements in which case Tenant shall notify Landlord promptly thereafter, and</w:t>
      </w:r>
    </w:p>
    <w:p>
      <w:pPr>
        <w:spacing w:after="0" w:line="6" w:lineRule="exact"/>
        <w:rPr>
          <w:sz w:val="20"/>
          <w:szCs w:val="20"/>
          <w:color w:val="auto"/>
        </w:rPr>
      </w:pPr>
    </w:p>
    <w:p>
      <w:pPr>
        <w:ind w:right="20" w:firstLine="4"/>
        <w:spacing w:after="0" w:line="281" w:lineRule="auto"/>
        <w:tabs>
          <w:tab w:leader="none" w:pos="25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if the transaction is subject to confidentiality requirements, Tenant’s advance notification shall be subject to Landlord’s execution of a non-disclosure agreement reasonably acceptable to Landlord and Tenant)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legitimate business purpose and not principally for the purpose of transferring the Lease, and (ii)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greater of the net worth (as determined in accordance with GAAP) of Tenant as of (A) the Commencement Date, or (B) as of the date of Tenant’s most current quarterly or annual financial statements, and</w:t>
      </w:r>
    </w:p>
    <w:p>
      <w:pPr>
        <w:spacing w:after="0" w:line="4" w:lineRule="exact"/>
        <w:rPr>
          <w:rFonts w:ascii="Arial" w:cs="Arial" w:eastAsia="Arial" w:hAnsi="Arial"/>
          <w:sz w:val="16"/>
          <w:szCs w:val="16"/>
          <w:color w:val="auto"/>
        </w:rPr>
      </w:pPr>
    </w:p>
    <w:p>
      <w:pPr>
        <w:ind w:right="160" w:firstLine="4"/>
        <w:spacing w:after="0" w:line="255" w:lineRule="auto"/>
        <w:tabs>
          <w:tab w:leader="none" w:pos="31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such assignee shall agree in writing to assume all of the terms, covenants and conditions of this Lease arising after the effective date of the assignment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1"/>
          <w:numId w:val="598"/>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102" w:lineRule="exact"/>
        <w:rPr>
          <w:rFonts w:ascii="Arial" w:cs="Arial" w:eastAsia="Arial" w:hAnsi="Arial"/>
          <w:sz w:val="16"/>
          <w:szCs w:val="16"/>
          <w:color w:val="auto"/>
        </w:rPr>
      </w:pPr>
    </w:p>
    <w:p>
      <w:pPr>
        <w:ind w:left="440" w:right="120" w:firstLine="428"/>
        <w:spacing w:after="0" w:line="276" w:lineRule="auto"/>
        <w:tabs>
          <w:tab w:leader="none" w:pos="1078" w:val="left"/>
        </w:tabs>
        <w:numPr>
          <w:ilvl w:val="2"/>
          <w:numId w:val="598"/>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64" w:lineRule="exact"/>
        <w:rPr>
          <w:rFonts w:ascii="Arial" w:cs="Arial" w:eastAsia="Arial" w:hAnsi="Arial"/>
          <w:sz w:val="17"/>
          <w:szCs w:val="17"/>
          <w:color w:val="auto"/>
        </w:rPr>
      </w:pPr>
    </w:p>
    <w:p>
      <w:pPr>
        <w:ind w:left="440" w:right="100" w:firstLine="428"/>
        <w:spacing w:after="0" w:line="264" w:lineRule="auto"/>
        <w:tabs>
          <w:tab w:leader="none" w:pos="1128" w:val="left"/>
        </w:tabs>
        <w:numPr>
          <w:ilvl w:val="2"/>
          <w:numId w:val="598"/>
        </w:numPr>
        <w:rPr>
          <w:rFonts w:ascii="Arial" w:cs="Arial" w:eastAsia="Arial" w:hAnsi="Arial"/>
          <w:sz w:val="18"/>
          <w:szCs w:val="18"/>
          <w:color w:val="auto"/>
        </w:rPr>
      </w:pPr>
      <w:r>
        <w:rPr>
          <w:rFonts w:ascii="Arial" w:cs="Arial" w:eastAsia="Arial" w:hAnsi="Arial"/>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w:t>
      </w:r>
    </w:p>
    <w:p>
      <w:pPr>
        <w:sectPr>
          <w:pgSz w:w="11900" w:h="16838" w:orient="portrait"/>
          <w:cols w:equalWidth="0" w:num="1">
            <w:col w:w="11020"/>
          </w:cols>
          <w:pgMar w:left="440" w:top="270" w:right="439" w:bottom="1440" w:gutter="0" w:footer="0" w:header="0"/>
        </w:sectPr>
      </w:pPr>
    </w:p>
    <w:bookmarkStart w:id="706" w:name="page707"/>
    <w:bookmarkEnd w:id="70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48</w:t>
      </w:r>
    </w:p>
    <w:p>
      <w:pPr>
        <w:spacing w:after="0" w:line="162" w:lineRule="exact"/>
        <w:rPr>
          <w:sz w:val="20"/>
          <w:szCs w:val="20"/>
          <w:color w:val="auto"/>
        </w:rPr>
      </w:pPr>
    </w:p>
    <w:p>
      <w:pPr>
        <w:ind w:left="440" w:right="160"/>
        <w:spacing w:after="0" w:line="271" w:lineRule="auto"/>
        <w:rPr>
          <w:sz w:val="20"/>
          <w:szCs w:val="20"/>
          <w:color w:val="auto"/>
        </w:rPr>
      </w:pPr>
      <w:r>
        <w:rPr>
          <w:rFonts w:ascii="Arial" w:cs="Arial" w:eastAsia="Arial" w:hAnsi="Arial"/>
          <w:sz w:val="17"/>
          <w:szCs w:val="17"/>
          <w:color w:val="auto"/>
        </w:rPr>
        <w:t>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67" w:lineRule="exact"/>
        <w:rPr>
          <w:sz w:val="20"/>
          <w:szCs w:val="20"/>
          <w:color w:val="auto"/>
        </w:rPr>
      </w:pPr>
    </w:p>
    <w:p>
      <w:pPr>
        <w:ind w:right="60" w:firstLine="444"/>
        <w:spacing w:after="0" w:line="270" w:lineRule="auto"/>
        <w:tabs>
          <w:tab w:leader="none" w:pos="695" w:val="left"/>
        </w:tabs>
        <w:numPr>
          <w:ilvl w:val="0"/>
          <w:numId w:val="599"/>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shall at all times remain fully and primarily responsible and liable for the payment of Rent and for compliance with all of Tenant’s other obligations under this Lease. Except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7"/>
          <w:szCs w:val="17"/>
          <w:b w:val="1"/>
          <w:bCs w:val="1"/>
          <w:color w:val="auto"/>
        </w:rPr>
        <w:t>Excess</w:t>
      </w:r>
      <w:r>
        <w:rPr>
          <w:rFonts w:ascii="Arial" w:cs="Arial" w:eastAsia="Arial" w:hAnsi="Arial"/>
          <w:sz w:val="17"/>
          <w:szCs w:val="17"/>
          <w:color w:val="auto"/>
        </w:rPr>
        <w:t xml:space="preserve"> </w:t>
      </w:r>
      <w:r>
        <w:rPr>
          <w:rFonts w:ascii="Arial" w:cs="Arial" w:eastAsia="Arial" w:hAnsi="Arial"/>
          <w:sz w:val="17"/>
          <w:szCs w:val="17"/>
          <w:b w:val="1"/>
          <w:bCs w:val="1"/>
          <w:color w:val="auto"/>
        </w:rPr>
        <w:t>Rent</w:t>
      </w:r>
      <w:r>
        <w:rPr>
          <w:rFonts w:ascii="Arial" w:cs="Arial" w:eastAsia="Arial" w:hAnsi="Arial"/>
          <w:sz w:val="17"/>
          <w:szCs w:val="17"/>
          <w:color w:val="auto"/>
        </w:rPr>
        <w:t>”), then Tenant shall be bound and obligated to pay Landlord as Additional Rent hereunder 50% of such Excess Rent within 10 days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thereof by Tenant. If Tenant shall sublet the Premises or any part thereof, Tenant hereby immediately and irrevocably assigns to Landlord, as security for Tenant’s obligations under this Lease, all rent from any such subletting, and Landlord as assignee, or a receiver for Tenant appointed on Landlord’s application, may collect such rent and apply it toward Tenant’s obligations under this Lease; except that, until the occurrence of a Default, Tenant shall have the right to collect such rent.</w:t>
      </w:r>
    </w:p>
    <w:p>
      <w:pPr>
        <w:spacing w:after="0" w:line="65" w:lineRule="exact"/>
        <w:rPr>
          <w:rFonts w:ascii="Arial" w:cs="Arial" w:eastAsia="Arial" w:hAnsi="Arial"/>
          <w:sz w:val="17"/>
          <w:szCs w:val="17"/>
          <w:color w:val="auto"/>
        </w:rPr>
      </w:pPr>
    </w:p>
    <w:p>
      <w:pPr>
        <w:ind w:firstLine="444"/>
        <w:spacing w:after="0" w:line="258" w:lineRule="auto"/>
        <w:tabs>
          <w:tab w:leader="none" w:pos="685"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75" w:lineRule="exact"/>
        <w:rPr>
          <w:rFonts w:ascii="Arial" w:cs="Arial" w:eastAsia="Arial" w:hAnsi="Arial"/>
          <w:sz w:val="18"/>
          <w:szCs w:val="18"/>
          <w:color w:val="auto"/>
        </w:rPr>
      </w:pPr>
    </w:p>
    <w:p>
      <w:pPr>
        <w:ind w:right="80" w:firstLine="444"/>
        <w:spacing w:after="0" w:line="258" w:lineRule="auto"/>
        <w:tabs>
          <w:tab w:leader="none" w:pos="665"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 proposed assignee or sublessee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w:t>
      </w:r>
    </w:p>
    <w:p>
      <w:pPr>
        <w:sectPr>
          <w:pgSz w:w="11900" w:h="16838" w:orient="portrait"/>
          <w:cols w:equalWidth="0" w:num="1">
            <w:col w:w="11020"/>
          </w:cols>
          <w:pgMar w:left="440" w:top="271" w:right="439" w:bottom="1440" w:gutter="0" w:footer="0" w:header="0"/>
        </w:sectPr>
      </w:pPr>
    </w:p>
    <w:bookmarkStart w:id="707" w:name="page708"/>
    <w:bookmarkEnd w:id="70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49</w:t>
      </w:r>
    </w:p>
    <w:p>
      <w:pPr>
        <w:spacing w:after="0" w:line="1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42" w:lineRule="exact"/>
        <w:rPr>
          <w:sz w:val="20"/>
          <w:szCs w:val="20"/>
          <w:color w:val="auto"/>
        </w:rPr>
      </w:pPr>
    </w:p>
    <w:p>
      <w:pPr>
        <w:ind w:firstLine="444"/>
        <w:spacing w:after="0" w:line="271" w:lineRule="auto"/>
        <w:tabs>
          <w:tab w:leader="none" w:pos="711" w:val="left"/>
        </w:tabs>
        <w:numPr>
          <w:ilvl w:val="0"/>
          <w:numId w:val="600"/>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 statement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factual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be conclusive upon Tenant that the Lease is in full force and effect and without modification except as may be represented by Landlord in any certificate prepared by Landlord and delivered to Tenant for execution.</w:t>
      </w:r>
    </w:p>
    <w:p>
      <w:pPr>
        <w:spacing w:after="0" w:line="66" w:lineRule="exact"/>
        <w:rPr>
          <w:rFonts w:ascii="Arial" w:cs="Arial" w:eastAsia="Arial" w:hAnsi="Arial"/>
          <w:sz w:val="17"/>
          <w:szCs w:val="17"/>
          <w:color w:val="auto"/>
        </w:rPr>
      </w:pPr>
    </w:p>
    <w:p>
      <w:pPr>
        <w:jc w:val="both"/>
        <w:ind w:right="80" w:firstLine="444"/>
        <w:spacing w:after="0" w:line="266" w:lineRule="auto"/>
        <w:tabs>
          <w:tab w:leader="none" w:pos="711"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 Lease,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have peaceful and quiet enjoyment of the Premises and the parking structure serving the Project against any person claiming by, through or under Landlord.</w:t>
      </w:r>
    </w:p>
    <w:p>
      <w:pPr>
        <w:spacing w:after="0" w:line="68" w:lineRule="exact"/>
        <w:rPr>
          <w:rFonts w:ascii="Arial" w:cs="Arial" w:eastAsia="Arial" w:hAnsi="Arial"/>
          <w:sz w:val="18"/>
          <w:szCs w:val="18"/>
          <w:color w:val="auto"/>
        </w:rPr>
      </w:pPr>
    </w:p>
    <w:p>
      <w:pPr>
        <w:ind w:left="720" w:hanging="276"/>
        <w:spacing w:after="0"/>
        <w:tabs>
          <w:tab w:leader="none" w:pos="720" w:val="left"/>
        </w:tabs>
        <w:numPr>
          <w:ilvl w:val="0"/>
          <w:numId w:val="600"/>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 day months.</w:t>
      </w:r>
    </w:p>
    <w:p>
      <w:pPr>
        <w:spacing w:after="0" w:line="128" w:lineRule="exact"/>
        <w:rPr>
          <w:rFonts w:ascii="Arial" w:cs="Arial" w:eastAsia="Arial" w:hAnsi="Arial"/>
          <w:sz w:val="17"/>
          <w:szCs w:val="17"/>
          <w:color w:val="auto"/>
        </w:rPr>
      </w:pPr>
    </w:p>
    <w:p>
      <w:pPr>
        <w:ind w:right="60" w:firstLine="444"/>
        <w:spacing w:after="0" w:line="258" w:lineRule="auto"/>
        <w:tabs>
          <w:tab w:leader="none" w:pos="711"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 reasonable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any time or from time to time established by Landlord covering use of the Premises and the Project.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75" w:lineRule="exact"/>
        <w:rPr>
          <w:rFonts w:ascii="Arial" w:cs="Arial" w:eastAsia="Arial" w:hAnsi="Arial"/>
          <w:sz w:val="18"/>
          <w:szCs w:val="18"/>
          <w:color w:val="auto"/>
        </w:rPr>
      </w:pPr>
    </w:p>
    <w:p>
      <w:pPr>
        <w:ind w:right="20" w:firstLine="444"/>
        <w:spacing w:after="0" w:line="256" w:lineRule="auto"/>
        <w:tabs>
          <w:tab w:leader="none" w:pos="711"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 subordinate at all times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(including Tenant’s right to quiet enjoyment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by the Holder of any such Mortgage. Tenant agrees, at the election of the Holder of any such Mortgage, to attorn to any such</w:t>
      </w:r>
    </w:p>
    <w:p>
      <w:pPr>
        <w:sectPr>
          <w:pgSz w:w="11900" w:h="16838" w:orient="portrait"/>
          <w:cols w:equalWidth="0" w:num="1">
            <w:col w:w="11020"/>
          </w:cols>
          <w:pgMar w:left="440" w:top="270" w:right="439" w:bottom="1440" w:gutter="0" w:footer="0" w:header="0"/>
        </w:sectPr>
      </w:pPr>
    </w:p>
    <w:bookmarkStart w:id="708" w:name="page709"/>
    <w:bookmarkEnd w:id="70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50</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7"/>
          <w:szCs w:val="17"/>
          <w:b w:val="1"/>
          <w:bCs w:val="1"/>
          <w:color w:val="auto"/>
        </w:rPr>
        <w:t>Mortgage</w:t>
      </w:r>
      <w:r>
        <w:rPr>
          <w:rFonts w:ascii="Arial" w:cs="Arial" w:eastAsia="Arial" w:hAnsi="Arial"/>
          <w:sz w:val="17"/>
          <w:szCs w:val="17"/>
          <w:color w:val="auto"/>
        </w:rPr>
        <w:t>” whenever used in this Lease shall be deemed to include deeds of trust, security assignments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w:t>
      </w:r>
    </w:p>
    <w:p>
      <w:pPr>
        <w:spacing w:after="0" w:line="179"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As of the date of this Lease, there is no existing Mortgage encumbering the Project. Landlord agrees to use reasonable efforts to cause the Holder of any future Mortgage to enter into a subordination, non-disturbance and attornment agreement (“</w:t>
      </w:r>
      <w:r>
        <w:rPr>
          <w:rFonts w:ascii="Arial" w:cs="Arial" w:eastAsia="Arial" w:hAnsi="Arial"/>
          <w:sz w:val="16"/>
          <w:szCs w:val="16"/>
          <w:b w:val="1"/>
          <w:bCs w:val="1"/>
          <w:color w:val="auto"/>
        </w:rPr>
        <w:t>SNDA</w:t>
      </w:r>
      <w:r>
        <w:rPr>
          <w:rFonts w:ascii="Arial" w:cs="Arial" w:eastAsia="Arial" w:hAnsi="Arial"/>
          <w:sz w:val="16"/>
          <w:szCs w:val="16"/>
          <w:color w:val="auto"/>
        </w:rPr>
        <w:t>”) with Tenant with respect to this Lease. The SNDA shall be on the form proscribed by the Holder and Tenant shall pay the Holder’s fees and costs in connection with obtaining such SNDA; provided, however, that Landlord shall request that Holder make any changes to the SNDA requested by Tenant. Landlord’s failure to cause the Holder to enter into the SNDA with Tenant (or make any of the changes requested by Tenant) shall not be a default by Landlord under this Lease</w:t>
      </w:r>
    </w:p>
    <w:p>
      <w:pPr>
        <w:spacing w:after="0" w:line="46" w:lineRule="exact"/>
        <w:rPr>
          <w:sz w:val="20"/>
          <w:szCs w:val="20"/>
          <w:color w:val="auto"/>
        </w:rPr>
      </w:pPr>
    </w:p>
    <w:p>
      <w:pPr>
        <w:ind w:right="40" w:firstLine="444"/>
        <w:spacing w:after="0" w:line="286" w:lineRule="auto"/>
        <w:tabs>
          <w:tab w:leader="none" w:pos="711" w:val="left"/>
        </w:tabs>
        <w:numPr>
          <w:ilvl w:val="0"/>
          <w:numId w:val="601"/>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reasonable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w:t>
      </w:r>
    </w:p>
    <w:p>
      <w:pPr>
        <w:sectPr>
          <w:pgSz w:w="11900" w:h="16838" w:orient="portrait"/>
          <w:cols w:equalWidth="0" w:num="1">
            <w:col w:w="11020"/>
          </w:cols>
          <w:pgMar w:left="440" w:top="271" w:right="439" w:bottom="1440" w:gutter="0" w:footer="0" w:header="0"/>
        </w:sectPr>
      </w:pPr>
    </w:p>
    <w:bookmarkStart w:id="709" w:name="page710"/>
    <w:bookmarkEnd w:id="70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51</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$5,000. Landlord shall have the unrestricted right to deliver such Surrender Plan and any report by Landlord’s environmental consultant with respect to the surrender of the Premises to third parties with a legitimate business reason for reviewing such report and provided that Landlord instructs such parties to treat the same as confidential.</w:t>
      </w:r>
    </w:p>
    <w:p>
      <w:pPr>
        <w:spacing w:after="0" w:line="19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(as confirmed by Landlord’s environmental consultant)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58"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Landlord and Tenant hereunder not fully performed as of the termination of the Term, including the obligations of Tenant 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70" w:lineRule="exact"/>
        <w:rPr>
          <w:sz w:val="20"/>
          <w:szCs w:val="20"/>
          <w:color w:val="auto"/>
        </w:rPr>
      </w:pPr>
    </w:p>
    <w:p>
      <w:pPr>
        <w:ind w:firstLine="444"/>
        <w:spacing w:after="0" w:line="261" w:lineRule="auto"/>
        <w:tabs>
          <w:tab w:leader="none" w:pos="711"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 TRIAL BY</w:t>
      </w:r>
      <w:r>
        <w:rPr>
          <w:rFonts w:ascii="Arial" w:cs="Arial" w:eastAsia="Arial" w:hAnsi="Arial"/>
          <w:sz w:val="18"/>
          <w:szCs w:val="18"/>
          <w:b w:val="1"/>
          <w:bCs w:val="1"/>
          <w:color w:val="auto"/>
        </w:rPr>
        <w:t xml:space="preserve"> </w:t>
      </w:r>
      <w:r>
        <w:rPr>
          <w:rFonts w:ascii="Arial" w:cs="Arial" w:eastAsia="Arial" w:hAnsi="Arial"/>
          <w:sz w:val="18"/>
          <w:szCs w:val="18"/>
          <w:color w:val="auto"/>
        </w:rPr>
        <w:t>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1" w:lineRule="exact"/>
        <w:rPr>
          <w:rFonts w:ascii="Arial" w:cs="Arial" w:eastAsia="Arial" w:hAnsi="Arial"/>
          <w:sz w:val="18"/>
          <w:szCs w:val="18"/>
          <w:color w:val="auto"/>
        </w:rPr>
      </w:pPr>
    </w:p>
    <w:p>
      <w:pPr>
        <w:ind w:left="720" w:hanging="276"/>
        <w:spacing w:after="0"/>
        <w:tabs>
          <w:tab w:leader="none" w:pos="720"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17" w:lineRule="exact"/>
        <w:rPr>
          <w:sz w:val="20"/>
          <w:szCs w:val="20"/>
          <w:color w:val="auto"/>
        </w:rPr>
      </w:pPr>
    </w:p>
    <w:p>
      <w:pPr>
        <w:ind w:right="120" w:firstLine="444"/>
        <w:spacing w:after="0" w:line="274" w:lineRule="auto"/>
        <w:tabs>
          <w:tab w:leader="none" w:pos="685" w:val="left"/>
        </w:tabs>
        <w:numPr>
          <w:ilvl w:val="0"/>
          <w:numId w:val="603"/>
        </w:numPr>
        <w:rPr>
          <w:rFonts w:ascii="Arial" w:cs="Arial" w:eastAsia="Arial" w:hAnsi="Arial"/>
          <w:sz w:val="17"/>
          <w:szCs w:val="17"/>
          <w:color w:val="auto"/>
        </w:rPr>
      </w:pPr>
      <w:r>
        <w:rPr>
          <w:rFonts w:ascii="Arial" w:cs="Arial" w:eastAsia="Arial" w:hAnsi="Arial"/>
          <w:sz w:val="17"/>
          <w:szCs w:val="17"/>
          <w:b w:val="1"/>
          <w:bCs w:val="1"/>
          <w:color w:val="auto"/>
        </w:rPr>
        <w:t>Prohibition/Compliance/Indemnity</w:t>
      </w:r>
      <w:r>
        <w:rPr>
          <w:rFonts w:ascii="Arial" w:cs="Arial" w:eastAsia="Arial" w:hAnsi="Arial"/>
          <w:sz w:val="17"/>
          <w:szCs w:val="17"/>
          <w:color w:val="auto"/>
        </w:rPr>
        <w:t>. Tenant shall not cause or permit any Hazardous Materials (as hereinafter defined) to be brought upon,</w:t>
      </w:r>
      <w:r>
        <w:rPr>
          <w:rFonts w:ascii="Arial" w:cs="Arial" w:eastAsia="Arial" w:hAnsi="Arial"/>
          <w:sz w:val="17"/>
          <w:szCs w:val="17"/>
          <w:b w:val="1"/>
          <w:bCs w:val="1"/>
          <w:color w:val="auto"/>
        </w:rPr>
        <w:t xml:space="preserve"> </w:t>
      </w:r>
      <w:r>
        <w:rPr>
          <w:rFonts w:ascii="Arial" w:cs="Arial" w:eastAsia="Arial" w:hAnsi="Arial"/>
          <w:sz w:val="17"/>
          <w:szCs w:val="17"/>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w:t>
      </w:r>
    </w:p>
    <w:p>
      <w:pPr>
        <w:sectPr>
          <w:pgSz w:w="11900" w:h="16838" w:orient="portrait"/>
          <w:cols w:equalWidth="0" w:num="1">
            <w:col w:w="11020"/>
          </w:cols>
          <w:pgMar w:left="440" w:top="270" w:right="439" w:bottom="1440" w:gutter="0" w:footer="0" w:header="0"/>
        </w:sectPr>
      </w:pPr>
    </w:p>
    <w:bookmarkStart w:id="710" w:name="page711"/>
    <w:bookmarkEnd w:id="71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Landlord shall, at no cost or expense to Tenant, comply with all of Landlord’s monitoring and remediation obligations under applicable Legal Requirements with respect to the Hazardous Materials condition which is the subject of the Contemplated Covenant (as defined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not be responsible for, and the indemnification and hold harmless obligation set forth in this paragraph shall not apply to (i) contamination in the Premises which Tenant can prove to Landlord’s reasonable satisfaction existed in the Premises immediately prior to the Commencement Date, or</w:t>
      </w:r>
    </w:p>
    <w:p>
      <w:pPr>
        <w:spacing w:after="0" w:line="12" w:lineRule="exact"/>
        <w:rPr>
          <w:sz w:val="20"/>
          <w:szCs w:val="20"/>
          <w:color w:val="auto"/>
        </w:rPr>
      </w:pPr>
    </w:p>
    <w:p>
      <w:pPr>
        <w:ind w:right="80" w:firstLine="4"/>
        <w:spacing w:after="0" w:line="287" w:lineRule="auto"/>
        <w:tabs>
          <w:tab w:leader="none" w:pos="265" w:val="left"/>
        </w:tabs>
        <w:numPr>
          <w:ilvl w:val="0"/>
          <w:numId w:val="604"/>
        </w:numPr>
        <w:rPr>
          <w:rFonts w:ascii="Arial" w:cs="Arial" w:eastAsia="Arial" w:hAnsi="Arial"/>
          <w:sz w:val="16"/>
          <w:szCs w:val="16"/>
          <w:color w:val="auto"/>
        </w:rPr>
      </w:pPr>
      <w:r>
        <w:rPr>
          <w:rFonts w:ascii="Arial" w:cs="Arial" w:eastAsia="Arial" w:hAnsi="Arial"/>
          <w:sz w:val="16"/>
          <w:szCs w:val="16"/>
          <w:color w:val="auto"/>
        </w:rPr>
        <w:t xml:space="preserve">the presence of any Hazardous Materials in the Premises which Tenant can prove to Landlord’s reasonable satisfaction migrated from outside of the Premises into the Premises, unless in either case, the presence of such Hazardous Materials (x) is the result of a breach by Tenant of any of its obligations under this Lease, or (y) was caused, contributed to or exacerbated by Tenant or any Tenant Party. The parties specifically agree that Tenant will have no responsibility for any Hazardous Material to which the disclosure set forth in </w:t>
      </w:r>
      <w:r>
        <w:rPr>
          <w:rFonts w:ascii="Arial" w:cs="Arial" w:eastAsia="Arial" w:hAnsi="Arial"/>
          <w:sz w:val="16"/>
          <w:szCs w:val="16"/>
          <w:u w:val="single" w:color="auto"/>
          <w:color w:val="auto"/>
        </w:rPr>
        <w:t>Section 30(i)</w:t>
      </w:r>
      <w:r>
        <w:rPr>
          <w:rFonts w:ascii="Arial" w:cs="Arial" w:eastAsia="Arial" w:hAnsi="Arial"/>
          <w:sz w:val="16"/>
          <w:szCs w:val="16"/>
          <w:color w:val="auto"/>
        </w:rPr>
        <w:t xml:space="preserve"> below applies (namely those Hazardous Materials disclosed in the various reports prepared by Environ and referenced in the letter dated July 8, 2013 and provided to Tenant (the “</w:t>
      </w:r>
      <w:r>
        <w:rPr>
          <w:rFonts w:ascii="Arial" w:cs="Arial" w:eastAsia="Arial" w:hAnsi="Arial"/>
          <w:sz w:val="16"/>
          <w:szCs w:val="16"/>
          <w:b w:val="1"/>
          <w:bCs w:val="1"/>
          <w:color w:val="auto"/>
        </w:rPr>
        <w:t>Pre-Existing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Hazardous Materials</w:t>
      </w:r>
      <w:r>
        <w:rPr>
          <w:rFonts w:ascii="Arial" w:cs="Arial" w:eastAsia="Arial" w:hAnsi="Arial"/>
          <w:sz w:val="16"/>
          <w:szCs w:val="16"/>
          <w:color w:val="auto"/>
        </w:rPr>
        <w:t>”), unless the presence of such Pre-Existing Hazardous Materials is contributed to or exacerbated by Tenant or any Tenant Party.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agrees to indemnify, defend and hold Tenant harmless from and against any and all claims made against Tenant by any Governmental Authority arising from or related to the presence of the Hazardous Materials specifically identified in and subject to the Contemplated Covenant.</w:t>
      </w:r>
    </w:p>
    <w:p>
      <w:pPr>
        <w:sectPr>
          <w:pgSz w:w="11900" w:h="16838" w:orient="portrait"/>
          <w:cols w:equalWidth="0" w:num="1">
            <w:col w:w="11020"/>
          </w:cols>
          <w:pgMar w:left="440" w:top="270" w:right="439" w:bottom="1440" w:gutter="0" w:footer="0" w:header="0"/>
        </w:sectPr>
      </w:pPr>
    </w:p>
    <w:bookmarkStart w:id="711" w:name="page712"/>
    <w:bookmarkEnd w:id="71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53</w:t>
      </w:r>
    </w:p>
    <w:p>
      <w:pPr>
        <w:spacing w:after="0" w:line="158" w:lineRule="exact"/>
        <w:rPr>
          <w:sz w:val="20"/>
          <w:szCs w:val="20"/>
          <w:color w:val="auto"/>
        </w:rPr>
      </w:pPr>
    </w:p>
    <w:p>
      <w:pPr>
        <w:ind w:right="20" w:firstLine="444"/>
        <w:spacing w:after="0" w:line="285" w:lineRule="auto"/>
        <w:tabs>
          <w:tab w:leader="none" w:pos="695" w:val="left"/>
        </w:tabs>
        <w:numPr>
          <w:ilvl w:val="0"/>
          <w:numId w:val="605"/>
        </w:numPr>
        <w:rPr>
          <w:rFonts w:ascii="Arial" w:cs="Arial" w:eastAsia="Arial" w:hAnsi="Arial"/>
          <w:sz w:val="16"/>
          <w:szCs w:val="16"/>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 Landlord acknowledges that it is not the intent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to prohibit Tenant from using the Premises for the 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at least once a year listing all Hazardous Materials which Tenant is required to disclose to any Governmental Authority (</w:t>
      </w:r>
      <w:r>
        <w:rPr>
          <w:rFonts w:ascii="Arial" w:cs="Arial" w:eastAsia="Arial" w:hAnsi="Arial"/>
          <w:sz w:val="16"/>
          <w:szCs w:val="16"/>
          <w:u w:val="single" w:color="auto"/>
          <w:color w:val="auto"/>
        </w:rPr>
        <w:t>e.g.</w:t>
      </w:r>
      <w:r>
        <w:rPr>
          <w:rFonts w:ascii="Arial" w:cs="Arial" w:eastAsia="Arial" w:hAnsi="Arial"/>
          <w:sz w:val="16"/>
          <w:szCs w:val="16"/>
          <w:color w:val="auto"/>
        </w:rPr>
        <w:t>, the fire department) in connection with its use or occupancy of the Premises.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62" w:lineRule="exact"/>
        <w:rPr>
          <w:rFonts w:ascii="Arial" w:cs="Arial" w:eastAsia="Arial" w:hAnsi="Arial"/>
          <w:sz w:val="16"/>
          <w:szCs w:val="16"/>
          <w:color w:val="auto"/>
        </w:rPr>
      </w:pPr>
    </w:p>
    <w:p>
      <w:pPr>
        <w:ind w:right="80" w:firstLine="444"/>
        <w:spacing w:after="0" w:line="292" w:lineRule="auto"/>
        <w:tabs>
          <w:tab w:leader="none" w:pos="685" w:val="left"/>
        </w:tabs>
        <w:numPr>
          <w:ilvl w:val="0"/>
          <w:numId w:val="605"/>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any of its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53" w:lineRule="exact"/>
        <w:rPr>
          <w:rFonts w:ascii="Arial" w:cs="Arial" w:eastAsia="Arial" w:hAnsi="Arial"/>
          <w:sz w:val="16"/>
          <w:szCs w:val="16"/>
          <w:color w:val="auto"/>
        </w:rPr>
      </w:pPr>
    </w:p>
    <w:p>
      <w:pPr>
        <w:ind w:right="40" w:firstLine="444"/>
        <w:spacing w:after="0" w:line="266" w:lineRule="auto"/>
        <w:tabs>
          <w:tab w:leader="none" w:pos="695"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Landlord shall have the right, upon reasonable advance notice to Tenant, to conduct annual tests of the Premises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contamination of the Premises or the Project has occurred as a result of Tenant’s use. Tenant shall be required to pay the cost of such annual test of the Premises if there is violation of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or if contamination for</w:t>
      </w:r>
    </w:p>
    <w:p>
      <w:pPr>
        <w:sectPr>
          <w:pgSz w:w="11900" w:h="16838" w:orient="portrait"/>
          <w:cols w:equalWidth="0" w:num="1">
            <w:col w:w="11020"/>
          </w:cols>
          <w:pgMar w:left="440" w:top="270" w:right="439" w:bottom="1440" w:gutter="0" w:footer="0" w:header="0"/>
        </w:sectPr>
      </w:pPr>
    </w:p>
    <w:bookmarkStart w:id="712" w:name="page713"/>
    <w:bookmarkEnd w:id="712"/>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54</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for 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identified by such testing in accordance with all Environmental Requirements. Landlord’s receipt of or satisfaction with any environmental assessment in no way waives any rights which Landlord may have against Tenant. Tenant shall have the right to have a Tenant representative present while Landlord conducts tests in the Premises pursuant to this </w:t>
      </w:r>
      <w:r>
        <w:rPr>
          <w:rFonts w:ascii="Arial" w:cs="Arial" w:eastAsia="Arial" w:hAnsi="Arial"/>
          <w:sz w:val="17"/>
          <w:szCs w:val="17"/>
          <w:u w:val="single" w:color="auto"/>
          <w:color w:val="auto"/>
        </w:rPr>
        <w:t>Section 30(d)</w:t>
      </w:r>
      <w:r>
        <w:rPr>
          <w:rFonts w:ascii="Arial" w:cs="Arial" w:eastAsia="Arial" w:hAnsi="Arial"/>
          <w:sz w:val="17"/>
          <w:szCs w:val="17"/>
          <w:color w:val="auto"/>
        </w:rPr>
        <w:t>.</w:t>
      </w:r>
    </w:p>
    <w:p>
      <w:pPr>
        <w:spacing w:after="0" w:line="76" w:lineRule="exact"/>
        <w:rPr>
          <w:sz w:val="20"/>
          <w:szCs w:val="20"/>
          <w:color w:val="auto"/>
        </w:rPr>
      </w:pPr>
    </w:p>
    <w:p>
      <w:pPr>
        <w:ind w:firstLine="444"/>
        <w:spacing w:after="0" w:line="274" w:lineRule="auto"/>
        <w:tabs>
          <w:tab w:leader="none" w:pos="685" w:val="left"/>
        </w:tabs>
        <w:numPr>
          <w:ilvl w:val="0"/>
          <w:numId w:val="606"/>
        </w:numPr>
        <w:rPr>
          <w:rFonts w:ascii="Arial" w:cs="Arial" w:eastAsia="Arial" w:hAnsi="Arial"/>
          <w:sz w:val="17"/>
          <w:szCs w:val="17"/>
          <w:color w:val="auto"/>
        </w:rPr>
      </w:pPr>
      <w:r>
        <w:rPr>
          <w:rFonts w:ascii="Arial" w:cs="Arial" w:eastAsia="Arial" w:hAnsi="Arial"/>
          <w:sz w:val="17"/>
          <w:szCs w:val="17"/>
          <w:b w:val="1"/>
          <w:bCs w:val="1"/>
          <w:color w:val="auto"/>
        </w:rPr>
        <w:t>Control Areas</w:t>
      </w:r>
      <w:r>
        <w:rPr>
          <w:rFonts w:ascii="Arial" w:cs="Arial" w:eastAsia="Arial" w:hAnsi="Arial"/>
          <w:sz w:val="17"/>
          <w:szCs w:val="17"/>
          <w:color w:val="auto"/>
        </w:rPr>
        <w:t>. Tenant shall be allowed to utilize up to its pro rata share of the Hazardous Materials inventory within any control area or zone</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within the Premises), as 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pacing w:after="0" w:line="65" w:lineRule="exact"/>
        <w:rPr>
          <w:rFonts w:ascii="Arial" w:cs="Arial" w:eastAsia="Arial" w:hAnsi="Arial"/>
          <w:sz w:val="17"/>
          <w:szCs w:val="17"/>
          <w:color w:val="auto"/>
        </w:rPr>
      </w:pPr>
    </w:p>
    <w:p>
      <w:pPr>
        <w:ind w:right="20" w:firstLine="444"/>
        <w:spacing w:after="0" w:line="256" w:lineRule="auto"/>
        <w:tabs>
          <w:tab w:leader="none" w:pos="665" w:val="left"/>
        </w:tabs>
        <w:numPr>
          <w:ilvl w:val="0"/>
          <w:numId w:val="606"/>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If underground or other storage tanks storing Hazardous Materials located on the Premises or the Project are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are hereafter placed on the Premises or the Project by Tenant, 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79" w:lineRule="exact"/>
        <w:rPr>
          <w:rFonts w:ascii="Arial" w:cs="Arial" w:eastAsia="Arial" w:hAnsi="Arial"/>
          <w:sz w:val="18"/>
          <w:szCs w:val="18"/>
          <w:color w:val="auto"/>
        </w:rPr>
      </w:pPr>
    </w:p>
    <w:p>
      <w:pPr>
        <w:ind w:right="60" w:firstLine="444"/>
        <w:spacing w:after="0" w:line="277" w:lineRule="auto"/>
        <w:tabs>
          <w:tab w:leader="none" w:pos="695" w:val="left"/>
        </w:tabs>
        <w:numPr>
          <w:ilvl w:val="0"/>
          <w:numId w:val="606"/>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 of the Lease. During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ectPr>
          <w:pgSz w:w="11900" w:h="16838" w:orient="portrait"/>
          <w:cols w:equalWidth="0" w:num="1">
            <w:col w:w="11020"/>
          </w:cols>
          <w:pgMar w:left="440" w:top="270" w:right="439" w:bottom="1440" w:gutter="0" w:footer="0" w:header="0"/>
        </w:sectPr>
      </w:pPr>
    </w:p>
    <w:bookmarkStart w:id="713" w:name="page714"/>
    <w:bookmarkEnd w:id="71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55</w:t>
      </w:r>
    </w:p>
    <w:p>
      <w:pPr>
        <w:spacing w:after="0" w:line="158" w:lineRule="exact"/>
        <w:rPr>
          <w:sz w:val="20"/>
          <w:szCs w:val="20"/>
          <w:color w:val="auto"/>
        </w:rPr>
      </w:pPr>
    </w:p>
    <w:p>
      <w:pPr>
        <w:ind w:firstLine="444"/>
        <w:spacing w:after="0" w:line="289" w:lineRule="auto"/>
        <w:tabs>
          <w:tab w:leader="none" w:pos="695" w:val="left"/>
        </w:tabs>
        <w:numPr>
          <w:ilvl w:val="0"/>
          <w:numId w:val="607"/>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53" w:lineRule="exact"/>
        <w:rPr>
          <w:rFonts w:ascii="Arial" w:cs="Arial" w:eastAsia="Arial" w:hAnsi="Arial"/>
          <w:sz w:val="16"/>
          <w:szCs w:val="16"/>
          <w:color w:val="auto"/>
        </w:rPr>
      </w:pPr>
    </w:p>
    <w:p>
      <w:pPr>
        <w:jc w:val="both"/>
        <w:ind w:right="20" w:firstLine="444"/>
        <w:spacing w:after="0" w:line="287" w:lineRule="auto"/>
        <w:tabs>
          <w:tab w:leader="none" w:pos="655" w:val="left"/>
        </w:tabs>
        <w:numPr>
          <w:ilvl w:val="0"/>
          <w:numId w:val="607"/>
        </w:numPr>
        <w:rPr>
          <w:rFonts w:ascii="Arial" w:cs="Arial" w:eastAsia="Arial" w:hAnsi="Arial"/>
          <w:sz w:val="16"/>
          <w:szCs w:val="16"/>
          <w:color w:val="auto"/>
        </w:rPr>
      </w:pPr>
      <w:r>
        <w:rPr>
          <w:rFonts w:ascii="Arial" w:cs="Arial" w:eastAsia="Arial" w:hAnsi="Arial"/>
          <w:sz w:val="16"/>
          <w:szCs w:val="16"/>
          <w:b w:val="1"/>
          <w:bCs w:val="1"/>
          <w:color w:val="auto"/>
        </w:rPr>
        <w:t>Disclosure</w:t>
      </w:r>
      <w:r>
        <w:rPr>
          <w:rFonts w:ascii="Arial" w:cs="Arial" w:eastAsia="Arial" w:hAnsi="Arial"/>
          <w:sz w:val="16"/>
          <w:szCs w:val="16"/>
          <w:color w:val="auto"/>
        </w:rPr>
        <w:t>. Section 25359.7 of the California Health and Safety Code requires owners of nonresidential property who know or have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cause to believe that a release of Hazardous Substances have come to be located on or beneath real property to provide written notice of that condition to a tenant of said real property. Landlord hereby notifies and informs Tenant that a release of Hazardous Substances may have come to be located on or beneath the Property. By Tenant’s execution of this Lease, Tenant (i) acknowledges Tenant’s receipt of the foregoing notice given pursuant to</w:t>
      </w:r>
    </w:p>
    <w:p>
      <w:pPr>
        <w:spacing w:after="0" w:line="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Section 25359.7 of the California Health and Safety Code and (ii) as of the date of this Lease and after receiving advice of Tenant’s legal counsel, waives any and all rights or remedies whatsoever, express, implied, statutory or by operation of law, Tenant may have against Landlord under Section 25359.7 of the California Health and Safety Code, including remedies for actual damages under Section 25359.7 of the California Health and Safety Code, arising out of or resulting from the Hazardous Materials disclosed to Tenant by this Lease (i.e., the Hazardous Materials that are the subject of the Contemplated Covenant).</w:t>
      </w:r>
    </w:p>
    <w:p>
      <w:pPr>
        <w:spacing w:after="0" w:line="79" w:lineRule="exact"/>
        <w:rPr>
          <w:sz w:val="20"/>
          <w:szCs w:val="20"/>
          <w:color w:val="auto"/>
        </w:rPr>
      </w:pPr>
    </w:p>
    <w:p>
      <w:pPr>
        <w:ind w:right="40" w:firstLine="444"/>
        <w:spacing w:after="0" w:line="290" w:lineRule="auto"/>
        <w:tabs>
          <w:tab w:leader="none" w:pos="711" w:val="left"/>
        </w:tabs>
        <w:numPr>
          <w:ilvl w:val="0"/>
          <w:numId w:val="608"/>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so long as Landlord is diligently pursuing the cure to completion).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ectPr>
          <w:pgSz w:w="11900" w:h="16838" w:orient="portrait"/>
          <w:cols w:equalWidth="0" w:num="1">
            <w:col w:w="11020"/>
          </w:cols>
          <w:pgMar w:left="440" w:top="270" w:right="439" w:bottom="1440" w:gutter="0" w:footer="0" w:header="0"/>
        </w:sectPr>
      </w:pPr>
    </w:p>
    <w:bookmarkStart w:id="714" w:name="page715"/>
    <w:bookmarkEnd w:id="71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56</w:t>
      </w:r>
    </w:p>
    <w:p>
      <w:pPr>
        <w:spacing w:after="0" w:line="162"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Notwithstanding the foregoing, if any claimed Landlord default hereunder will immediately, materially and adversely affect Tenant’s ability to conduct its business in the Premises (a “</w:t>
      </w:r>
      <w:r>
        <w:rPr>
          <w:rFonts w:ascii="Arial" w:cs="Arial" w:eastAsia="Arial" w:hAnsi="Arial"/>
          <w:sz w:val="17"/>
          <w:szCs w:val="17"/>
          <w:b w:val="1"/>
          <w:bCs w:val="1"/>
          <w:color w:val="auto"/>
        </w:rPr>
        <w:t>Material Landlord Default</w:t>
      </w:r>
      <w:r>
        <w:rPr>
          <w:rFonts w:ascii="Arial" w:cs="Arial" w:eastAsia="Arial" w:hAnsi="Arial"/>
          <w:sz w:val="17"/>
          <w:szCs w:val="17"/>
          <w:color w:val="auto"/>
        </w:rPr>
        <w:t>”), Tenant shall, as soon as reasonably possible, but in any event within 5 business days of obtaining knowledge of such claimed Material Landlord Default, give Landlord written notice of such claim which notice shall specifically state that a Material Landlord Default exists and telephonic notice to Tenant’s principal contact with Landlord. Landlord shall then have 2 business days to commence cure of such claimed Material Landlord Default and shall diligently prosecute such cure to completion. If Landlord fails to commence cure of any claimed Material Landlord Default as provided above, Tenant may commence and prosecute such cure to completion provided that it does not impact or adversely affect any other tenants at the Project, the Building structure or Common Areas, and shall be entitled to recover the costs of such cure (but not any consequential or other damages) from Landlord by way of reimbursement from Landlord with no right to offset against Rent, to the extent of Landlord’s obligation to cure such claimed Material Landlord Default hereunder, subject to the limitations set forth in the immediately following sentence of this paragraph and the other provisions of this Lease. If such claimed Material Landlord Default is not a default by Landlord hereunder, or if Tenant failed to give Landlord the notice required hereunder prior to commencing Tenant’s cure of any alleged Material Landlord Default, Landlord shall be entitled to recover from Tenant, as Additional Rent, any costs incurred by Landlord in connection with such cure in excess of the costs, if any, that Landlord would otherwise have been liable to pay hereunder.</w:t>
      </w:r>
    </w:p>
    <w:p>
      <w:pPr>
        <w:spacing w:after="0" w:line="188"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All obligations of Landlord under this Lease will be binding upon Landlord only during the period of its ownership of the Premises and not thereafter. The term “</w:t>
      </w:r>
      <w:r>
        <w:rPr>
          <w:rFonts w:ascii="Arial" w:cs="Arial" w:eastAsia="Arial" w:hAnsi="Arial"/>
          <w:sz w:val="16"/>
          <w:szCs w:val="16"/>
          <w:b w:val="1"/>
          <w:bCs w:val="1"/>
          <w:color w:val="auto"/>
        </w:rPr>
        <w:t>Landlord</w:t>
      </w:r>
      <w:r>
        <w:rPr>
          <w:rFonts w:ascii="Arial" w:cs="Arial" w:eastAsia="Arial" w:hAnsi="Arial"/>
          <w:sz w:val="16"/>
          <w:szCs w:val="16"/>
          <w:color w:val="auto"/>
        </w:rPr>
        <w:t>” in this Lease shall mean only the owner for the time being of the Premises. Upon the transfer by such owner of its interest in the Premises and assumption of this Lease by the transferee, such owner shall thereupon be released and discharged from all obligations of Landlord thereafter accruing, but such obligations shall be binding during the Term upon each new owner for the duration of such owner’s ownership.</w:t>
      </w:r>
    </w:p>
    <w:p>
      <w:pPr>
        <w:spacing w:after="0" w:line="42" w:lineRule="exact"/>
        <w:rPr>
          <w:sz w:val="20"/>
          <w:szCs w:val="20"/>
          <w:color w:val="auto"/>
        </w:rPr>
      </w:pPr>
    </w:p>
    <w:p>
      <w:pPr>
        <w:ind w:right="40" w:firstLine="444"/>
        <w:spacing w:after="0" w:line="288" w:lineRule="auto"/>
        <w:tabs>
          <w:tab w:leader="none" w:pos="711" w:val="left"/>
        </w:tabs>
        <w:numPr>
          <w:ilvl w:val="0"/>
          <w:numId w:val="609"/>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(which inspections shall be performed during regular business hours unless otherwise agreed to by Tenant)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shall use reasonable efforts to minimize interference with Tenant’s operations in the Premises in connection with Landlord’s activities conducted pursuant to this paragraph.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or Tenant’s parking rights under this Lease. At Landlord’s request, Tenant shall execute such instruments as may be necessary for such easements, dedications or restrictions.</w:t>
      </w:r>
    </w:p>
    <w:p>
      <w:pPr>
        <w:sectPr>
          <w:pgSz w:w="11900" w:h="16838" w:orient="portrait"/>
          <w:cols w:equalWidth="0" w:num="1">
            <w:col w:w="11020"/>
          </w:cols>
          <w:pgMar w:left="440" w:top="270" w:right="439" w:bottom="1440" w:gutter="0" w:footer="0" w:header="0"/>
        </w:sectPr>
      </w:pPr>
    </w:p>
    <w:bookmarkStart w:id="715" w:name="page716"/>
    <w:bookmarkEnd w:id="71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57</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Tenant shall at all times, except in the case of emergencies, have the right to escort Landlord or its agents, representatives, contractors or guests while the same are in the Premises, provided such escort does not materially and adversely affect Landlord’s access rights hereunder. Landlord shall use reasonable efforts to comply with Tenant’s reasonable security, confidentiality and safety requirements; provided, however, that Tenant has notified Landlord of such security, confidentiality and safety requirements prior to Landlord’s entry into the Premises. Notwithstanding anything to the contrary contained herein, Tenant acknowledges and agrees that (i) Landlord has advised Tenant that Landlord is in the process of preparing and negotiating a covenant to restrict the use of the Project (and environmental restriction)(the “</w:t>
      </w:r>
      <w:r>
        <w:rPr>
          <w:rFonts w:ascii="Arial" w:cs="Arial" w:eastAsia="Arial" w:hAnsi="Arial"/>
          <w:sz w:val="17"/>
          <w:szCs w:val="17"/>
          <w:b w:val="1"/>
          <w:bCs w:val="1"/>
          <w:color w:val="auto"/>
        </w:rPr>
        <w:t>Contemplated Covenant</w:t>
      </w:r>
      <w:r>
        <w:rPr>
          <w:rFonts w:ascii="Arial" w:cs="Arial" w:eastAsia="Arial" w:hAnsi="Arial"/>
          <w:sz w:val="17"/>
          <w:szCs w:val="17"/>
          <w:color w:val="auto"/>
        </w:rPr>
        <w:t>”) and Landlord has provided Tenant with a copy of a draft of the same (which remains subject to additions and changes before the same is finalized) and (ii) Landlord has the right to record the final version of such covenant and the provisions of the same shall be binding on the Project and all occupants and tenants. Upon Landlord’s execution of the covenant, Landlord shall comply with all of its obligations under the covenant and shall not pass through to Tenant (as part of Operating Expenses or otherwise) any costs incurred by Landlord in connection with such compliance.</w:t>
      </w:r>
    </w:p>
    <w:p>
      <w:pPr>
        <w:spacing w:after="0" w:line="66" w:lineRule="exact"/>
        <w:rPr>
          <w:sz w:val="20"/>
          <w:szCs w:val="20"/>
          <w:color w:val="auto"/>
        </w:rPr>
      </w:pPr>
    </w:p>
    <w:p>
      <w:pPr>
        <w:ind w:firstLine="444"/>
        <w:spacing w:after="0" w:line="255" w:lineRule="auto"/>
        <w:tabs>
          <w:tab w:leader="none" w:pos="711"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 instances</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81" w:lineRule="exact"/>
        <w:rPr>
          <w:rFonts w:ascii="Arial" w:cs="Arial" w:eastAsia="Arial" w:hAnsi="Arial"/>
          <w:sz w:val="18"/>
          <w:szCs w:val="18"/>
          <w:color w:val="auto"/>
        </w:rPr>
      </w:pPr>
    </w:p>
    <w:p>
      <w:pPr>
        <w:ind w:right="20" w:firstLine="444"/>
        <w:spacing w:after="0" w:line="272" w:lineRule="auto"/>
        <w:tabs>
          <w:tab w:leader="none" w:pos="711" w:val="left"/>
        </w:tabs>
        <w:numPr>
          <w:ilvl w:val="0"/>
          <w:numId w:val="610"/>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Except for the payment of Rent, neither Tenant nor Landlord shall be responsible or liable for delays in the performance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when caused by, related to, or arising out of acts of God, sinkholes or subsidence, strikes, lockouts, or other labor disputes, embargoes, quarantines, extreme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(including, without limitation, any time periods beyond customary time periods allocated by Landlord to obtain any permits required from Governmental Authorities in connection with Landlord’s Work), enemy or hostile governmental action, terrorism, insurrection, riots, civil disturbance or commotion, fire or other casualty, and other similar causes or events beyond the reasonable control of such party (“</w:t>
      </w: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720" w:hanging="276"/>
        <w:spacing w:after="0"/>
        <w:tabs>
          <w:tab w:leader="none" w:pos="720" w:val="left"/>
        </w:tabs>
        <w:numPr>
          <w:ilvl w:val="0"/>
          <w:numId w:val="610"/>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 person (collectively,</w:t>
      </w:r>
    </w:p>
    <w:p>
      <w:pPr>
        <w:spacing w:after="0" w:line="3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xml:space="preserve">”) in connection with this transaction and that no Broker brought about this transaction, other than Jones Lang LaSalle and Cassidy Turley. Landlord and Tenant each hereby agrees to indemnify and hold the other harmless from and against any claims by any Broker, other than the broker, if any named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claiming a commission or other form of compensation by virtue of having dealt with Tenant or</w:t>
      </w:r>
    </w:p>
    <w:p>
      <w:pPr>
        <w:sectPr>
          <w:pgSz w:w="11900" w:h="16838" w:orient="portrait"/>
          <w:cols w:equalWidth="0" w:num="1">
            <w:col w:w="11020"/>
          </w:cols>
          <w:pgMar w:left="440" w:top="271" w:right="439" w:bottom="1440" w:gutter="0" w:footer="0" w:header="0"/>
        </w:sectPr>
      </w:pPr>
    </w:p>
    <w:bookmarkStart w:id="716" w:name="page717"/>
    <w:bookmarkEnd w:id="71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58</w:t>
      </w:r>
    </w:p>
    <w:p>
      <w:pPr>
        <w:spacing w:after="0" w:line="1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Landlord, as applicable, with regard to this leasing transaction. Landlord shall be responsible for all fees of Jones Lang LaSalle and Cassidy Turley arising out of the execution of this Lease in accordance with the terms of separate written agreement between Landlord, on the one hand, and Jones Lang LaSalle and Cassidy Turley, respectively, on the other hand.</w:t>
      </w:r>
    </w:p>
    <w:p>
      <w:pPr>
        <w:spacing w:after="0" w:line="69" w:lineRule="exact"/>
        <w:rPr>
          <w:sz w:val="20"/>
          <w:szCs w:val="20"/>
          <w:color w:val="auto"/>
        </w:rPr>
      </w:pPr>
    </w:p>
    <w:p>
      <w:pPr>
        <w:ind w:right="180" w:firstLine="444"/>
        <w:spacing w:after="0" w:line="268" w:lineRule="auto"/>
        <w:tabs>
          <w:tab w:leader="none" w:pos="711" w:val="left"/>
        </w:tabs>
        <w:numPr>
          <w:ilvl w:val="1"/>
          <w:numId w:val="611"/>
        </w:numPr>
        <w:rPr>
          <w:rFonts w:ascii="Arial" w:cs="Arial" w:eastAsia="Arial" w:hAnsi="Arial"/>
          <w:sz w:val="17"/>
          <w:szCs w:val="17"/>
          <w:color w:val="auto"/>
        </w:rPr>
      </w:pPr>
      <w:r>
        <w:rPr>
          <w:rFonts w:ascii="Arial" w:cs="Arial" w:eastAsia="Arial" w:hAnsi="Arial"/>
          <w:sz w:val="17"/>
          <w:szCs w:val="17"/>
          <w:b w:val="1"/>
          <w:bCs w:val="1"/>
          <w:color w:val="auto"/>
        </w:rPr>
        <w:t>Limitation on Landlord’s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75" w:lineRule="exact"/>
        <w:rPr>
          <w:rFonts w:ascii="Arial" w:cs="Arial" w:eastAsia="Arial" w:hAnsi="Arial"/>
          <w:sz w:val="17"/>
          <w:szCs w:val="17"/>
          <w:color w:val="auto"/>
        </w:rPr>
      </w:pPr>
    </w:p>
    <w:p>
      <w:pPr>
        <w:ind w:right="80" w:firstLine="444"/>
        <w:spacing w:after="0" w:line="281" w:lineRule="auto"/>
        <w:tabs>
          <w:tab w:leader="none" w:pos="711" w:val="left"/>
        </w:tabs>
        <w:numPr>
          <w:ilvl w:val="1"/>
          <w:numId w:val="611"/>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 in that event, it</w:t>
      </w:r>
      <w:r>
        <w:rPr>
          <w:rFonts w:ascii="Arial" w:cs="Arial" w:eastAsia="Arial" w:hAnsi="Arial"/>
          <w:sz w:val="17"/>
          <w:szCs w:val="17"/>
          <w:b w:val="1"/>
          <w:bCs w:val="1"/>
          <w:color w:val="auto"/>
        </w:rPr>
        <w:t xml:space="preserve"> </w:t>
      </w:r>
      <w:r>
        <w:rPr>
          <w:rFonts w:ascii="Arial" w:cs="Arial" w:eastAsia="Arial" w:hAnsi="Arial"/>
          <w:sz w:val="17"/>
          <w:szCs w:val="17"/>
          <w:color w:val="auto"/>
        </w:rPr>
        <w:t>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56" w:lineRule="exact"/>
        <w:rPr>
          <w:rFonts w:ascii="Arial" w:cs="Arial" w:eastAsia="Arial" w:hAnsi="Arial"/>
          <w:sz w:val="17"/>
          <w:szCs w:val="17"/>
          <w:color w:val="auto"/>
        </w:rPr>
      </w:pPr>
    </w:p>
    <w:p>
      <w:pPr>
        <w:ind w:right="20" w:firstLine="444"/>
        <w:spacing w:after="0" w:line="287" w:lineRule="auto"/>
        <w:tabs>
          <w:tab w:leader="none" w:pos="711" w:val="left"/>
        </w:tabs>
        <w:numPr>
          <w:ilvl w:val="1"/>
          <w:numId w:val="611"/>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discretion: (i) attach any awnings, exterior lights, decorations, balloons, flags, pennants, banners, painting or other projection to any outside wall of the Project, (ii) use any curtains, blinds, shades or screens visible from the outside of the Premises other than Landlord’s standard window coverings, (iii) coat or otherwise sunscreen the interior or exterior of any windows, (iv) place any bottles, parcels, or other articles on the window sills,</w:t>
      </w:r>
    </w:p>
    <w:p>
      <w:pPr>
        <w:spacing w:after="0" w:line="2" w:lineRule="exact"/>
        <w:rPr>
          <w:rFonts w:ascii="Arial" w:cs="Arial" w:eastAsia="Arial" w:hAnsi="Arial"/>
          <w:sz w:val="16"/>
          <w:szCs w:val="16"/>
          <w:color w:val="auto"/>
        </w:rPr>
      </w:pPr>
    </w:p>
    <w:p>
      <w:pPr>
        <w:ind w:right="80" w:firstLine="4"/>
        <w:spacing w:after="0" w:line="253" w:lineRule="auto"/>
        <w:tabs>
          <w:tab w:leader="none" w:pos="25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reasonably acceptable to Landlord. Nothing may be placed on the exterior of corridor walls or corridor doors other than Landlord’s standard lettering.</w:t>
      </w:r>
    </w:p>
    <w:p>
      <w:pPr>
        <w:sectPr>
          <w:pgSz w:w="11900" w:h="16838" w:orient="portrait"/>
          <w:cols w:equalWidth="0" w:num="1">
            <w:col w:w="11020"/>
          </w:cols>
          <w:pgMar w:left="440" w:top="270" w:right="439" w:bottom="1440" w:gutter="0" w:footer="0" w:header="0"/>
        </w:sectPr>
      </w:pPr>
    </w:p>
    <w:bookmarkStart w:id="717" w:name="page718"/>
    <w:bookmarkEnd w:id="71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59</w:t>
      </w:r>
    </w:p>
    <w:p>
      <w:pPr>
        <w:spacing w:after="0" w:line="162"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Tenant shall have the exclusive right to display, at Tenant’s cost and expense, signs bearing Tenant’s name and/or logo at locations on the top of the Building selected by Tenant and reasonably acceptable to Landlord, in Landlord’s reasonable discretion, as more particularly depicted on </w:t>
      </w:r>
      <w:r>
        <w:rPr>
          <w:rFonts w:ascii="Arial" w:cs="Arial" w:eastAsia="Arial" w:hAnsi="Arial"/>
          <w:sz w:val="17"/>
          <w:szCs w:val="17"/>
          <w:b w:val="1"/>
          <w:bCs w:val="1"/>
          <w:color w:val="auto"/>
        </w:rPr>
        <w:t>Exhibit G</w:t>
      </w:r>
      <w:r>
        <w:rPr>
          <w:rFonts w:ascii="Arial" w:cs="Arial" w:eastAsia="Arial" w:hAnsi="Arial"/>
          <w:sz w:val="17"/>
          <w:szCs w:val="17"/>
          <w:color w:val="auto"/>
        </w:rPr>
        <w:t>. Tenant’s signage rights with respect to the Project Monument Sign and building top sign may be transferred in connection with any Permitted Assignment. Notwithstanding the foregoing, Tenant acknowledges and agrees that Tenant’s signage on the Building including, without limitation, the size, color and type, shall be subject to Landlord’s prior written approval, which shall not be unreasonably withheld, shall be consistent with Landlord’s signage program at the Project and shall be subject to any and all other required approvals and applicable Legal Requirements. Tenant shall be responsible, at Tenant’s sole cost and expense, for the maintenance of Tenant’s signs, for the removal of Tenant’s signs at the expiration or earlier termination of this Lease and for the repair all damage resulting from such removal.</w:t>
      </w:r>
    </w:p>
    <w:p>
      <w:pPr>
        <w:spacing w:after="0" w:line="17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Tenant shall, at Tenant’s sole cost and expense, have the non-exclusive right to install a sign bearing Tenant’s name on the Monument Sign serving the Project (“</w:t>
      </w:r>
      <w:r>
        <w:rPr>
          <w:rFonts w:ascii="Arial" w:cs="Arial" w:eastAsia="Arial" w:hAnsi="Arial"/>
          <w:sz w:val="17"/>
          <w:szCs w:val="17"/>
          <w:b w:val="1"/>
          <w:bCs w:val="1"/>
          <w:color w:val="auto"/>
        </w:rPr>
        <w:t>Monument Sign</w:t>
      </w:r>
      <w:r>
        <w:rPr>
          <w:rFonts w:ascii="Arial" w:cs="Arial" w:eastAsia="Arial" w:hAnsi="Arial"/>
          <w:sz w:val="17"/>
          <w:szCs w:val="17"/>
          <w:color w:val="auto"/>
        </w:rPr>
        <w:t xml:space="preserve">”) as more particularly depicted on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Tenant acknowledges and agrees that Tenant’s signage on the Monument Sign including, without limitation, the location, size, color and type shall be subject to Landlord’s prior written approval, which shall not be unreasonably withheld, shall be subject to and consistent with Landlord’s signage program at the Project and shall be subject to any and all other required approvals and applicable Legal Requirements. Tenant shall be responsible, at Tenant’s sole cost and expense, for the maintenance of Tenant’s signage on the Monument Sign, for the removal of Tenant’s signage from the Monument Sign at the expiration or earlier termination of this Lease and for the repair of all damage resulting from such removal. Tenant may alter Tenant’s signage on the Monument Sign or building top sign from time to time, subject to the reasonable consent of Landlord and otherwise in compliance with the terms and conditions of this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Tenant may use the TI Allowance to fund any signage to which it is entitled pursuant to this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the Lease upon the following terms and conditions:</w:t>
      </w:r>
    </w:p>
    <w:p>
      <w:pPr>
        <w:spacing w:after="0" w:line="117" w:lineRule="exact"/>
        <w:rPr>
          <w:sz w:val="20"/>
          <w:szCs w:val="20"/>
          <w:color w:val="auto"/>
        </w:rPr>
      </w:pPr>
    </w:p>
    <w:p>
      <w:pPr>
        <w:ind w:right="20" w:firstLine="444"/>
        <w:spacing w:after="0" w:line="261" w:lineRule="auto"/>
        <w:tabs>
          <w:tab w:leader="none" w:pos="685"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5 years each (each,</w:t>
      </w:r>
      <w:r>
        <w:rPr>
          <w:rFonts w:ascii="Arial" w:cs="Arial" w:eastAsia="Arial" w:hAnsi="Arial"/>
          <w:sz w:val="18"/>
          <w:szCs w:val="18"/>
          <w:b w:val="1"/>
          <w:bCs w:val="1"/>
          <w:color w:val="auto"/>
        </w:rPr>
        <w:t xml:space="preserve"> </w:t>
      </w:r>
      <w:r>
        <w:rPr>
          <w:rFonts w:ascii="Arial" w:cs="Arial" w:eastAsia="Arial" w:hAnsi="Arial"/>
          <w:sz w:val="18"/>
          <w:szCs w:val="18"/>
          <w:color w:val="auto"/>
        </w:rPr>
        <w:t>an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Work Letter) by giving Landlord written notice of its election to exercise each Extension Right at least 9 months prior, and no earlier than 12 months prior, to the expiration of the Base Term of the Lease or the expiration of any prior Extension Term.</w:t>
      </w:r>
    </w:p>
    <w:p>
      <w:pPr>
        <w:spacing w:after="0" w:line="184"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Upon the commencement of any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rate that comparable landlords of comparable buildings have accepted in current transactions from non-equity (i.e., not being offered equity in the buildings) and nonaffiliated tenants of similar financial strength for space of</w:t>
      </w:r>
    </w:p>
    <w:p>
      <w:pPr>
        <w:sectPr>
          <w:pgSz w:w="11900" w:h="16838" w:orient="portrait"/>
          <w:cols w:equalWidth="0" w:num="1">
            <w:col w:w="11020"/>
          </w:cols>
          <w:pgMar w:left="440" w:top="269" w:right="439" w:bottom="1440" w:gutter="0" w:footer="0" w:header="0"/>
        </w:sectPr>
      </w:pPr>
    </w:p>
    <w:bookmarkStart w:id="718" w:name="page719"/>
    <w:bookmarkEnd w:id="71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60</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comparable size, quality (including all Tenant Improvements, Alterations and other improvements) and floor height in Class A laboratory/office buildings in the Torrey Pines area for a comparable term, with the determination of the Market Rate to take into account all relevant factors, including tenant inducements, percentage of laboratory and office space, views, project amenities (and, for the avoidance of any doubt, Tenant shall continue to be required to pay a separate Amenities Fee in an amount to be determined when the Market Rate is determined; provided, however, that in no event shall such Amenities Fee be less than the Amenities Fee being paid by Tenant immediately prior to the applicable Extension Term), parking and parking costs, leasing commissions, allowances or concessions, if any. In lieu of Tenant being required to pay a separate parking charge for parking during any Extension Term, the market rate being charged in the Torrey Pines area at comparable projects to the Project for parking spaces comparable to the parking spaces being provided to Tenant during the applicable Extension Term shall be determined as part of the Market Rate and added to the Base Rent which Tenant is required to pay during the applicable Extension Term.</w:t>
      </w:r>
    </w:p>
    <w:p>
      <w:pPr>
        <w:spacing w:after="0" w:line="18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If, on or before the date which is 180days prior to the expiration of the Base Term of this Lease or, if applicable, the expiration of the first Extension Term, Tenant has not agreed with Landlord’s determination of the Market Rate and the rent escalations during the applicable Extension Term after negotiating in good faith, Tenant shall be deemed to have elected arbitration as described in </w:t>
      </w:r>
      <w:r>
        <w:rPr>
          <w:rFonts w:ascii="Arial" w:cs="Arial" w:eastAsia="Arial" w:hAnsi="Arial"/>
          <w:sz w:val="17"/>
          <w:szCs w:val="17"/>
          <w:u w:val="single" w:color="auto"/>
          <w:color w:val="auto"/>
        </w:rPr>
        <w:t>Section 49(b)</w:t>
      </w:r>
      <w:r>
        <w:rPr>
          <w:rFonts w:ascii="Arial" w:cs="Arial" w:eastAsia="Arial" w:hAnsi="Arial"/>
          <w:sz w:val="17"/>
          <w:szCs w:val="17"/>
          <w:color w:val="auto"/>
        </w:rPr>
        <w:t xml:space="preserve">. Tenant acknowledges and agrees that, if Tenant has elected to exercise the Extension Right by delivering notice to Landlord as required in this </w:t>
      </w:r>
      <w:r>
        <w:rPr>
          <w:rFonts w:ascii="Arial" w:cs="Arial" w:eastAsia="Arial" w:hAnsi="Arial"/>
          <w:sz w:val="17"/>
          <w:szCs w:val="17"/>
          <w:u w:val="single" w:color="auto"/>
          <w:color w:val="auto"/>
        </w:rPr>
        <w:t>Section 39(a)</w:t>
      </w:r>
      <w:r>
        <w:rPr>
          <w:rFonts w:ascii="Arial" w:cs="Arial" w:eastAsia="Arial" w:hAnsi="Arial"/>
          <w:sz w:val="17"/>
          <w:szCs w:val="17"/>
          <w:color w:val="auto"/>
        </w:rPr>
        <w:t>, Tenant shall have no right thereafter to rescind or elect not to extend the term of the Lease for the Extension Term.</w:t>
      </w:r>
    </w:p>
    <w:p>
      <w:pPr>
        <w:spacing w:after="0" w:line="60" w:lineRule="exact"/>
        <w:rPr>
          <w:sz w:val="20"/>
          <w:szCs w:val="20"/>
          <w:color w:val="auto"/>
        </w:rPr>
      </w:pPr>
    </w:p>
    <w:p>
      <w:pPr>
        <w:ind w:left="700" w:hanging="256"/>
        <w:spacing w:after="0"/>
        <w:tabs>
          <w:tab w:leader="none" w:pos="700" w:val="left"/>
        </w:tabs>
        <w:numPr>
          <w:ilvl w:val="0"/>
          <w:numId w:val="614"/>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100" w:firstLine="428"/>
        <w:spacing w:after="0" w:line="287" w:lineRule="auto"/>
        <w:tabs>
          <w:tab w:leader="none" w:pos="1078" w:val="left"/>
        </w:tabs>
        <w:numPr>
          <w:ilvl w:val="1"/>
          <w:numId w:val="614"/>
        </w:numPr>
        <w:rPr>
          <w:rFonts w:ascii="Arial" w:cs="Arial" w:eastAsia="Arial" w:hAnsi="Arial"/>
          <w:sz w:val="16"/>
          <w:szCs w:val="16"/>
          <w:color w:val="auto"/>
        </w:rPr>
      </w:pPr>
      <w:r>
        <w:rPr>
          <w:rFonts w:ascii="Arial" w:cs="Arial" w:eastAsia="Arial" w:hAnsi="Arial"/>
          <w:sz w:val="16"/>
          <w:szCs w:val="16"/>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If either party fails to timely submit an Extension Proposal, the other party’s submitted proposal shall determine the Base Rent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64" w:lineRule="exact"/>
        <w:rPr>
          <w:rFonts w:ascii="Arial" w:cs="Arial" w:eastAsia="Arial" w:hAnsi="Arial"/>
          <w:sz w:val="16"/>
          <w:szCs w:val="16"/>
          <w:color w:val="auto"/>
        </w:rPr>
      </w:pPr>
    </w:p>
    <w:p>
      <w:pPr>
        <w:ind w:left="440" w:right="80" w:firstLine="428"/>
        <w:spacing w:after="0" w:line="257" w:lineRule="auto"/>
        <w:tabs>
          <w:tab w:leader="none" w:pos="1128"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w:t>
      </w:r>
    </w:p>
    <w:p>
      <w:pPr>
        <w:sectPr>
          <w:pgSz w:w="11900" w:h="16838" w:orient="portrait"/>
          <w:cols w:equalWidth="0" w:num="1">
            <w:col w:w="11020"/>
          </w:cols>
          <w:pgMar w:left="440" w:top="271" w:right="439" w:bottom="1440" w:gutter="0" w:footer="0" w:header="0"/>
        </w:sectPr>
      </w:pPr>
    </w:p>
    <w:bookmarkStart w:id="719" w:name="page720"/>
    <w:bookmarkEnd w:id="71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61</w:t>
      </w:r>
    </w:p>
    <w:p>
      <w:pPr>
        <w:spacing w:after="0" w:line="162"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75" w:lineRule="exact"/>
        <w:rPr>
          <w:sz w:val="20"/>
          <w:szCs w:val="20"/>
          <w:color w:val="auto"/>
        </w:rPr>
      </w:pPr>
    </w:p>
    <w:p>
      <w:pPr>
        <w:ind w:left="1180" w:hanging="312"/>
        <w:spacing w:after="0"/>
        <w:tabs>
          <w:tab w:leader="none" w:pos="1180" w:val="left"/>
        </w:tabs>
        <w:numPr>
          <w:ilvl w:val="1"/>
          <w:numId w:val="615"/>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Arbitrator</w:t>
      </w:r>
      <w:r>
        <w:rPr>
          <w:rFonts w:ascii="Arial" w:cs="Arial" w:eastAsia="Arial" w:hAnsi="Arial"/>
          <w:sz w:val="17"/>
          <w:szCs w:val="17"/>
          <w:color w:val="auto"/>
        </w:rPr>
        <w:t>” shall be any person appointed by or on behalf of either party or appointed pursuant to the provisions hereof and:</w:t>
      </w:r>
    </w:p>
    <w:p>
      <w:pPr>
        <w:spacing w:after="0" w:line="38" w:lineRule="exact"/>
        <w:rPr>
          <w:rFonts w:ascii="Arial" w:cs="Arial" w:eastAsia="Arial" w:hAnsi="Arial"/>
          <w:sz w:val="17"/>
          <w:szCs w:val="17"/>
          <w:color w:val="auto"/>
        </w:rPr>
      </w:pPr>
    </w:p>
    <w:p>
      <w:pPr>
        <w:ind w:left="440" w:firstLine="4"/>
        <w:spacing w:after="0" w:line="253" w:lineRule="auto"/>
        <w:tabs>
          <w:tab w:leader="none" w:pos="655" w:val="left"/>
        </w:tabs>
        <w:numPr>
          <w:ilvl w:val="0"/>
          <w:numId w:val="616"/>
        </w:numPr>
        <w:rPr>
          <w:rFonts w:ascii="Arial" w:cs="Arial" w:eastAsia="Arial" w:hAnsi="Arial"/>
          <w:sz w:val="18"/>
          <w:szCs w:val="18"/>
          <w:color w:val="auto"/>
        </w:rPr>
      </w:pPr>
      <w:r>
        <w:rPr>
          <w:rFonts w:ascii="Arial" w:cs="Arial" w:eastAsia="Arial" w:hAnsi="Arial"/>
          <w:sz w:val="18"/>
          <w:szCs w:val="18"/>
          <w:color w:val="auto"/>
        </w:rPr>
        <w:t>shall be (A) a member of the American Institute of Real Estate Appraisers with not less than 10 years of experience in the appraisal of improved office and high tech industrial real estate in the Torrey Pines area of San Diego, or (B) a licensed commercial real estate broker with not less than 15 years experience representing landlords and/or tenants in the leasing of high tech or life sciences space in the Torrey Pines area of San Diego, (ii) devoting substantially all of their time to professional appraisal or brokerage work, as applicable, at the time of appointment and (iii) be in all respects impartial and disinterested.</w:t>
      </w:r>
    </w:p>
    <w:p>
      <w:pPr>
        <w:spacing w:after="0" w:line="79" w:lineRule="exact"/>
        <w:rPr>
          <w:sz w:val="20"/>
          <w:szCs w:val="20"/>
          <w:color w:val="auto"/>
        </w:rPr>
      </w:pPr>
    </w:p>
    <w:p>
      <w:pPr>
        <w:ind w:right="260" w:firstLine="444"/>
        <w:spacing w:after="0" w:line="266" w:lineRule="auto"/>
        <w:tabs>
          <w:tab w:leader="none" w:pos="685"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Extension Rights are personal to Tenant and are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the Lease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that they may be assigned in connection with any Permitted Assignment of this Lease.</w:t>
      </w:r>
    </w:p>
    <w:p>
      <w:pPr>
        <w:spacing w:after="0" w:line="68" w:lineRule="exact"/>
        <w:rPr>
          <w:rFonts w:ascii="Arial" w:cs="Arial" w:eastAsia="Arial" w:hAnsi="Arial"/>
          <w:sz w:val="18"/>
          <w:szCs w:val="18"/>
          <w:color w:val="auto"/>
        </w:rPr>
      </w:pPr>
    </w:p>
    <w:p>
      <w:pPr>
        <w:ind w:right="60" w:firstLine="444"/>
        <w:spacing w:after="0" w:line="282" w:lineRule="auto"/>
        <w:tabs>
          <w:tab w:leader="none" w:pos="695"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Extension Rights shall, at Landlord’s option, not be in effect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exercise any of the Extension Rights:</w:t>
      </w:r>
    </w:p>
    <w:p>
      <w:pPr>
        <w:spacing w:after="0" w:line="57" w:lineRule="exact"/>
        <w:rPr>
          <w:rFonts w:ascii="Arial" w:cs="Arial" w:eastAsia="Arial" w:hAnsi="Arial"/>
          <w:sz w:val="18"/>
          <w:szCs w:val="18"/>
          <w:color w:val="auto"/>
        </w:rPr>
      </w:pPr>
    </w:p>
    <w:p>
      <w:pPr>
        <w:ind w:left="1080" w:hanging="212"/>
        <w:spacing w:after="0"/>
        <w:tabs>
          <w:tab w:leader="none" w:pos="10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117" w:lineRule="exact"/>
        <w:rPr>
          <w:rFonts w:ascii="Arial" w:cs="Arial" w:eastAsia="Arial" w:hAnsi="Arial"/>
          <w:sz w:val="18"/>
          <w:szCs w:val="18"/>
          <w:color w:val="auto"/>
        </w:rPr>
      </w:pPr>
    </w:p>
    <w:p>
      <w:pPr>
        <w:ind w:left="440" w:right="360" w:firstLine="428"/>
        <w:spacing w:after="0" w:line="342" w:lineRule="auto"/>
        <w:tabs>
          <w:tab w:leader="none" w:pos="1128" w:val="left"/>
        </w:tabs>
        <w:numPr>
          <w:ilvl w:val="1"/>
          <w:numId w:val="617"/>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pacing w:after="0" w:line="11" w:lineRule="exact"/>
        <w:rPr>
          <w:rFonts w:ascii="Arial" w:cs="Arial" w:eastAsia="Arial" w:hAnsi="Arial"/>
          <w:sz w:val="16"/>
          <w:szCs w:val="16"/>
          <w:color w:val="auto"/>
        </w:rPr>
      </w:pPr>
    </w:p>
    <w:p>
      <w:pPr>
        <w:ind w:right="580" w:firstLine="444"/>
        <w:spacing w:after="0" w:line="282" w:lineRule="auto"/>
        <w:tabs>
          <w:tab w:leader="none" w:pos="685"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Extension Rights may be exercised shall not be extended or enlarged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inability to exercise the Extension Rights.</w:t>
      </w:r>
    </w:p>
    <w:p>
      <w:pPr>
        <w:spacing w:after="0" w:line="53" w:lineRule="exact"/>
        <w:rPr>
          <w:rFonts w:ascii="Arial" w:cs="Arial" w:eastAsia="Arial" w:hAnsi="Arial"/>
          <w:sz w:val="18"/>
          <w:szCs w:val="18"/>
          <w:color w:val="auto"/>
        </w:rPr>
      </w:pPr>
    </w:p>
    <w:p>
      <w:pPr>
        <w:ind w:right="200" w:firstLine="444"/>
        <w:spacing w:after="0" w:line="281" w:lineRule="auto"/>
        <w:tabs>
          <w:tab w:leader="none" w:pos="665" w:val="left"/>
        </w:tabs>
        <w:numPr>
          <w:ilvl w:val="0"/>
          <w:numId w:val="617"/>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Extension Rights shall, at Landlord’s option, terminate and be of no further force or effect even after Tenant’s due and</w:t>
      </w:r>
      <w:r>
        <w:rPr>
          <w:rFonts w:ascii="Arial" w:cs="Arial" w:eastAsia="Arial" w:hAnsi="Arial"/>
          <w:sz w:val="17"/>
          <w:szCs w:val="17"/>
          <w:b w:val="1"/>
          <w:bCs w:val="1"/>
          <w:color w:val="auto"/>
        </w:rPr>
        <w:t xml:space="preserve"> </w:t>
      </w:r>
      <w:r>
        <w:rPr>
          <w:rFonts w:ascii="Arial" w:cs="Arial" w:eastAsia="Arial" w:hAnsi="Arial"/>
          <w:sz w:val="17"/>
          <w:szCs w:val="17"/>
          <w:color w:val="auto"/>
        </w:rPr>
        <w:t>timely exercise of an 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ectPr>
          <w:pgSz w:w="11900" w:h="16838" w:orient="portrait"/>
          <w:cols w:equalWidth="0" w:num="1">
            <w:col w:w="11020"/>
          </w:cols>
          <w:pgMar w:left="440" w:top="271" w:right="439" w:bottom="1440" w:gutter="0" w:footer="0" w:header="0"/>
        </w:sectPr>
      </w:pPr>
    </w:p>
    <w:bookmarkStart w:id="720" w:name="page721"/>
    <w:bookmarkEnd w:id="72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62</w:t>
      </w:r>
    </w:p>
    <w:p>
      <w:pPr>
        <w:spacing w:after="0" w:line="158" w:lineRule="exact"/>
        <w:rPr>
          <w:sz w:val="20"/>
          <w:szCs w:val="20"/>
          <w:color w:val="auto"/>
        </w:rPr>
      </w:pPr>
    </w:p>
    <w:p>
      <w:pPr>
        <w:ind w:left="720" w:hanging="276"/>
        <w:spacing w:after="0"/>
        <w:tabs>
          <w:tab w:leader="none" w:pos="720" w:val="left"/>
        </w:tabs>
        <w:numPr>
          <w:ilvl w:val="0"/>
          <w:numId w:val="618"/>
        </w:numPr>
        <w:rPr>
          <w:rFonts w:ascii="Arial" w:cs="Arial" w:eastAsia="Arial" w:hAnsi="Arial"/>
          <w:sz w:val="18"/>
          <w:szCs w:val="18"/>
          <w:color w:val="auto"/>
        </w:rPr>
      </w:pPr>
      <w:r>
        <w:rPr>
          <w:rFonts w:ascii="Arial" w:cs="Arial" w:eastAsia="Arial" w:hAnsi="Arial"/>
          <w:sz w:val="18"/>
          <w:szCs w:val="18"/>
          <w:b w:val="1"/>
          <w:bCs w:val="1"/>
          <w:u w:val="single" w:color="auto"/>
          <w:color w:val="auto"/>
        </w:rPr>
        <w:t>Community Center Amenities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4" w:lineRule="auto"/>
        <w:tabs>
          <w:tab w:leader="none" w:pos="685" w:val="left"/>
        </w:tabs>
        <w:numPr>
          <w:ilvl w:val="0"/>
          <w:numId w:val="619"/>
        </w:numPr>
        <w:rPr>
          <w:rFonts w:ascii="Arial" w:cs="Arial" w:eastAsia="Arial" w:hAnsi="Arial"/>
          <w:sz w:val="16"/>
          <w:szCs w:val="16"/>
          <w:color w:val="auto"/>
        </w:rPr>
      </w:pPr>
      <w:r>
        <w:rPr>
          <w:rFonts w:ascii="Arial" w:cs="Arial" w:eastAsia="Arial" w:hAnsi="Arial"/>
          <w:sz w:val="16"/>
          <w:szCs w:val="16"/>
          <w:b w:val="1"/>
          <w:bCs w:val="1"/>
          <w:color w:val="auto"/>
        </w:rPr>
        <w:t>Generally</w:t>
      </w:r>
      <w:r>
        <w:rPr>
          <w:rFonts w:ascii="Arial" w:cs="Arial" w:eastAsia="Arial" w:hAnsi="Arial"/>
          <w:sz w:val="16"/>
          <w:szCs w:val="16"/>
          <w:color w:val="auto"/>
        </w:rPr>
        <w:t>.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40</w:t>
      </w:r>
      <w:r>
        <w:rPr>
          <w:rFonts w:ascii="Arial" w:cs="Arial" w:eastAsia="Arial" w:hAnsi="Arial"/>
          <w:sz w:val="16"/>
          <w:szCs w:val="16"/>
          <w:color w:val="auto"/>
        </w:rPr>
        <w:t>, Landlord’s affiliate, ARE-SD Region No. 17, LLC, a Delaware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t>
      </w:r>
      <w:r>
        <w:rPr>
          <w:rFonts w:ascii="Arial" w:cs="Arial" w:eastAsia="Arial" w:hAnsi="Arial"/>
          <w:sz w:val="16"/>
          <w:szCs w:val="16"/>
          <w:b w:val="1"/>
          <w:bCs w:val="1"/>
          <w:color w:val="auto"/>
        </w:rPr>
        <w:t>Torreyana Landlord</w:t>
      </w:r>
      <w:r>
        <w:rPr>
          <w:rFonts w:ascii="Arial" w:cs="Arial" w:eastAsia="Arial" w:hAnsi="Arial"/>
          <w:sz w:val="16"/>
          <w:szCs w:val="16"/>
          <w:color w:val="auto"/>
        </w:rPr>
        <w:t>”) may construct amenities at the property owned by Torreyana Landlord located at 10996 Torreyana Road, San Diego, California (“</w:t>
      </w:r>
      <w:r>
        <w:rPr>
          <w:rFonts w:ascii="Arial" w:cs="Arial" w:eastAsia="Arial" w:hAnsi="Arial"/>
          <w:sz w:val="16"/>
          <w:szCs w:val="16"/>
          <w:b w:val="1"/>
          <w:bCs w:val="1"/>
          <w:color w:val="auto"/>
        </w:rPr>
        <w:t>Torreyana Project</w:t>
      </w:r>
      <w:r>
        <w:rPr>
          <w:rFonts w:ascii="Arial" w:cs="Arial" w:eastAsia="Arial" w:hAnsi="Arial"/>
          <w:sz w:val="16"/>
          <w:szCs w:val="16"/>
          <w:color w:val="auto"/>
        </w:rPr>
        <w:t>”), which include, without limitation, shared conference facilities (“</w:t>
      </w:r>
      <w:r>
        <w:rPr>
          <w:rFonts w:ascii="Arial" w:cs="Arial" w:eastAsia="Arial" w:hAnsi="Arial"/>
          <w:sz w:val="16"/>
          <w:szCs w:val="16"/>
          <w:b w:val="1"/>
          <w:bCs w:val="1"/>
          <w:color w:val="auto"/>
        </w:rPr>
        <w:t>Shared Conference Facilities</w:t>
      </w:r>
      <w:r>
        <w:rPr>
          <w:rFonts w:ascii="Arial" w:cs="Arial" w:eastAsia="Arial" w:hAnsi="Arial"/>
          <w:sz w:val="16"/>
          <w:szCs w:val="16"/>
          <w:color w:val="auto"/>
        </w:rPr>
        <w:t>”), a fitness center and restaurant (collectively, the “</w:t>
      </w:r>
      <w:r>
        <w:rPr>
          <w:rFonts w:ascii="Arial" w:cs="Arial" w:eastAsia="Arial" w:hAnsi="Arial"/>
          <w:sz w:val="16"/>
          <w:szCs w:val="16"/>
          <w:b w:val="1"/>
          <w:bCs w:val="1"/>
          <w:color w:val="auto"/>
        </w:rPr>
        <w:t>Amenities</w:t>
      </w:r>
      <w:r>
        <w:rPr>
          <w:rFonts w:ascii="Arial" w:cs="Arial" w:eastAsia="Arial" w:hAnsi="Arial"/>
          <w:sz w:val="16"/>
          <w:szCs w:val="16"/>
          <w:color w:val="auto"/>
        </w:rPr>
        <w:t>”) for non-exclusive use by (a) Tenant, (b) other tenants of the Project, (c) Landlord, (d) the tenants of Torreyana Landlord, (e) Torreyana Landlord, (e) other affiliates of Landlord, Torreyana Landlord and Alexandria Real Estate Equities, Inc. (“</w:t>
      </w:r>
      <w:r>
        <w:rPr>
          <w:rFonts w:ascii="Arial" w:cs="Arial" w:eastAsia="Arial" w:hAnsi="Arial"/>
          <w:sz w:val="16"/>
          <w:szCs w:val="16"/>
          <w:b w:val="1"/>
          <w:bCs w:val="1"/>
          <w:color w:val="auto"/>
        </w:rPr>
        <w:t>ARE</w:t>
      </w:r>
      <w:r>
        <w:rPr>
          <w:rFonts w:ascii="Arial" w:cs="Arial" w:eastAsia="Arial" w:hAnsi="Arial"/>
          <w:sz w:val="16"/>
          <w:szCs w:val="16"/>
          <w:color w:val="auto"/>
        </w:rPr>
        <w:t>”), (f) the tenants of such other affiliates of Landlord, Torreyana Landlord and ARE, and (g) any other parties permitted by Torreyana Landlord (collectively, “</w:t>
      </w:r>
      <w:r>
        <w:rPr>
          <w:rFonts w:ascii="Arial" w:cs="Arial" w:eastAsia="Arial" w:hAnsi="Arial"/>
          <w:sz w:val="16"/>
          <w:szCs w:val="16"/>
          <w:b w:val="1"/>
          <w:bCs w:val="1"/>
          <w:color w:val="auto"/>
        </w:rPr>
        <w:t>Users</w:t>
      </w:r>
      <w:r>
        <w:rPr>
          <w:rFonts w:ascii="Arial" w:cs="Arial" w:eastAsia="Arial" w:hAnsi="Arial"/>
          <w:sz w:val="16"/>
          <w:szCs w:val="16"/>
          <w:color w:val="auto"/>
        </w:rPr>
        <w:t>”). Landlord, Torreyana Landlord, ARE, and all affiliates of Landlord, Torreyana and ARE may be referred to collectively herein as the “</w:t>
      </w:r>
      <w:r>
        <w:rPr>
          <w:rFonts w:ascii="Arial" w:cs="Arial" w:eastAsia="Arial" w:hAnsi="Arial"/>
          <w:sz w:val="16"/>
          <w:szCs w:val="16"/>
          <w:b w:val="1"/>
          <w:bCs w:val="1"/>
          <w:color w:val="auto"/>
        </w:rPr>
        <w:t>ARE</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Notwithstanding anything to the contrary contained herein, Tenant acknowledges and agrees that (i) Torreyana Landlord is in the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phase of design and development of the Amenities and does not currently have and may not be able to obtain the governmental approvals necessary for the development and construction of the Amenities, (ii) Torreyana Landlord’s construction of the Amenities is subject to, among other things, Torreyana Landlord’s ability to obtain, on terms and conditions acceptable to Torreyana Landlord in its sole and absolute discretion, all of the governmental approvals to permit the design and construction of the Amenities, and the availability of materials and labor and all other conditions outside of Torreyana Landlord’s reasonable control, and (iii) Torreyana Landlord shall have the right, at the sole discretion of Torreyana Landlord, to construct any Amenities desired by Torreyana Landlord at the Torreyana Project but not make such constructed Amenities available for use by some or all currently contemplated Users (provided that such Amenities will be made available to Tenant so long as they are made generally available to the other tenants of Landlord’s affiliates in the Torrey Pines area). Torreyana Landlord shall have the sole right to determine all matters related to the Amenities including, without limitation, relating to the design and construction thereof; provided, however, that the Amenities will, if provided, be of a Class A standard and will include, at a minimum, a fitness center, Shared Conference Facility and eatery. If the Amenities are made available for use by Tenant, if at all, Tenant shall have the right, at a minimum, to use the fitness center, the Shared Conference Facility and the eatery. Tenant acknowledges and agrees that Landlord has not made any representations or warranties regarding the development of any of the Amenities and that Tenant is not entering into this Lease relying on the construction and completion of the Amenities or with an expectation that the Amenities will ever be constructed or made available to Tenant. Subject to the provisions of this </w:t>
      </w:r>
      <w:r>
        <w:rPr>
          <w:rFonts w:ascii="Arial" w:cs="Arial" w:eastAsia="Arial" w:hAnsi="Arial"/>
          <w:sz w:val="16"/>
          <w:szCs w:val="16"/>
          <w:u w:val="single" w:color="auto"/>
          <w:color w:val="auto"/>
        </w:rPr>
        <w:t>Section 40</w:t>
      </w:r>
      <w:r>
        <w:rPr>
          <w:rFonts w:ascii="Arial" w:cs="Arial" w:eastAsia="Arial" w:hAnsi="Arial"/>
          <w:sz w:val="16"/>
          <w:szCs w:val="16"/>
          <w:color w:val="auto"/>
        </w:rPr>
        <w:t>, Landlord shall endeavor to cause the Amenities Commencement Date to occur prior to the Commencement Date.</w:t>
      </w:r>
    </w:p>
    <w:p>
      <w:pPr>
        <w:spacing w:after="0" w:line="288" w:lineRule="exact"/>
        <w:rPr>
          <w:rFonts w:ascii="Arial" w:cs="Arial" w:eastAsia="Arial" w:hAnsi="Arial"/>
          <w:sz w:val="16"/>
          <w:szCs w:val="16"/>
          <w:color w:val="auto"/>
        </w:rPr>
      </w:pPr>
    </w:p>
    <w:p>
      <w:pPr>
        <w:ind w:right="220" w:firstLine="444"/>
        <w:spacing w:after="0" w:line="295" w:lineRule="auto"/>
        <w:tabs>
          <w:tab w:leader="none" w:pos="695" w:val="left"/>
        </w:tabs>
        <w:numPr>
          <w:ilvl w:val="0"/>
          <w:numId w:val="619"/>
        </w:numPr>
        <w:rPr>
          <w:rFonts w:ascii="Arial" w:cs="Arial" w:eastAsia="Arial" w:hAnsi="Arial"/>
          <w:sz w:val="16"/>
          <w:szCs w:val="16"/>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Following the delivery of written notice from Landlord to Tenant that the Amenities are available for use by Tenant (“</w:t>
      </w:r>
      <w:r>
        <w:rPr>
          <w:rFonts w:ascii="Arial" w:cs="Arial" w:eastAsia="Arial" w:hAnsi="Arial"/>
          <w:sz w:val="16"/>
          <w:szCs w:val="16"/>
          <w:b w:val="1"/>
          <w:bCs w:val="1"/>
          <w:color w:val="auto"/>
        </w:rPr>
        <w:t>Amenity Availability Notice</w:t>
      </w:r>
      <w:r>
        <w:rPr>
          <w:rFonts w:ascii="Arial" w:cs="Arial" w:eastAsia="Arial" w:hAnsi="Arial"/>
          <w:sz w:val="16"/>
          <w:szCs w:val="16"/>
          <w:color w:val="auto"/>
        </w:rPr>
        <w:t>”), if at all, and so long as the Torreyana Project and the Project continue to be owned by affiliates of ARE, Tenant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non-exclusive right to the use of the available Amenities with 2 passes to the fitness center per 1,000 rentable square feet of the Premises (so long the persons using such passes are employed at the Premises) in common with other Users pursuant to the terms of this </w:t>
      </w:r>
      <w:r>
        <w:rPr>
          <w:rFonts w:ascii="Arial" w:cs="Arial" w:eastAsia="Arial" w:hAnsi="Arial"/>
          <w:sz w:val="16"/>
          <w:szCs w:val="16"/>
          <w:u w:val="single" w:color="auto"/>
          <w:color w:val="auto"/>
        </w:rPr>
        <w:t>Section 40</w:t>
      </w:r>
      <w:r>
        <w:rPr>
          <w:rFonts w:ascii="Arial" w:cs="Arial" w:eastAsia="Arial" w:hAnsi="Arial"/>
          <w:sz w:val="16"/>
          <w:szCs w:val="16"/>
          <w:color w:val="auto"/>
        </w:rPr>
        <w:t>. If Landlord delivers an Amenity Availability Notice to Tenant, Tenant shall, upon the date (“</w:t>
      </w:r>
      <w:r>
        <w:rPr>
          <w:rFonts w:ascii="Arial" w:cs="Arial" w:eastAsia="Arial" w:hAnsi="Arial"/>
          <w:sz w:val="16"/>
          <w:szCs w:val="16"/>
          <w:b w:val="1"/>
          <w:bCs w:val="1"/>
          <w:color w:val="auto"/>
        </w:rPr>
        <w:t>Amenities Commencement Date</w:t>
      </w:r>
      <w:r>
        <w:rPr>
          <w:rFonts w:ascii="Arial" w:cs="Arial" w:eastAsia="Arial" w:hAnsi="Arial"/>
          <w:sz w:val="16"/>
          <w:szCs w:val="16"/>
          <w:color w:val="auto"/>
        </w:rPr>
        <w:t>”) set forth in the Amenity Availability Notice (provided that Tenant is actually permitted to commence using the Amenities as of such date), commence paying Landlord</w:t>
      </w:r>
    </w:p>
    <w:p>
      <w:pPr>
        <w:sectPr>
          <w:pgSz w:w="11900" w:h="16838" w:orient="portrait"/>
          <w:cols w:equalWidth="0" w:num="1">
            <w:col w:w="11020"/>
          </w:cols>
          <w:pgMar w:left="440" w:top="270" w:right="439" w:bottom="1440" w:gutter="0" w:footer="0" w:header="0"/>
        </w:sectPr>
      </w:pPr>
    </w:p>
    <w:bookmarkStart w:id="721" w:name="page722"/>
    <w:bookmarkEnd w:id="72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63</w:t>
      </w:r>
    </w:p>
    <w:p>
      <w:pPr>
        <w:spacing w:after="0" w:line="15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 fixed fee during the Base Term equal to $0.18 per rentable square foot of the Premises per month (“</w:t>
      </w:r>
      <w:r>
        <w:rPr>
          <w:rFonts w:ascii="Arial" w:cs="Arial" w:eastAsia="Arial" w:hAnsi="Arial"/>
          <w:sz w:val="18"/>
          <w:szCs w:val="18"/>
          <w:b w:val="1"/>
          <w:bCs w:val="1"/>
          <w:color w:val="auto"/>
        </w:rPr>
        <w:t>Amenities Fee</w:t>
      </w:r>
      <w:r>
        <w:rPr>
          <w:rFonts w:ascii="Arial" w:cs="Arial" w:eastAsia="Arial" w:hAnsi="Arial"/>
          <w:sz w:val="18"/>
          <w:szCs w:val="18"/>
          <w:color w:val="auto"/>
        </w:rPr>
        <w:t>”), which Amenities Fee shall by payable on the first day of each month during the Term whether or not Tenant elects to use any or all of the Amenities. The Amenities Fee shall be increased annually on each anniversary of the Amenities Commencement Date by the Rent Adjustment Percentage. In the event that the Amenities are not constructed or if they are constructed but not made available for use by Tenant, Tenant shall have no right to use the Amenities, if any, nor shall Tenant be required to pay the Amenities Fee.</w:t>
      </w:r>
    </w:p>
    <w:p>
      <w:pPr>
        <w:spacing w:after="0" w:line="76" w:lineRule="exact"/>
        <w:rPr>
          <w:sz w:val="20"/>
          <w:szCs w:val="20"/>
          <w:color w:val="auto"/>
        </w:rPr>
      </w:pPr>
    </w:p>
    <w:p>
      <w:pPr>
        <w:ind w:right="140" w:firstLine="444"/>
        <w:spacing w:after="0" w:line="266" w:lineRule="auto"/>
        <w:tabs>
          <w:tab w:leader="none" w:pos="685" w:val="left"/>
        </w:tabs>
        <w:numPr>
          <w:ilvl w:val="0"/>
          <w:numId w:val="620"/>
        </w:numPr>
        <w:rPr>
          <w:rFonts w:ascii="Arial" w:cs="Arial" w:eastAsia="Arial" w:hAnsi="Arial"/>
          <w:sz w:val="18"/>
          <w:szCs w:val="18"/>
          <w:color w:val="auto"/>
        </w:rPr>
      </w:pPr>
      <w:r>
        <w:rPr>
          <w:rFonts w:ascii="Arial" w:cs="Arial" w:eastAsia="Arial" w:hAnsi="Arial"/>
          <w:sz w:val="18"/>
          <w:szCs w:val="18"/>
          <w:b w:val="1"/>
          <w:bCs w:val="1"/>
          <w:color w:val="auto"/>
        </w:rPr>
        <w:t>Shared Conference Facilities</w:t>
      </w:r>
      <w:r>
        <w:rPr>
          <w:rFonts w:ascii="Arial" w:cs="Arial" w:eastAsia="Arial" w:hAnsi="Arial"/>
          <w:sz w:val="18"/>
          <w:szCs w:val="18"/>
          <w:color w:val="auto"/>
        </w:rPr>
        <w:t>. Use by Tenant of the Shared Conference Facilities and restaurant at the Torreyana Project shall be in common</w:t>
      </w:r>
      <w:r>
        <w:rPr>
          <w:rFonts w:ascii="Arial" w:cs="Arial" w:eastAsia="Arial" w:hAnsi="Arial"/>
          <w:sz w:val="18"/>
          <w:szCs w:val="18"/>
          <w:b w:val="1"/>
          <w:bCs w:val="1"/>
          <w:color w:val="auto"/>
        </w:rPr>
        <w:t xml:space="preserve"> </w:t>
      </w:r>
      <w:r>
        <w:rPr>
          <w:rFonts w:ascii="Arial" w:cs="Arial" w:eastAsia="Arial" w:hAnsi="Arial"/>
          <w:sz w:val="18"/>
          <w:szCs w:val="18"/>
          <w:color w:val="auto"/>
        </w:rPr>
        <w:t>with other Users with scheduling procedures reasonably determined by Torreyana Landlord. Torreyana Landlord reserves the right to exercise its reasonable discretion in the event of conflicting scheduling requests among Users.</w:t>
      </w:r>
    </w:p>
    <w:p>
      <w:pPr>
        <w:spacing w:after="0" w:line="18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Any vendors engaged by Tenant in connection with Tenant’s use of the Shared Conference Facilities shall be professional licensed vendors. Torreyana Landlord shall have the right to reasonably approve any vendors utilized by Tenant in connection with Tenant’s use of the Shared Conference Facilities. Prior to any entry by any such vendor onto the Torreyana Project, Tenant shall deliver to Landlord a copy of the contract between Tenant and such vendor and certificates of insurance from such vendor evidencing industry standard commercial general liability, automotive liability, and workers’ compensation insurance. Tenant shall cause all such vendors utilized by Tenant to provide a certificate of insurance naming Landlord, ARE, and Torreyana Landlord as additional insureds under the vendor’s liability policies. Notwithstanding the foregoing, Tenant shall be required to use the food service operator used by Torreyana Landlord at the Torreyana Project for any food service or catered events held by Tenant in the Shared Conference Facilities.</w:t>
      </w:r>
    </w:p>
    <w:p>
      <w:pPr>
        <w:spacing w:after="0" w:line="19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Tenant shall, at Tenant’s sole cost and expense, (i) be responsible for the set-up of the Shared Conference Facilities in connection with Tenant’s use (including, without limitation ensuring that Tenant has a sufficient number of chairs and tables and the appropriate equipment), and (ii) surrender the Shared Conference Facilities after each time that Tenant uses the Shared Conference Facilities free of Tenant’s personal property, in substantially the same set up and same condition as received, subject to casualty, and free of any debris and trash. If Tenant fails to restore and surrender the Shared Conference Facilities as required by sub-section (ii) of the immediately preceding sentence, such failure shall constitute a “</w:t>
      </w:r>
      <w:r>
        <w:rPr>
          <w:rFonts w:ascii="Arial" w:cs="Arial" w:eastAsia="Arial" w:hAnsi="Arial"/>
          <w:sz w:val="16"/>
          <w:szCs w:val="16"/>
          <w:b w:val="1"/>
          <w:bCs w:val="1"/>
          <w:color w:val="auto"/>
        </w:rPr>
        <w:t>Shared Facilities Default</w:t>
      </w:r>
      <w:r>
        <w:rPr>
          <w:rFonts w:ascii="Arial" w:cs="Arial" w:eastAsia="Arial" w:hAnsi="Arial"/>
          <w:sz w:val="16"/>
          <w:szCs w:val="16"/>
          <w:color w:val="auto"/>
        </w:rPr>
        <w:t xml:space="preserve">.” Each time that Landlord reasonably determines that Tenant has committed a Shared Facilities Default, Tenant shall be required to pay Landlord a penalty within 5 days after notice from Landlord of such Shared Facilities Default. The penalty payable by Tenant in connection with the first Shared Facilities Default shall be $200. The penalty payable shall increase by $50 for each subsequent Shared Facilities Default (for the avoidance of doubt, the penalty shall be $250 for the second Shared Facilities Default, shall be $300 for the third Shared Facilities Default, etc.). In addition to the foregoing, Tenant shall be responsible for reimbursing Torreyana Landlord or Landlord, as applicable, for all costs expended by Torreyana Landlord or Landlord, as applicable, in repairing any damage to the Shared Conference Facilities, the Amenities, or the Torreyana Project caused by Tenant or any Tenant Related Party. The provisions of this </w:t>
      </w:r>
      <w:r>
        <w:rPr>
          <w:rFonts w:ascii="Arial" w:cs="Arial" w:eastAsia="Arial" w:hAnsi="Arial"/>
          <w:sz w:val="16"/>
          <w:szCs w:val="16"/>
          <w:u w:val="single" w:color="auto"/>
          <w:color w:val="auto"/>
        </w:rPr>
        <w:t>Section 40(c)</w:t>
      </w:r>
      <w:r>
        <w:rPr>
          <w:rFonts w:ascii="Arial" w:cs="Arial" w:eastAsia="Arial" w:hAnsi="Arial"/>
          <w:sz w:val="16"/>
          <w:szCs w:val="16"/>
          <w:color w:val="auto"/>
        </w:rPr>
        <w:t xml:space="preserve"> shall survive the expiration or earlier termination of this Lease.</w:t>
      </w:r>
    </w:p>
    <w:p>
      <w:pPr>
        <w:sectPr>
          <w:pgSz w:w="11900" w:h="16838" w:orient="portrait"/>
          <w:cols w:equalWidth="0" w:num="1">
            <w:col w:w="11020"/>
          </w:cols>
          <w:pgMar w:left="440" w:top="270" w:right="439" w:bottom="1440" w:gutter="0" w:footer="0" w:header="0"/>
        </w:sectPr>
      </w:pPr>
    </w:p>
    <w:bookmarkStart w:id="722" w:name="page723"/>
    <w:bookmarkEnd w:id="722"/>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64</w:t>
      </w:r>
    </w:p>
    <w:p>
      <w:pPr>
        <w:spacing w:after="0" w:line="158" w:lineRule="exact"/>
        <w:rPr>
          <w:sz w:val="20"/>
          <w:szCs w:val="20"/>
          <w:color w:val="auto"/>
        </w:rPr>
      </w:pPr>
    </w:p>
    <w:p>
      <w:pPr>
        <w:ind w:firstLine="444"/>
        <w:spacing w:after="0" w:line="254" w:lineRule="auto"/>
        <w:tabs>
          <w:tab w:leader="none" w:pos="695" w:val="left"/>
        </w:tabs>
        <w:numPr>
          <w:ilvl w:val="0"/>
          <w:numId w:val="621"/>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be solely responsible for paying for any and all ancillary services (e.g., audio visual equipment)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to Tenant, all food services operators and any other third party vendors providing services to Tenant at the Torreyana Project. Tenant shall use the Amenities (including, without limitation, the Shared Conference Facilities) in compliance with all applicable Legal Requirements and any reasonable rules and regulations imposed by Torreyana Landlord or Landlord from time to time (which rules shall not be enforced in a discriminatory manner) and in a manner that will not interfere with the rights of other Users. The use of Amenities other than the Shared Conference Facilities by employees of Tenant shall be in accordance with the terms and conditions of the standard licenses, indemnification and waiver agreement required by Torreyana Landlord or the operator of the Amenities to be executed by all persons wishing to use such Amenities. Neither Torreyana Landlord nor Landlord (nor, if applicable, any other affiliate of Landlord) shall have any liability or obligation for the breach of any rules or regulations by other Users with respect to the Amenities. Tenant shall not make any alterations, additions, or improvements of any kind to the Shared Conference Facilities, the Amenities or the Torreyana Project.</w:t>
      </w:r>
    </w:p>
    <w:p>
      <w:pPr>
        <w:spacing w:after="0" w:line="19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Tenant acknowledges and agrees that Torreyana Landlord shall have the right at any time and from time to time to reconfigure, relocate, modify or remove any of the Amenities at the Torreyana Project and/or to revise, expand or discontinue any of the services (if any) provided in connection with the Amenities; provided, however, that, subject to the other provisions of this </w:t>
      </w:r>
      <w:r>
        <w:rPr>
          <w:rFonts w:ascii="Arial" w:cs="Arial" w:eastAsia="Arial" w:hAnsi="Arial"/>
          <w:sz w:val="18"/>
          <w:szCs w:val="18"/>
          <w:u w:val="single" w:color="auto"/>
          <w:color w:val="auto"/>
        </w:rPr>
        <w:t>Section 40</w:t>
      </w:r>
      <w:r>
        <w:rPr>
          <w:rFonts w:ascii="Arial" w:cs="Arial" w:eastAsia="Arial" w:hAnsi="Arial"/>
          <w:sz w:val="18"/>
          <w:szCs w:val="18"/>
          <w:color w:val="auto"/>
        </w:rPr>
        <w:t>, the Amenities shall, during the Base Term, contain shared conference facilities, a fitness center and restaurant.</w:t>
      </w:r>
    </w:p>
    <w:p>
      <w:pPr>
        <w:spacing w:after="0" w:line="75" w:lineRule="exact"/>
        <w:rPr>
          <w:sz w:val="20"/>
          <w:szCs w:val="20"/>
          <w:color w:val="auto"/>
        </w:rPr>
      </w:pPr>
    </w:p>
    <w:p>
      <w:pPr>
        <w:ind w:right="20" w:firstLine="444"/>
        <w:spacing w:after="0" w:line="291" w:lineRule="auto"/>
        <w:tabs>
          <w:tab w:leader="none" w:pos="685" w:val="left"/>
        </w:tabs>
        <w:numPr>
          <w:ilvl w:val="0"/>
          <w:numId w:val="622"/>
        </w:numPr>
        <w:rPr>
          <w:rFonts w:ascii="Arial" w:cs="Arial" w:eastAsia="Arial" w:hAnsi="Arial"/>
          <w:sz w:val="16"/>
          <w:szCs w:val="16"/>
          <w:color w:val="auto"/>
        </w:rPr>
      </w:pPr>
      <w:r>
        <w:rPr>
          <w:rFonts w:ascii="Arial" w:cs="Arial" w:eastAsia="Arial" w:hAnsi="Arial"/>
          <w:sz w:val="16"/>
          <w:szCs w:val="16"/>
          <w:b w:val="1"/>
          <w:bCs w:val="1"/>
          <w:color w:val="auto"/>
        </w:rPr>
        <w:t>Waiver of Liability and Indemnification</w:t>
      </w:r>
      <w:r>
        <w:rPr>
          <w:rFonts w:ascii="Arial" w:cs="Arial" w:eastAsia="Arial" w:hAnsi="Arial"/>
          <w:sz w:val="16"/>
          <w:szCs w:val="16"/>
          <w:color w:val="auto"/>
        </w:rPr>
        <w:t>. Tenant warrants that it will use reasonable care to prevent damage to property and injury to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while on the Torreyana Project. To the extent permitted by applicable law, Tenant waives any claims it or any Tenant Parties may have against any ARE Parties relating to, arising out of or in connection with the Amenities and any entry by Tenant and/or any Tenant Parties onto the Torreyana Project, and Tenant releases and exculpates all ARE Parties from any liability relating to, arising out of or in connection with the Amenities and any entry by Tenant and/or any Tenant Parties onto the Torreyana Project. Except to the extent caused by the negligence of any ARE Party, Tenant hereby agrees to indemnify, defend, and hold harmless the ARE Parties from any claim of damage to property or injury to person relating to, arising out of or in connection with (i) the use of the Amenities by Tenant or any Tenant Parties, and (ii) any entry by Tenant and/or any Tenant Parties onto the Torreyana Project. The provisions of this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shall survive the expiration or earlier termination of this Lease.</w:t>
      </w:r>
    </w:p>
    <w:p>
      <w:pPr>
        <w:spacing w:after="0" w:line="52" w:lineRule="exact"/>
        <w:rPr>
          <w:rFonts w:ascii="Arial" w:cs="Arial" w:eastAsia="Arial" w:hAnsi="Arial"/>
          <w:sz w:val="16"/>
          <w:szCs w:val="16"/>
          <w:color w:val="auto"/>
        </w:rPr>
      </w:pPr>
    </w:p>
    <w:p>
      <w:pPr>
        <w:ind w:right="160" w:firstLine="444"/>
        <w:spacing w:after="0" w:line="313" w:lineRule="auto"/>
        <w:tabs>
          <w:tab w:leader="none" w:pos="665" w:val="left"/>
        </w:tabs>
        <w:numPr>
          <w:ilvl w:val="0"/>
          <w:numId w:val="622"/>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As of the Amenities Commencement Date, Tenant shall cause Torreyana Landlord to be named as an additional insured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general liability policy of insurance that Tenant is required to maintain pursuant to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of this Lease.</w:t>
      </w:r>
    </w:p>
    <w:p>
      <w:pPr>
        <w:spacing w:after="0" w:line="30" w:lineRule="exact"/>
        <w:rPr>
          <w:sz w:val="20"/>
          <w:szCs w:val="20"/>
          <w:color w:val="auto"/>
        </w:rPr>
      </w:pPr>
    </w:p>
    <w:p>
      <w:pPr>
        <w:ind w:right="180" w:firstLine="444"/>
        <w:spacing w:after="0" w:line="258" w:lineRule="auto"/>
        <w:tabs>
          <w:tab w:leader="none" w:pos="711" w:val="left"/>
        </w:tabs>
        <w:numPr>
          <w:ilvl w:val="0"/>
          <w:numId w:val="623"/>
        </w:numPr>
        <w:rPr>
          <w:rFonts w:ascii="Arial" w:cs="Arial" w:eastAsia="Arial" w:hAnsi="Arial"/>
          <w:sz w:val="18"/>
          <w:szCs w:val="18"/>
          <w:color w:val="auto"/>
        </w:rPr>
      </w:pPr>
      <w:r>
        <w:rPr>
          <w:rFonts w:ascii="Arial" w:cs="Arial" w:eastAsia="Arial" w:hAnsi="Arial"/>
          <w:sz w:val="18"/>
          <w:szCs w:val="18"/>
          <w:b w:val="1"/>
          <w:bCs w:val="1"/>
          <w:color w:val="auto"/>
        </w:rPr>
        <w:t>LEED Certification</w:t>
      </w:r>
      <w:r>
        <w:rPr>
          <w:rFonts w:ascii="Arial" w:cs="Arial" w:eastAsia="Arial" w:hAnsi="Arial"/>
          <w:sz w:val="18"/>
          <w:szCs w:val="18"/>
          <w:color w:val="auto"/>
        </w:rPr>
        <w:t>. Tenant agrees to reasonably cooperate with Landlord and to use commercially reasonable efforts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reasonably implemented by Landlord with respect to the Building and/or the Project in connection with Landlord’s efforts, if any, to obtain a Leadership in Energy and Environmental Design (LEED) certificate for the Project, provided that such cooperation and efforts shall be at no material additional cost to Tenant. Tenant shall have the right (but not the obligation), at Tenant’s sole cost and expense, to pursue LEED certification of the Tenant Improvements.</w:t>
      </w:r>
    </w:p>
    <w:p>
      <w:pPr>
        <w:sectPr>
          <w:pgSz w:w="11900" w:h="16838" w:orient="portrait"/>
          <w:cols w:equalWidth="0" w:num="1">
            <w:col w:w="11020"/>
          </w:cols>
          <w:pgMar w:left="440" w:top="270" w:right="439" w:bottom="1440" w:gutter="0" w:footer="0" w:header="0"/>
        </w:sectPr>
      </w:pPr>
    </w:p>
    <w:bookmarkStart w:id="723" w:name="page724"/>
    <w:bookmarkEnd w:id="72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65</w:t>
      </w:r>
    </w:p>
    <w:p>
      <w:pPr>
        <w:spacing w:after="0" w:line="158" w:lineRule="exact"/>
        <w:rPr>
          <w:sz w:val="20"/>
          <w:szCs w:val="20"/>
          <w:color w:val="auto"/>
        </w:rPr>
      </w:pPr>
    </w:p>
    <w:p>
      <w:pPr>
        <w:ind w:firstLine="444"/>
        <w:spacing w:after="0" w:line="286" w:lineRule="auto"/>
        <w:tabs>
          <w:tab w:leader="none" w:pos="711" w:val="left"/>
        </w:tabs>
        <w:numPr>
          <w:ilvl w:val="0"/>
          <w:numId w:val="624"/>
        </w:numPr>
        <w:rPr>
          <w:rFonts w:ascii="Arial" w:cs="Arial" w:eastAsia="Arial" w:hAnsi="Arial"/>
          <w:sz w:val="16"/>
          <w:szCs w:val="16"/>
          <w:color w:val="auto"/>
        </w:rPr>
      </w:pPr>
      <w:r>
        <w:rPr>
          <w:rFonts w:ascii="Arial" w:cs="Arial" w:eastAsia="Arial" w:hAnsi="Arial"/>
          <w:sz w:val="16"/>
          <w:szCs w:val="16"/>
          <w:b w:val="1"/>
          <w:bCs w:val="1"/>
          <w:color w:val="auto"/>
        </w:rPr>
        <w:t>Emergency Generator</w:t>
      </w:r>
      <w:r>
        <w:rPr>
          <w:rFonts w:ascii="Arial" w:cs="Arial" w:eastAsia="Arial" w:hAnsi="Arial"/>
          <w:sz w:val="16"/>
          <w:szCs w:val="16"/>
          <w:color w:val="auto"/>
        </w:rPr>
        <w:t>. Subject to Tenant complying with all of the provisions of this Lease including without limitation,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w:t>
      </w:r>
      <w:r>
        <w:rPr>
          <w:rFonts w:ascii="Arial" w:cs="Arial" w:eastAsia="Arial" w:hAnsi="Arial"/>
          <w:sz w:val="16"/>
          <w:szCs w:val="16"/>
          <w:b w:val="1"/>
          <w:bCs w:val="1"/>
          <w:color w:val="auto"/>
        </w:rPr>
        <w:t xml:space="preserve"> </w:t>
      </w:r>
      <w:r>
        <w:rPr>
          <w:rFonts w:ascii="Arial" w:cs="Arial" w:eastAsia="Arial" w:hAnsi="Arial"/>
          <w:sz w:val="16"/>
          <w:szCs w:val="16"/>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applicable Legal Requirements and Landlord’s rules and regulations, Tenant shall have the right to install one emergency generator not greater than 750 Kw (the “</w:t>
      </w:r>
      <w:r>
        <w:rPr>
          <w:rFonts w:ascii="Arial" w:cs="Arial" w:eastAsia="Arial" w:hAnsi="Arial"/>
          <w:sz w:val="16"/>
          <w:szCs w:val="16"/>
          <w:b w:val="1"/>
          <w:bCs w:val="1"/>
          <w:color w:val="auto"/>
        </w:rPr>
        <w:t>Emergency Generator</w:t>
      </w:r>
      <w:r>
        <w:rPr>
          <w:rFonts w:ascii="Arial" w:cs="Arial" w:eastAsia="Arial" w:hAnsi="Arial"/>
          <w:sz w:val="16"/>
          <w:szCs w:val="16"/>
          <w:color w:val="auto"/>
        </w:rPr>
        <w:t>”) in a location reasonably acceptable to Landlord and Tenant (“</w:t>
      </w:r>
      <w:r>
        <w:rPr>
          <w:rFonts w:ascii="Arial" w:cs="Arial" w:eastAsia="Arial" w:hAnsi="Arial"/>
          <w:sz w:val="16"/>
          <w:szCs w:val="16"/>
          <w:b w:val="1"/>
          <w:bCs w:val="1"/>
          <w:color w:val="auto"/>
        </w:rPr>
        <w:t>Generator Area</w:t>
      </w:r>
      <w:r>
        <w:rPr>
          <w:rFonts w:ascii="Arial" w:cs="Arial" w:eastAsia="Arial" w:hAnsi="Arial"/>
          <w:sz w:val="16"/>
          <w:szCs w:val="16"/>
          <w:color w:val="auto"/>
        </w:rPr>
        <w:t xml:space="preserve">”), together with all utility and other connections required to connect the emergency Generator to the Premises. Tenant shall have all of the obligations under this Lease with respect to the Generator Area as though the Generator Area were part of the Premises including, without limitation, the delivery of a Surrender Plan with respect to the Generator Area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All such improvements to the Generator Area shall be of a design and type and with screening and landscaping acceptable to Landlord, in Landlord’s reasonable discretion. Tenant may elect to remove the Emergency Generator upon the expiration of the Term if the same has not been paid for out the TI Allowance; provided, however, that in the event Tenant does not elect (or is not permitted) to remove the Emergency Generator Landlord shall have the right, in its sole and absolute discretion, to require Tenant to remove any such Emergency Generator installed by Tenant. If the Emergency Generator is removed by Tenant, Tenant will restore the Generator Area to its original use and condition (provided that Tenant will not be required to demolish any concrete pad or remove any electrical lines or conduit connecting the pad to the Premises so long as it is left in a condition that a subsequent user can use such items. Notwithstanding anything to the contrary contained herein, Tenant shall surrender the Generator Area free of any debris and trash and free of any Hazardous Materials upon the expiration or earlier termination of the Term. Landlord shall have no obligation to make any repairs or improvements to the Emergency Generator or the Generator Area and Tenant shall maintain the same, at Tenant’s sole cost and expense, in good repair and condition during the Term as though the same were part of the Premises.</w:t>
      </w:r>
    </w:p>
    <w:p>
      <w:pPr>
        <w:spacing w:after="0" w:line="60" w:lineRule="exact"/>
        <w:rPr>
          <w:rFonts w:ascii="Arial" w:cs="Arial" w:eastAsia="Arial" w:hAnsi="Arial"/>
          <w:sz w:val="16"/>
          <w:szCs w:val="16"/>
          <w:color w:val="auto"/>
        </w:rPr>
      </w:pPr>
    </w:p>
    <w:p>
      <w:pPr>
        <w:ind w:right="60" w:firstLine="444"/>
        <w:spacing w:after="0" w:line="258" w:lineRule="auto"/>
        <w:tabs>
          <w:tab w:leader="none" w:pos="711" w:val="left"/>
        </w:tabs>
        <w:numPr>
          <w:ilvl w:val="0"/>
          <w:numId w:val="624"/>
        </w:numPr>
        <w:rPr>
          <w:rFonts w:ascii="Arial" w:cs="Arial" w:eastAsia="Arial" w:hAnsi="Arial"/>
          <w:sz w:val="18"/>
          <w:szCs w:val="18"/>
          <w:color w:val="auto"/>
        </w:rPr>
      </w:pPr>
      <w:r>
        <w:rPr>
          <w:rFonts w:ascii="Arial" w:cs="Arial" w:eastAsia="Arial" w:hAnsi="Arial"/>
          <w:sz w:val="18"/>
          <w:szCs w:val="18"/>
          <w:b w:val="1"/>
          <w:bCs w:val="1"/>
          <w:color w:val="auto"/>
        </w:rPr>
        <w:t>Roof Equipment</w:t>
      </w:r>
      <w:r>
        <w:rPr>
          <w:rFonts w:ascii="Arial" w:cs="Arial" w:eastAsia="Arial" w:hAnsi="Arial"/>
          <w:sz w:val="18"/>
          <w:szCs w:val="18"/>
          <w:color w:val="auto"/>
        </w:rPr>
        <w:t>. Tenant shall have the right, at its sole cost and expense, subject to compliance with all Legal Requirements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any height restrictions applicable to the Building, to install, maintain, and remove on the top of the roof of the Building, in a location designated by Landlord, one satellite dish or antenna for the transmission or reception of communication signals to the extent reasonably necessary to support Tenant’s operations within the Premises, including ancillary cabling to connect such equipment to the Premises (“</w:t>
      </w:r>
      <w:r>
        <w:rPr>
          <w:rFonts w:ascii="Arial" w:cs="Arial" w:eastAsia="Arial" w:hAnsi="Arial"/>
          <w:sz w:val="18"/>
          <w:szCs w:val="18"/>
          <w:b w:val="1"/>
          <w:bCs w:val="1"/>
          <w:color w:val="auto"/>
        </w:rPr>
        <w:t>Satellite Equipment</w:t>
      </w:r>
      <w:r>
        <w:rPr>
          <w:rFonts w:ascii="Arial" w:cs="Arial" w:eastAsia="Arial" w:hAnsi="Arial"/>
          <w:sz w:val="18"/>
          <w:szCs w:val="18"/>
          <w:color w:val="auto"/>
        </w:rPr>
        <w:t>”) on the following terms and conditions:</w:t>
      </w:r>
    </w:p>
    <w:p>
      <w:pPr>
        <w:spacing w:after="0" w:line="76" w:lineRule="exact"/>
        <w:rPr>
          <w:sz w:val="20"/>
          <w:szCs w:val="20"/>
          <w:color w:val="auto"/>
        </w:rPr>
      </w:pPr>
    </w:p>
    <w:p>
      <w:pPr>
        <w:ind w:firstLine="444"/>
        <w:spacing w:after="0" w:line="284" w:lineRule="auto"/>
        <w:tabs>
          <w:tab w:leader="none" w:pos="685" w:val="left"/>
        </w:tabs>
        <w:numPr>
          <w:ilvl w:val="1"/>
          <w:numId w:val="625"/>
        </w:numPr>
        <w:rPr>
          <w:rFonts w:ascii="Arial" w:cs="Arial" w:eastAsia="Arial" w:hAnsi="Arial"/>
          <w:sz w:val="16"/>
          <w:szCs w:val="16"/>
          <w:color w:val="auto"/>
        </w:rPr>
      </w:pPr>
      <w:r>
        <w:rPr>
          <w:rFonts w:ascii="Arial" w:cs="Arial" w:eastAsia="Arial" w:hAnsi="Arial"/>
          <w:sz w:val="16"/>
          <w:szCs w:val="16"/>
          <w:b w:val="1"/>
          <w:bCs w:val="1"/>
          <w:color w:val="auto"/>
        </w:rPr>
        <w:t>Requirements</w:t>
      </w:r>
      <w:r>
        <w:rPr>
          <w:rFonts w:ascii="Arial" w:cs="Arial" w:eastAsia="Arial" w:hAnsi="Arial"/>
          <w:sz w:val="16"/>
          <w:szCs w:val="16"/>
          <w:color w:val="auto"/>
        </w:rPr>
        <w:t>. Tenant shall submit to Landlord (i) the plans and specifications for the installation of the Satellite Equipment, (ii) copies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governmental and quasi-governmental permits, licenses, and authorizations that Tenant will and must obtain at its own expense, with the cooperation of Landlord, if necessary for the installation and operation of the Satellite Equipment, and (iii) an insurance policy or certificate of insurance evidencing insurance coverage as required by this Lease and any other insurance as reasonably required by Landlord for the installation and operation of the Satellite Equipment. Landlord shall not unreasonably withhold or delay its approval for the installation and operation of the Satellite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may reasonably withhold its approval if the installation or operation of the Satellite Equipment (A) may damage the structural integrity of the Building, (B) may void, terminate, or invalidate any applicable roof warranty, (C) may interfere with any service provided by Landlord or any tenant of the Project, (D) may reduce the leasable space in the Building on which Tenant would otherwise be paying Base Rent, or</w:t>
      </w:r>
    </w:p>
    <w:p>
      <w:pPr>
        <w:spacing w:after="0" w:line="5" w:lineRule="exact"/>
        <w:rPr>
          <w:rFonts w:ascii="Arial" w:cs="Arial" w:eastAsia="Arial" w:hAnsi="Arial"/>
          <w:sz w:val="16"/>
          <w:szCs w:val="16"/>
          <w:color w:val="auto"/>
        </w:rPr>
      </w:pPr>
    </w:p>
    <w:p>
      <w:pPr>
        <w:ind w:left="280" w:hanging="276"/>
        <w:spacing w:after="0"/>
        <w:tabs>
          <w:tab w:leader="none" w:pos="28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is not properly screened from the viewing public.</w:t>
      </w:r>
    </w:p>
    <w:p>
      <w:pPr>
        <w:sectPr>
          <w:pgSz w:w="11900" w:h="16838" w:orient="portrait"/>
          <w:cols w:equalWidth="0" w:num="1">
            <w:col w:w="11020"/>
          </w:cols>
          <w:pgMar w:left="440" w:top="270" w:right="439" w:bottom="1440" w:gutter="0" w:footer="0" w:header="0"/>
        </w:sectPr>
      </w:pPr>
    </w:p>
    <w:bookmarkStart w:id="724" w:name="page725"/>
    <w:bookmarkEnd w:id="72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66</w:t>
      </w:r>
    </w:p>
    <w:p>
      <w:pPr>
        <w:spacing w:after="0" w:line="158" w:lineRule="exact"/>
        <w:rPr>
          <w:sz w:val="20"/>
          <w:szCs w:val="20"/>
          <w:color w:val="auto"/>
        </w:rPr>
      </w:pPr>
    </w:p>
    <w:p>
      <w:pPr>
        <w:ind w:firstLine="444"/>
        <w:spacing w:after="0" w:line="289" w:lineRule="auto"/>
        <w:tabs>
          <w:tab w:leader="none" w:pos="695" w:val="left"/>
        </w:tabs>
        <w:numPr>
          <w:ilvl w:val="0"/>
          <w:numId w:val="627"/>
        </w:numPr>
        <w:rPr>
          <w:rFonts w:ascii="Arial" w:cs="Arial" w:eastAsia="Arial" w:hAnsi="Arial"/>
          <w:sz w:val="16"/>
          <w:szCs w:val="16"/>
          <w:color w:val="auto"/>
        </w:rPr>
      </w:pPr>
      <w:r>
        <w:rPr>
          <w:rFonts w:ascii="Arial" w:cs="Arial" w:eastAsia="Arial" w:hAnsi="Arial"/>
          <w:sz w:val="16"/>
          <w:szCs w:val="16"/>
          <w:b w:val="1"/>
          <w:bCs w:val="1"/>
          <w:color w:val="auto"/>
        </w:rPr>
        <w:t>No Damage to Roof</w:t>
      </w:r>
      <w:r>
        <w:rPr>
          <w:rFonts w:ascii="Arial" w:cs="Arial" w:eastAsia="Arial" w:hAnsi="Arial"/>
          <w:sz w:val="16"/>
          <w:szCs w:val="16"/>
          <w:color w:val="auto"/>
        </w:rPr>
        <w:t>. If installation of the Satellite Equipment requires Tenant to make any roof cuts or perform any other roofing work, such</w:t>
      </w:r>
      <w:r>
        <w:rPr>
          <w:rFonts w:ascii="Arial" w:cs="Arial" w:eastAsia="Arial" w:hAnsi="Arial"/>
          <w:sz w:val="16"/>
          <w:szCs w:val="16"/>
          <w:b w:val="1"/>
          <w:bCs w:val="1"/>
          <w:color w:val="auto"/>
        </w:rPr>
        <w:t xml:space="preserve"> </w:t>
      </w:r>
      <w:r>
        <w:rPr>
          <w:rFonts w:ascii="Arial" w:cs="Arial" w:eastAsia="Arial" w:hAnsi="Arial"/>
          <w:sz w:val="16"/>
          <w:szCs w:val="16"/>
          <w:color w:val="auto"/>
        </w:rPr>
        <w:t>cuts shall only be made to the roof area of the Building designated in writing by Landlord and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Satellite Equipment such damage shall be repaired promptly at Tenant’s expense and the roof shall be restored in the same condition it was in before the damage. Landlord shall not charge Tenant Additional Rent for the installation and use of the Satellite Equipment. If, however, Landlord’s insurance premium or Tax assessment increases as a result of the Satellite Equipment, Tenant shall pay such increase as Additional Rent within 10 after receipt of a reasonably detailed invoice from Landlord. Tenant shall not be entitled to any abatement or reduction in the amount of Rent payable under this Lease if for any reason Tenant is unable to use the Satellite Equipment. In no event whatsoever shall the installation, operation, maintenance, or removal of the Satellite Equipment by Tenant or its agents void, terminate, or invalidate any applicable roof warranty.</w:t>
      </w:r>
    </w:p>
    <w:p>
      <w:pPr>
        <w:spacing w:after="0" w:line="53" w:lineRule="exact"/>
        <w:rPr>
          <w:rFonts w:ascii="Arial" w:cs="Arial" w:eastAsia="Arial" w:hAnsi="Arial"/>
          <w:sz w:val="16"/>
          <w:szCs w:val="16"/>
          <w:color w:val="auto"/>
        </w:rPr>
      </w:pPr>
    </w:p>
    <w:p>
      <w:pPr>
        <w:jc w:val="both"/>
        <w:ind w:right="140" w:firstLine="444"/>
        <w:spacing w:after="0" w:line="261" w:lineRule="auto"/>
        <w:tabs>
          <w:tab w:leader="none" w:pos="685"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Protection</w:t>
      </w:r>
      <w:r>
        <w:rPr>
          <w:rFonts w:ascii="Arial" w:cs="Arial" w:eastAsia="Arial" w:hAnsi="Arial"/>
          <w:sz w:val="18"/>
          <w:szCs w:val="18"/>
          <w:color w:val="auto"/>
        </w:rPr>
        <w:t>. The installation, operation, and removal of the Satellite Equipment shall be at Tenant’s sole risk. Tenant shall indemnify, defend,</w:t>
      </w:r>
      <w:r>
        <w:rPr>
          <w:rFonts w:ascii="Arial" w:cs="Arial" w:eastAsia="Arial" w:hAnsi="Arial"/>
          <w:sz w:val="18"/>
          <w:szCs w:val="18"/>
          <w:b w:val="1"/>
          <w:bCs w:val="1"/>
          <w:color w:val="auto"/>
        </w:rPr>
        <w:t xml:space="preserve"> </w:t>
      </w:r>
      <w:r>
        <w:rPr>
          <w:rFonts w:ascii="Arial" w:cs="Arial" w:eastAsia="Arial" w:hAnsi="Arial"/>
          <w:sz w:val="18"/>
          <w:szCs w:val="18"/>
          <w:color w:val="auto"/>
        </w:rPr>
        <w:t>and hold Landlord harmless from and against any and all claims, costs, damages, liabilities and expenses (including, but not limited to, attorneys’ fees) of every kind and description that may arise out of or be connected in any way with Tenant’s installation, operation, or removal of the Satellite Equipment.</w:t>
      </w:r>
    </w:p>
    <w:p>
      <w:pPr>
        <w:spacing w:after="0" w:line="71" w:lineRule="exact"/>
        <w:rPr>
          <w:rFonts w:ascii="Arial" w:cs="Arial" w:eastAsia="Arial" w:hAnsi="Arial"/>
          <w:sz w:val="18"/>
          <w:szCs w:val="18"/>
          <w:color w:val="auto"/>
        </w:rPr>
      </w:pPr>
    </w:p>
    <w:p>
      <w:pPr>
        <w:ind w:right="100" w:firstLine="444"/>
        <w:spacing w:after="0" w:line="256" w:lineRule="auto"/>
        <w:tabs>
          <w:tab w:leader="none" w:pos="695"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At the expiration or earlier termination of this Lease or the discontinuance of the use of the Satellite Equipment by Tenant,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at its sole cost and expense, remove the Satellite Equipment from the Building. Tenant shall leave the portion of the roof where the Satellite Equipment was located in good order and repair, reasonable wear and tear excepted. If Tenant does not so remove the Satellite Equipment, Tenant hereby authorizes Landlord to remove and dispose of the Satellite Equipment and charge Tenant as Additional Rent for all costs and expenses incurred by Landlord in such removal and disposal. Tenant agrees that Landlord shall not be liable for any Satellite Equipment or related property disposed of or removed by Landlord.</w:t>
      </w:r>
    </w:p>
    <w:p>
      <w:pPr>
        <w:spacing w:after="0" w:line="79" w:lineRule="exact"/>
        <w:rPr>
          <w:rFonts w:ascii="Arial" w:cs="Arial" w:eastAsia="Arial" w:hAnsi="Arial"/>
          <w:sz w:val="18"/>
          <w:szCs w:val="18"/>
          <w:color w:val="auto"/>
        </w:rPr>
      </w:pPr>
    </w:p>
    <w:p>
      <w:pPr>
        <w:ind w:right="60" w:firstLine="444"/>
        <w:spacing w:after="0" w:line="282" w:lineRule="auto"/>
        <w:tabs>
          <w:tab w:leader="none" w:pos="685"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The Satellite Equipment shall not interfere with the proper functioning of any telecommunications equipment or devices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by Landlord or for any other tenant of the Project.</w:t>
      </w:r>
    </w:p>
    <w:p>
      <w:pPr>
        <w:spacing w:after="0" w:line="53" w:lineRule="exact"/>
        <w:rPr>
          <w:rFonts w:ascii="Arial" w:cs="Arial" w:eastAsia="Arial" w:hAnsi="Arial"/>
          <w:sz w:val="18"/>
          <w:szCs w:val="18"/>
          <w:color w:val="auto"/>
        </w:rPr>
      </w:pPr>
    </w:p>
    <w:p>
      <w:pPr>
        <w:ind w:right="80" w:firstLine="444"/>
        <w:spacing w:after="0" w:line="266" w:lineRule="auto"/>
        <w:tabs>
          <w:tab w:leader="none" w:pos="665"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Relocation</w:t>
      </w:r>
      <w:r>
        <w:rPr>
          <w:rFonts w:ascii="Arial" w:cs="Arial" w:eastAsia="Arial" w:hAnsi="Arial"/>
          <w:sz w:val="18"/>
          <w:szCs w:val="18"/>
          <w:color w:val="auto"/>
        </w:rPr>
        <w:t>. Landlord shall have the right, at its expense and after 60 days prior notice to Tenant, to relocate the Satellite Equipment 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site on the roof of the Building as long as such site reasonably meets Tenant’s sight line and interference requirements and does not unreasonably interfere with Tenant’s use and operation of the Satellite Equipment.</w:t>
      </w:r>
    </w:p>
    <w:p>
      <w:pPr>
        <w:sectPr>
          <w:pgSz w:w="11900" w:h="16838" w:orient="portrait"/>
          <w:cols w:equalWidth="0" w:num="1">
            <w:col w:w="11020"/>
          </w:cols>
          <w:pgMar w:left="440" w:top="270" w:right="439" w:bottom="1440" w:gutter="0" w:footer="0" w:header="0"/>
        </w:sectPr>
      </w:pPr>
    </w:p>
    <w:bookmarkStart w:id="725" w:name="page726"/>
    <w:bookmarkEnd w:id="72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67</w:t>
      </w:r>
    </w:p>
    <w:p>
      <w:pPr>
        <w:spacing w:after="0" w:line="158" w:lineRule="exact"/>
        <w:rPr>
          <w:sz w:val="20"/>
          <w:szCs w:val="20"/>
          <w:color w:val="auto"/>
        </w:rPr>
      </w:pPr>
    </w:p>
    <w:p>
      <w:pPr>
        <w:ind w:right="320" w:firstLine="444"/>
        <w:spacing w:after="0" w:line="281" w:lineRule="auto"/>
        <w:tabs>
          <w:tab w:leader="none" w:pos="695" w:val="left"/>
        </w:tabs>
        <w:numPr>
          <w:ilvl w:val="0"/>
          <w:numId w:val="628"/>
        </w:numPr>
        <w:rPr>
          <w:rFonts w:ascii="Arial" w:cs="Arial" w:eastAsia="Arial" w:hAnsi="Arial"/>
          <w:sz w:val="17"/>
          <w:szCs w:val="17"/>
          <w:color w:val="auto"/>
        </w:rPr>
      </w:pPr>
      <w:r>
        <w:rPr>
          <w:rFonts w:ascii="Arial" w:cs="Arial" w:eastAsia="Arial" w:hAnsi="Arial"/>
          <w:sz w:val="17"/>
          <w:szCs w:val="17"/>
          <w:b w:val="1"/>
          <w:bCs w:val="1"/>
          <w:color w:val="auto"/>
        </w:rPr>
        <w:t>Access</w:t>
      </w:r>
      <w:r>
        <w:rPr>
          <w:rFonts w:ascii="Arial" w:cs="Arial" w:eastAsia="Arial" w:hAnsi="Arial"/>
          <w:sz w:val="17"/>
          <w:szCs w:val="17"/>
          <w:color w:val="auto"/>
        </w:rPr>
        <w:t>. Landlord grants to Tenant the right of ingress and egress on a 24 hour 7 day per week basis to install, operate, and maintain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Satellite 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56" w:lineRule="exact"/>
        <w:rPr>
          <w:rFonts w:ascii="Arial" w:cs="Arial" w:eastAsia="Arial" w:hAnsi="Arial"/>
          <w:sz w:val="17"/>
          <w:szCs w:val="17"/>
          <w:color w:val="auto"/>
        </w:rPr>
      </w:pPr>
    </w:p>
    <w:p>
      <w:pPr>
        <w:ind w:right="40" w:firstLine="444"/>
        <w:spacing w:after="0" w:line="282" w:lineRule="auto"/>
        <w:tabs>
          <w:tab w:leader="none" w:pos="695" w:val="left"/>
        </w:tabs>
        <w:numPr>
          <w:ilvl w:val="0"/>
          <w:numId w:val="628"/>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Satellite Equipment shall be painted the same color as the Building so as to 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Satellite Equipment virtually invisible from ground level.</w:t>
      </w:r>
    </w:p>
    <w:p>
      <w:pPr>
        <w:spacing w:after="0" w:line="53" w:lineRule="exact"/>
        <w:rPr>
          <w:rFonts w:ascii="Arial" w:cs="Arial" w:eastAsia="Arial" w:hAnsi="Arial"/>
          <w:sz w:val="18"/>
          <w:szCs w:val="18"/>
          <w:color w:val="auto"/>
        </w:rPr>
      </w:pPr>
    </w:p>
    <w:p>
      <w:pPr>
        <w:ind w:right="60" w:firstLine="444"/>
        <w:spacing w:after="0" w:line="261" w:lineRule="auto"/>
        <w:tabs>
          <w:tab w:leader="none" w:pos="655" w:val="left"/>
        </w:tabs>
        <w:numPr>
          <w:ilvl w:val="0"/>
          <w:numId w:val="628"/>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The right of Tenant to use and operate the Satellite Equipment shall be personal solely to Tenant and any assignee subject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Assignment, and (i) no other person or entity shall have any right to use or operate the Satellite Equipment, and (ii) Tenant shall not assign, convey, or otherwise transfer to any person or entity any right, title, or interest in all or any portion of the Satellite Equipment or the use and operation thereof, other than in connection with a Permitted Assignment.</w:t>
      </w:r>
    </w:p>
    <w:p>
      <w:pPr>
        <w:spacing w:after="0" w:line="72" w:lineRule="exact"/>
        <w:rPr>
          <w:sz w:val="20"/>
          <w:szCs w:val="20"/>
          <w:color w:val="auto"/>
        </w:rPr>
      </w:pPr>
    </w:p>
    <w:p>
      <w:pPr>
        <w:ind w:left="720" w:hanging="276"/>
        <w:spacing w:after="0"/>
        <w:tabs>
          <w:tab w:leader="none" w:pos="720" w:val="left"/>
        </w:tabs>
        <w:numPr>
          <w:ilvl w:val="0"/>
          <w:numId w:val="62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44"/>
        <w:spacing w:after="0" w:line="261" w:lineRule="auto"/>
        <w:tabs>
          <w:tab w:leader="none" w:pos="685"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71" w:lineRule="exact"/>
        <w:rPr>
          <w:rFonts w:ascii="Arial" w:cs="Arial" w:eastAsia="Arial" w:hAnsi="Arial"/>
          <w:sz w:val="18"/>
          <w:szCs w:val="18"/>
          <w:color w:val="auto"/>
        </w:rPr>
      </w:pPr>
    </w:p>
    <w:p>
      <w:pPr>
        <w:ind w:right="440" w:firstLine="444"/>
        <w:spacing w:after="0" w:line="282" w:lineRule="auto"/>
        <w:tabs>
          <w:tab w:leader="none" w:pos="695"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53" w:lineRule="exact"/>
        <w:rPr>
          <w:rFonts w:ascii="Arial" w:cs="Arial" w:eastAsia="Arial" w:hAnsi="Arial"/>
          <w:sz w:val="18"/>
          <w:szCs w:val="18"/>
          <w:color w:val="auto"/>
        </w:rPr>
      </w:pPr>
    </w:p>
    <w:p>
      <w:pPr>
        <w:ind w:right="140" w:firstLine="444"/>
        <w:spacing w:after="0" w:line="292" w:lineRule="auto"/>
        <w:tabs>
          <w:tab w:leader="none" w:pos="685" w:val="left"/>
        </w:tabs>
        <w:numPr>
          <w:ilvl w:val="0"/>
          <w:numId w:val="630"/>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furnish Landlord with true and complete copies of (i) Tenant’s most recent audited annual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statements within 90 days of the end of each of Tenant’s fiscal years during the Term, (ii) Tenant’s most recent unaudited quarterly financial statements within 45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shall not apply.</w:t>
      </w:r>
    </w:p>
    <w:p>
      <w:pPr>
        <w:spacing w:after="0" w:line="53" w:lineRule="exact"/>
        <w:rPr>
          <w:rFonts w:ascii="Arial" w:cs="Arial" w:eastAsia="Arial" w:hAnsi="Arial"/>
          <w:sz w:val="16"/>
          <w:szCs w:val="16"/>
          <w:color w:val="auto"/>
        </w:rPr>
      </w:pPr>
    </w:p>
    <w:p>
      <w:pPr>
        <w:ind w:right="60" w:firstLine="444"/>
        <w:spacing w:after="0" w:line="258" w:lineRule="auto"/>
        <w:tabs>
          <w:tab w:leader="none" w:pos="695"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 Nothing contained in this Lease is intended to prohibit Tenant from filing this Lease to the extent that Tenant is required to do so pursuant to applicable SEC requirements; provided, however that Tenant shall seek confidential treatment from the SEC with respect to certain information contained in this Lease if requested to do so by Landlord at the time this Lease is executed.</w:t>
      </w:r>
    </w:p>
    <w:p>
      <w:pPr>
        <w:sectPr>
          <w:pgSz w:w="11900" w:h="16838" w:orient="portrait"/>
          <w:cols w:equalWidth="0" w:num="1">
            <w:col w:w="11020"/>
          </w:cols>
          <w:pgMar w:left="440" w:top="270" w:right="439" w:bottom="1440" w:gutter="0" w:footer="0" w:header="0"/>
        </w:sectPr>
      </w:pPr>
    </w:p>
    <w:bookmarkStart w:id="726" w:name="page727"/>
    <w:bookmarkEnd w:id="72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68</w:t>
      </w:r>
    </w:p>
    <w:p>
      <w:pPr>
        <w:spacing w:after="0" w:line="158" w:lineRule="exact"/>
        <w:rPr>
          <w:sz w:val="20"/>
          <w:szCs w:val="20"/>
          <w:color w:val="auto"/>
        </w:rPr>
      </w:pPr>
    </w:p>
    <w:p>
      <w:pPr>
        <w:ind w:firstLine="444"/>
        <w:spacing w:after="0" w:line="258" w:lineRule="auto"/>
        <w:tabs>
          <w:tab w:leader="none" w:pos="685"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5" w:lineRule="exact"/>
        <w:rPr>
          <w:rFonts w:ascii="Arial" w:cs="Arial" w:eastAsia="Arial" w:hAnsi="Arial"/>
          <w:sz w:val="18"/>
          <w:szCs w:val="18"/>
          <w:color w:val="auto"/>
        </w:rPr>
      </w:pPr>
    </w:p>
    <w:p>
      <w:pPr>
        <w:ind w:right="80" w:firstLine="444"/>
        <w:spacing w:after="0" w:line="347" w:lineRule="auto"/>
        <w:tabs>
          <w:tab w:leader="none" w:pos="665" w:val="left"/>
        </w:tabs>
        <w:numPr>
          <w:ilvl w:val="0"/>
          <w:numId w:val="631"/>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pacing w:after="0" w:line="8" w:lineRule="exact"/>
        <w:rPr>
          <w:rFonts w:ascii="Arial" w:cs="Arial" w:eastAsia="Arial" w:hAnsi="Arial"/>
          <w:sz w:val="16"/>
          <w:szCs w:val="16"/>
          <w:color w:val="auto"/>
        </w:rPr>
      </w:pPr>
    </w:p>
    <w:p>
      <w:pPr>
        <w:ind w:right="120" w:firstLine="444"/>
        <w:spacing w:after="0" w:line="273" w:lineRule="auto"/>
        <w:tabs>
          <w:tab w:leader="none" w:pos="695" w:val="left"/>
        </w:tabs>
        <w:numPr>
          <w:ilvl w:val="0"/>
          <w:numId w:val="631"/>
        </w:numPr>
        <w:rPr>
          <w:rFonts w:ascii="Arial" w:cs="Arial" w:eastAsia="Arial" w:hAnsi="Arial"/>
          <w:sz w:val="17"/>
          <w:szCs w:val="17"/>
          <w:color w:val="auto"/>
        </w:rPr>
      </w:pPr>
      <w:r>
        <w:rPr>
          <w:rFonts w:ascii="Arial" w:cs="Arial" w:eastAsia="Arial" w:hAnsi="Arial"/>
          <w:sz w:val="17"/>
          <w:szCs w:val="17"/>
          <w:b w:val="1"/>
          <w:bCs w:val="1"/>
          <w:color w:val="auto"/>
        </w:rPr>
        <w:t>Limitations on Interest</w:t>
      </w:r>
      <w:r>
        <w:rPr>
          <w:rFonts w:ascii="Arial" w:cs="Arial" w:eastAsia="Arial" w:hAnsi="Arial"/>
          <w:sz w:val="17"/>
          <w:szCs w:val="17"/>
          <w:color w:val="auto"/>
        </w:rPr>
        <w:t>. It is expressly the intent of Landlord and Tenant at all times to comply with applicable law governing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64" w:lineRule="exact"/>
        <w:rPr>
          <w:rFonts w:ascii="Arial" w:cs="Arial" w:eastAsia="Arial" w:hAnsi="Arial"/>
          <w:sz w:val="17"/>
          <w:szCs w:val="17"/>
          <w:color w:val="auto"/>
        </w:rPr>
      </w:pPr>
    </w:p>
    <w:p>
      <w:pPr>
        <w:ind w:right="400" w:firstLine="444"/>
        <w:spacing w:after="0" w:line="282" w:lineRule="auto"/>
        <w:tabs>
          <w:tab w:leader="none" w:pos="695"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excluding any principles of conflicts of laws.</w:t>
      </w:r>
    </w:p>
    <w:p>
      <w:pPr>
        <w:spacing w:after="0" w:line="53" w:lineRule="exact"/>
        <w:rPr>
          <w:rFonts w:ascii="Arial" w:cs="Arial" w:eastAsia="Arial" w:hAnsi="Arial"/>
          <w:sz w:val="18"/>
          <w:szCs w:val="18"/>
          <w:color w:val="auto"/>
        </w:rPr>
      </w:pPr>
    </w:p>
    <w:p>
      <w:pPr>
        <w:ind w:left="660" w:hanging="216"/>
        <w:spacing w:after="0"/>
        <w:tabs>
          <w:tab w:leader="none" w:pos="66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and Landlord’s obligations under this Lease.</w:t>
      </w:r>
    </w:p>
    <w:p>
      <w:pPr>
        <w:spacing w:after="0" w:line="117" w:lineRule="exact"/>
        <w:rPr>
          <w:rFonts w:ascii="Arial" w:cs="Arial" w:eastAsia="Arial" w:hAnsi="Arial"/>
          <w:sz w:val="18"/>
          <w:szCs w:val="18"/>
          <w:color w:val="auto"/>
        </w:rPr>
      </w:pPr>
    </w:p>
    <w:p>
      <w:pPr>
        <w:ind w:firstLine="444"/>
        <w:spacing w:after="0" w:line="256" w:lineRule="auto"/>
        <w:tabs>
          <w:tab w:leader="none" w:pos="655"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is currently (a) in compliance with and shall at all times during the Term of this Lease remain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79" w:lineRule="exact"/>
        <w:rPr>
          <w:rFonts w:ascii="Arial" w:cs="Arial" w:eastAsia="Arial" w:hAnsi="Arial"/>
          <w:sz w:val="18"/>
          <w:szCs w:val="18"/>
          <w:color w:val="auto"/>
        </w:rPr>
      </w:pPr>
    </w:p>
    <w:p>
      <w:pPr>
        <w:ind w:right="20" w:firstLine="444"/>
        <w:spacing w:after="0" w:line="282" w:lineRule="auto"/>
        <w:tabs>
          <w:tab w:leader="none" w:pos="695"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any conflict between such exhibits or addenda and the terms of this Lease, such exhibits or addenda shall control.</w:t>
      </w:r>
    </w:p>
    <w:p>
      <w:pPr>
        <w:sectPr>
          <w:pgSz w:w="11900" w:h="16838" w:orient="portrait"/>
          <w:cols w:equalWidth="0" w:num="1">
            <w:col w:w="11020"/>
          </w:cols>
          <w:pgMar w:left="440" w:top="271" w:right="439" w:bottom="1440" w:gutter="0" w:footer="0" w:header="0"/>
        </w:sectPr>
      </w:pPr>
    </w:p>
    <w:bookmarkStart w:id="727" w:name="page728"/>
    <w:bookmarkEnd w:id="72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69</w:t>
      </w:r>
    </w:p>
    <w:p>
      <w:pPr>
        <w:spacing w:after="0" w:line="158" w:lineRule="exact"/>
        <w:rPr>
          <w:sz w:val="20"/>
          <w:szCs w:val="20"/>
          <w:color w:val="auto"/>
        </w:rPr>
      </w:pPr>
    </w:p>
    <w:p>
      <w:pPr>
        <w:ind w:right="180" w:firstLine="444"/>
        <w:spacing w:after="0" w:line="281" w:lineRule="auto"/>
        <w:tabs>
          <w:tab w:leader="none" w:pos="655" w:val="left"/>
        </w:tabs>
        <w:numPr>
          <w:ilvl w:val="0"/>
          <w:numId w:val="632"/>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Lease, including the exhibits attached hereto, constitutes the entire agreement between Landlord and Tenant</w:t>
      </w:r>
      <w:r>
        <w:rPr>
          <w:rFonts w:ascii="Arial" w:cs="Arial" w:eastAsia="Arial" w:hAnsi="Arial"/>
          <w:sz w:val="17"/>
          <w:szCs w:val="17"/>
          <w:b w:val="1"/>
          <w:bCs w:val="1"/>
          <w:color w:val="auto"/>
        </w:rPr>
        <w:t xml:space="preserve"> </w:t>
      </w:r>
      <w:r>
        <w:rPr>
          <w:rFonts w:ascii="Arial" w:cs="Arial" w:eastAsia="Arial" w:hAnsi="Arial"/>
          <w:sz w:val="17"/>
          <w:szCs w:val="17"/>
          <w:color w:val="auto"/>
        </w:rPr>
        <w:t>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56" w:lineRule="exact"/>
        <w:rPr>
          <w:rFonts w:ascii="Arial" w:cs="Arial" w:eastAsia="Arial" w:hAnsi="Arial"/>
          <w:sz w:val="17"/>
          <w:szCs w:val="17"/>
          <w:color w:val="auto"/>
        </w:rPr>
      </w:pPr>
    </w:p>
    <w:p>
      <w:pPr>
        <w:ind w:right="140" w:firstLine="444"/>
        <w:spacing w:after="0" w:line="303" w:lineRule="auto"/>
        <w:tabs>
          <w:tab w:leader="none" w:pos="745" w:val="left"/>
        </w:tabs>
        <w:numPr>
          <w:ilvl w:val="0"/>
          <w:numId w:val="632"/>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 Rent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43" w:lineRule="exact"/>
        <w:rPr>
          <w:rFonts w:ascii="Arial" w:cs="Arial" w:eastAsia="Arial" w:hAnsi="Arial"/>
          <w:sz w:val="16"/>
          <w:szCs w:val="16"/>
          <w:color w:val="auto"/>
        </w:rPr>
      </w:pPr>
    </w:p>
    <w:p>
      <w:pPr>
        <w:ind w:right="220" w:firstLine="444"/>
        <w:spacing w:after="0" w:line="256" w:lineRule="auto"/>
        <w:tabs>
          <w:tab w:leader="none" w:pos="695" w:val="left"/>
        </w:tabs>
        <w:numPr>
          <w:ilvl w:val="0"/>
          <w:numId w:val="632"/>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79" w:lineRule="exact"/>
        <w:rPr>
          <w:rFonts w:ascii="Arial" w:cs="Arial" w:eastAsia="Arial" w:hAnsi="Arial"/>
          <w:sz w:val="18"/>
          <w:szCs w:val="18"/>
          <w:color w:val="auto"/>
        </w:rPr>
      </w:pPr>
    </w:p>
    <w:p>
      <w:pPr>
        <w:ind w:firstLine="444"/>
        <w:spacing w:after="0" w:line="268" w:lineRule="auto"/>
        <w:tabs>
          <w:tab w:leader="none" w:pos="695" w:val="left"/>
        </w:tabs>
        <w:numPr>
          <w:ilvl w:val="0"/>
          <w:numId w:val="632"/>
        </w:numPr>
        <w:rPr>
          <w:rFonts w:ascii="Arial" w:cs="Arial" w:eastAsia="Arial" w:hAnsi="Arial"/>
          <w:sz w:val="17"/>
          <w:szCs w:val="17"/>
          <w:color w:val="auto"/>
        </w:rPr>
      </w:pPr>
      <w:r>
        <w:rPr>
          <w:rFonts w:ascii="Arial" w:cs="Arial" w:eastAsia="Arial" w:hAnsi="Arial"/>
          <w:sz w:val="17"/>
          <w:szCs w:val="17"/>
          <w:b w:val="1"/>
          <w:bCs w:val="1"/>
          <w:color w:val="auto"/>
        </w:rPr>
        <w:t>Redevelopment of Project</w:t>
      </w:r>
      <w:r>
        <w:rPr>
          <w:rFonts w:ascii="Arial" w:cs="Arial" w:eastAsia="Arial" w:hAnsi="Arial"/>
          <w:sz w:val="17"/>
          <w:szCs w:val="17"/>
          <w:color w:val="auto"/>
        </w:rPr>
        <w:t>. Tenant acknowledges that Landlord, in its sole discretion, may from time to time expand, renovate and/or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Landlord shall not change the size, dimensions, location or Tenant’s Permitted Use of the Premises and Landlord will not expand and/or reconfigure the Building during the Term of this Lease. Landlord shall use reasonable efforts to cause the redevelopment contemplated pursuant to this </w:t>
      </w:r>
      <w:r>
        <w:rPr>
          <w:rFonts w:ascii="Arial" w:cs="Arial" w:eastAsia="Arial" w:hAnsi="Arial"/>
          <w:sz w:val="17"/>
          <w:szCs w:val="17"/>
          <w:u w:val="single" w:color="auto"/>
          <w:color w:val="auto"/>
        </w:rPr>
        <w:t>Section 44(o)</w:t>
      </w:r>
      <w:r>
        <w:rPr>
          <w:rFonts w:ascii="Arial" w:cs="Arial" w:eastAsia="Arial" w:hAnsi="Arial"/>
          <w:sz w:val="17"/>
          <w:szCs w:val="17"/>
          <w:color w:val="auto"/>
        </w:rPr>
        <w:t xml:space="preserve"> to be performed in a manner that does not materially and adversely affect Tenant’s beneficial use and occupancy of the Premises and/or access to or use of parking at the Project, other than on a temporary basis while construction and related work may be ongoing. No expansion, renovation and/or reconfiguring of the Project pursuant to this paragraph will result in Tenant having fewer parking spaces available for its use other than on a temporary basis while construction and related work may be ongoing, and during such periods Landlord shall provide substitute parking in reasonable proximity to the Project.</w:t>
      </w:r>
    </w:p>
    <w:p>
      <w:pPr>
        <w:sectPr>
          <w:pgSz w:w="11900" w:h="16838" w:orient="portrait"/>
          <w:cols w:equalWidth="0" w:num="1">
            <w:col w:w="11020"/>
          </w:cols>
          <w:pgMar w:left="440" w:top="270" w:right="439" w:bottom="1440" w:gutter="0" w:footer="0" w:header="0"/>
        </w:sectPr>
      </w:pPr>
    </w:p>
    <w:bookmarkStart w:id="728" w:name="page729"/>
    <w:bookmarkEnd w:id="72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70</w:t>
      </w:r>
    </w:p>
    <w:p>
      <w:pPr>
        <w:spacing w:after="0" w:line="158" w:lineRule="exact"/>
        <w:rPr>
          <w:sz w:val="20"/>
          <w:szCs w:val="20"/>
          <w:color w:val="auto"/>
        </w:rPr>
      </w:pPr>
    </w:p>
    <w:p>
      <w:pPr>
        <w:ind w:right="100" w:firstLine="444"/>
        <w:spacing w:after="0" w:line="256" w:lineRule="auto"/>
        <w:tabs>
          <w:tab w:leader="none" w:pos="695" w:val="left"/>
        </w:tabs>
        <w:numPr>
          <w:ilvl w:val="0"/>
          <w:numId w:val="633"/>
        </w:numPr>
        <w:rPr>
          <w:rFonts w:ascii="Arial" w:cs="Arial" w:eastAsia="Arial" w:hAnsi="Arial"/>
          <w:sz w:val="18"/>
          <w:szCs w:val="18"/>
          <w:color w:val="auto"/>
        </w:rPr>
      </w:pPr>
      <w:r>
        <w:rPr>
          <w:rFonts w:ascii="Arial" w:cs="Arial" w:eastAsia="Arial" w:hAnsi="Arial"/>
          <w:sz w:val="18"/>
          <w:szCs w:val="18"/>
          <w:b w:val="1"/>
          <w:bCs w:val="1"/>
          <w:color w:val="auto"/>
        </w:rPr>
        <w:t>Discontinued Use</w:t>
      </w:r>
      <w:r>
        <w:rPr>
          <w:rFonts w:ascii="Arial" w:cs="Arial" w:eastAsia="Arial" w:hAnsi="Arial"/>
          <w:sz w:val="18"/>
          <w:szCs w:val="18"/>
          <w:color w:val="auto"/>
        </w:rPr>
        <w:t>. If, at any time following the Rent Commencement Date, Tenant does not continuously operate its business in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180 consecutive days, Landlord may, but is not obligated to, elect to terminate this Lease upon 30 days’ written notice to Tenant, whereupon this Lease shall terminate 30 days’ after Landlord’s delivery of such written notice (“</w:t>
      </w:r>
      <w:r>
        <w:rPr>
          <w:rFonts w:ascii="Arial" w:cs="Arial" w:eastAsia="Arial" w:hAnsi="Arial"/>
          <w:sz w:val="18"/>
          <w:szCs w:val="18"/>
          <w:b w:val="1"/>
          <w:bCs w:val="1"/>
          <w:color w:val="auto"/>
        </w:rPr>
        <w:t>Termination Date</w:t>
      </w:r>
      <w:r>
        <w:rPr>
          <w:rFonts w:ascii="Arial" w:cs="Arial" w:eastAsia="Arial" w:hAnsi="Arial"/>
          <w:sz w:val="18"/>
          <w:szCs w:val="18"/>
          <w:color w:val="auto"/>
        </w:rPr>
        <w:t>”), and Tenant shall vacate the Premises and deliver possession thereof to Landlord in the condition required by the terms of this Lease on or before the Termination Date and Tenant shall have no further obligations under this Lease except for those accruing prior to the Termination Date and those which, pursuant to the terms of the Lease, survive the expiration or early termination of the Lease.</w:t>
      </w:r>
    </w:p>
    <w:p>
      <w:pPr>
        <w:spacing w:after="0" w:line="79" w:lineRule="exact"/>
        <w:rPr>
          <w:rFonts w:ascii="Arial" w:cs="Arial" w:eastAsia="Arial" w:hAnsi="Arial"/>
          <w:sz w:val="18"/>
          <w:szCs w:val="18"/>
          <w:color w:val="auto"/>
        </w:rPr>
      </w:pPr>
    </w:p>
    <w:p>
      <w:pPr>
        <w:jc w:val="both"/>
        <w:ind w:right="60" w:firstLine="444"/>
        <w:spacing w:after="0" w:line="266" w:lineRule="auto"/>
        <w:tabs>
          <w:tab w:leader="none" w:pos="695" w:val="left"/>
        </w:tabs>
        <w:numPr>
          <w:ilvl w:val="0"/>
          <w:numId w:val="633"/>
        </w:numPr>
        <w:rPr>
          <w:rFonts w:ascii="Arial" w:cs="Arial" w:eastAsia="Arial" w:hAnsi="Arial"/>
          <w:sz w:val="18"/>
          <w:szCs w:val="18"/>
          <w:color w:val="auto"/>
        </w:rPr>
      </w:pPr>
      <w:r>
        <w:rPr>
          <w:rFonts w:ascii="Arial" w:cs="Arial" w:eastAsia="Arial" w:hAnsi="Arial"/>
          <w:sz w:val="18"/>
          <w:szCs w:val="18"/>
          <w:b w:val="1"/>
          <w:bCs w:val="1"/>
          <w:color w:val="auto"/>
        </w:rPr>
        <w:t>Attorneys’ Fees</w:t>
      </w:r>
      <w:r>
        <w:rPr>
          <w:rFonts w:ascii="Arial" w:cs="Arial" w:eastAsia="Arial" w:hAnsi="Arial"/>
          <w:sz w:val="18"/>
          <w:szCs w:val="18"/>
          <w:color w:val="auto"/>
        </w:rPr>
        <w:t>. If a dispute of arises or an action is filed under this Lease or this Lease gives rise to any other legal proceeding between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hereto, the prevailing party shall be entitled to recover from the losing party reasonable attorneys’ fees, costs and expenses. The prevailing party shall also be entitled to attorneys’ fees and costs after any dismissal of an action.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ectPr>
          <w:pgSz w:w="11900" w:h="16838" w:orient="portrait"/>
          <w:cols w:equalWidth="0" w:num="1">
            <w:col w:w="11020"/>
          </w:cols>
          <w:pgMar w:left="440" w:top="271" w:right="439" w:bottom="1440" w:gutter="0" w:footer="0" w:header="0"/>
        </w:sectPr>
      </w:pPr>
    </w:p>
    <w:bookmarkStart w:id="729" w:name="page730"/>
    <w:bookmarkEnd w:id="72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Laboratory</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71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MEDICINES COMPANY,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ARE-SD REGION NO. 35,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By: ALEXANDRIA REAL ESTATE EQUITIES, L.P.,</w:t>
      </w:r>
    </w:p>
    <w:p>
      <w:pPr>
        <w:spacing w:after="0" w:line="27"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a Delaware limited partnership, managing member</w:t>
      </w:r>
    </w:p>
    <w:p>
      <w:pPr>
        <w:spacing w:after="0" w:line="211" w:lineRule="exact"/>
        <w:rPr>
          <w:sz w:val="20"/>
          <w:szCs w:val="20"/>
          <w:color w:val="auto"/>
        </w:rPr>
      </w:pPr>
    </w:p>
    <w:p>
      <w:pPr>
        <w:ind w:left="708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ARE-QRS CORP.,</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4970145</wp:posOffset>
            </wp:positionH>
            <wp:positionV relativeFrom="paragraph">
              <wp:posOffset>-10160</wp:posOffset>
            </wp:positionV>
            <wp:extent cx="180022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126365</wp:posOffset>
            </wp:positionV>
            <wp:extent cx="28575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-10160</wp:posOffset>
            </wp:positionV>
            <wp:extent cx="177165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771650"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126365</wp:posOffset>
            </wp:positionV>
            <wp:extent cx="3429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1020"/>
          </w:cols>
          <w:pgMar w:left="440" w:top="271" w:right="439" w:bottom="1440" w:gutter="0" w:footer="0" w:header="0"/>
        </w:sectPr>
      </w:pPr>
    </w:p>
    <w:bookmarkStart w:id="730" w:name="page731"/>
    <w:bookmarkEnd w:id="7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3013 Science Park/The Medicines Company - Page </w:t>
      </w:r>
      <w:r>
        <w:rPr>
          <w:rFonts w:ascii="Arial" w:cs="Arial" w:eastAsia="Arial" w:hAnsi="Arial"/>
          <w:sz w:val="18"/>
          <w:szCs w:val="18"/>
          <w:color w:val="auto"/>
        </w:rPr>
        <w:t>1</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EXHIBIT A TO LEASE</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171450</wp:posOffset>
            </wp:positionV>
            <wp:extent cx="4142105" cy="69037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4142105" cy="690372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731" w:name="page732"/>
    <w:bookmarkEnd w:id="731"/>
    <w:p>
      <w:pPr>
        <w:ind w:left="6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3013 Science Park/The Medicines Company - Page </w:t>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127000</wp:posOffset>
            </wp:positionV>
            <wp:extent cx="4536440" cy="739267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4536440" cy="739267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732" w:name="page733"/>
    <w:bookmarkEnd w:id="7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3013 Science Park/The Medicines Company - Page </w:t>
      </w:r>
      <w:r>
        <w:rPr>
          <w:rFonts w:ascii="Arial" w:cs="Arial" w:eastAsia="Arial" w:hAnsi="Arial"/>
          <w:sz w:val="18"/>
          <w:szCs w:val="18"/>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LAND REFERRED TO HEREIN BELOW IS SITUATED IN THE COUNTY OF LOS ANGELES, STATE OF CALIFORNIA. AND IS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PARCEL 2 OF PARCEL MAP NO. </w:t>
      </w:r>
      <w:r>
        <w:rPr>
          <w:rFonts w:ascii="Arial" w:cs="Arial" w:eastAsia="Arial" w:hAnsi="Arial"/>
          <w:sz w:val="18"/>
          <w:szCs w:val="18"/>
          <w:u w:val="single" w:color="auto"/>
          <w:color w:val="auto"/>
        </w:rPr>
        <w:t>2411</w:t>
      </w:r>
      <w:r>
        <w:rPr>
          <w:rFonts w:ascii="Arial" w:cs="Arial" w:eastAsia="Arial" w:hAnsi="Arial"/>
          <w:sz w:val="18"/>
          <w:szCs w:val="18"/>
          <w:color w:val="auto"/>
        </w:rPr>
        <w:t>, IN THE CITY OF SAN DIEGO, COUNTY OF SAN DIEGO, STATE OF CALIFORNIA, FILED IN THE OFFICE OF THE COUNTY RECORDER OF SAN DIEGO COUNTY ON MARCH 4, 1974.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LOT 4, TORREY PINES SCIENCE PARK, UNIT NO. 1, IN THE CITY OF SAN DIEGO, COUNTY OF SAN DIEGO, STATE OF CALIFORNIA, ACCORDING TO MAP THEREOF NO. </w:t>
      </w:r>
      <w:r>
        <w:rPr>
          <w:rFonts w:ascii="Arial" w:cs="Arial" w:eastAsia="Arial" w:hAnsi="Arial"/>
          <w:sz w:val="18"/>
          <w:szCs w:val="18"/>
          <w:u w:val="single" w:color="auto"/>
          <w:color w:val="auto"/>
        </w:rPr>
        <w:t>6229</w:t>
      </w:r>
      <w:r>
        <w:rPr>
          <w:rFonts w:ascii="Arial" w:cs="Arial" w:eastAsia="Arial" w:hAnsi="Arial"/>
          <w:sz w:val="18"/>
          <w:szCs w:val="18"/>
          <w:color w:val="auto"/>
        </w:rPr>
        <w:t xml:space="preserve"> FILED NOVEMBER 21, 1968 IN THE OFFICE OF THE COUNTY RECORDER OF SAN DIEGO COUNTY.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DESCRIBED PORTION OF SAID LOT 4:</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COMMENCING AT THE INTERSECTION OF THE CENTER LINE OF TORREY ANA ROAD, 60.00 FEET WIDE AS LOCATED AND ESTABLISHED AS OF THE DATE OF THIS INSTRUMENT, WITH THE CENTER LINE OF SCIENCE PARK ROAD, 70.00 FEET WIDE AS LOCATED AND ESTABLISHED AS OF THE DATE OF THIS INSTRUMENT; THENCE WESTERLY ALONG SAID CENTER LINE OF SCIENCE PARK ROAD, A DISTANCE OF 73.44 FEET TO A WESTERLY CORNER OF TORREY PINES SCIENCE PARK UNIT NO. 2, ACCORDING TO MAP THEREOF NO. </w:t>
      </w:r>
      <w:r>
        <w:rPr>
          <w:rFonts w:ascii="Arial" w:cs="Arial" w:eastAsia="Arial" w:hAnsi="Arial"/>
          <w:sz w:val="17"/>
          <w:szCs w:val="17"/>
          <w:u w:val="single" w:color="auto"/>
          <w:color w:val="auto"/>
        </w:rPr>
        <w:t>8434</w:t>
      </w:r>
      <w:r>
        <w:rPr>
          <w:rFonts w:ascii="Arial" w:cs="Arial" w:eastAsia="Arial" w:hAnsi="Arial"/>
          <w:sz w:val="17"/>
          <w:szCs w:val="17"/>
          <w:color w:val="auto"/>
        </w:rPr>
        <w:t xml:space="preserve">, FILED THE OFFICE OF THE COUNTY RECORDER OF SAN DIEGO COUNTY, SAID DISTANCE WAS ESTABLISHED BY THE FILING OF MAP NO. </w:t>
      </w:r>
      <w:r>
        <w:rPr>
          <w:rFonts w:ascii="Arial" w:cs="Arial" w:eastAsia="Arial" w:hAnsi="Arial"/>
          <w:sz w:val="17"/>
          <w:szCs w:val="17"/>
          <w:u w:val="single" w:color="auto"/>
          <w:color w:val="auto"/>
        </w:rPr>
        <w:t>8434</w:t>
      </w:r>
      <w:r>
        <w:rPr>
          <w:rFonts w:ascii="Arial" w:cs="Arial" w:eastAsia="Arial" w:hAnsi="Arial"/>
          <w:sz w:val="17"/>
          <w:szCs w:val="17"/>
          <w:color w:val="auto"/>
        </w:rPr>
        <w:t xml:space="preserve">; THENCE SOUTHERLY ALONG A WESTERLY BOUNDARY OF SAID MAP NO. </w:t>
      </w:r>
      <w:r>
        <w:rPr>
          <w:rFonts w:ascii="Arial" w:cs="Arial" w:eastAsia="Arial" w:hAnsi="Arial"/>
          <w:sz w:val="17"/>
          <w:szCs w:val="17"/>
          <w:u w:val="single" w:color="auto"/>
          <w:color w:val="auto"/>
        </w:rPr>
        <w:t>8434</w:t>
      </w:r>
      <w:r>
        <w:rPr>
          <w:rFonts w:ascii="Arial" w:cs="Arial" w:eastAsia="Arial" w:hAnsi="Arial"/>
          <w:sz w:val="17"/>
          <w:szCs w:val="17"/>
          <w:color w:val="auto"/>
        </w:rPr>
        <w:t xml:space="preserve"> TO AN INTERSECTION WITH THE SOUTHERLY LINE OF SAID SCIENCE PARK ROAD, SAID POINT OF INTERSECTION BEING A POINT ON THE ARC OF A 965.17 FOOT RADIUS CURVE, CONCAVE SOUTHERLY, AND BEING ALSO THE TRUE POINT OF BEGINNING; THENCE WESTERLY ALONG THE ARC OF SAID CURVE, THROUGH A CENTRAL ANGLE OF 00°56’47”, AN ARC DISTANCE OF 15.94 FEET TO A POINT WITH THE ARC OF S 65.00 FOOT RADIUS CURVE, CONCAVE SOUTHWESTERLY, A RADIAL TO SAID POINT BEARS NORTH 07°04’52” EAST; THENCE SOUTHEASTERLY ALONG THE ARC OF SAID CURVE, THROUGH A CENTRAL ANGLE OF 14°10’09”,</w:t>
      </w:r>
    </w:p>
    <w:p>
      <w:pPr>
        <w:spacing w:after="0" w:line="8"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 xml:space="preserve">AN ARC DISTANCE OF 16.07 FEET TO AN INTERSECTION WITH SAID WESTERLY BOUNDARY LINE OF MAP NO. </w:t>
      </w:r>
      <w:r>
        <w:rPr>
          <w:rFonts w:ascii="Arial" w:cs="Arial" w:eastAsia="Arial" w:hAnsi="Arial"/>
          <w:sz w:val="17"/>
          <w:szCs w:val="17"/>
          <w:u w:val="single" w:color="auto"/>
          <w:color w:val="auto"/>
        </w:rPr>
        <w:t>8434</w:t>
      </w:r>
      <w:r>
        <w:rPr>
          <w:rFonts w:ascii="Arial" w:cs="Arial" w:eastAsia="Arial" w:hAnsi="Arial"/>
          <w:sz w:val="17"/>
          <w:szCs w:val="17"/>
          <w:color w:val="auto"/>
        </w:rPr>
        <w:t>; THENCE ALONG SAID WESTERLY BOUNDARY LINE, NORTH 08°00’37” EAST, 1.85 FEET RETURNING TO THE TRUE POINT OF BEGINNING.</w:t>
      </w:r>
    </w:p>
    <w:p>
      <w:pPr>
        <w:sectPr>
          <w:pgSz w:w="11900" w:h="16838" w:orient="portrait"/>
          <w:cols w:equalWidth="0" w:num="1">
            <w:col w:w="11020"/>
          </w:cols>
          <w:pgMar w:left="440" w:top="270" w:right="439" w:bottom="1440" w:gutter="0" w:footer="0" w:header="0"/>
        </w:sectPr>
      </w:pPr>
    </w:p>
    <w:bookmarkStart w:id="733" w:name="page734"/>
    <w:bookmarkEnd w:id="733"/>
    <w:p>
      <w:pPr>
        <w:ind w:left="6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3013 Science Park/The Medicines Company - Page </w:t>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126365</wp:posOffset>
            </wp:positionV>
            <wp:extent cx="4587875" cy="739267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4587875" cy="739267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734" w:name="page735"/>
    <w:bookmarkEnd w:id="734"/>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THIS WORK LETTER dated September ___, 2014 (this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ARE-SD REGION NO. 35,</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THE MEDICINES COMPANY</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and is attached to</w:t>
      </w:r>
      <w:r>
        <w:rPr>
          <w:rFonts w:ascii="Arial" w:cs="Arial" w:eastAsia="Arial" w:hAnsi="Arial"/>
          <w:sz w:val="18"/>
          <w:szCs w:val="18"/>
          <w:b w:val="1"/>
          <w:bCs w:val="1"/>
          <w:color w:val="auto"/>
        </w:rPr>
        <w:t xml:space="preserve"> </w:t>
      </w:r>
      <w:r>
        <w:rPr>
          <w:rFonts w:ascii="Arial" w:cs="Arial" w:eastAsia="Arial" w:hAnsi="Arial"/>
          <w:sz w:val="18"/>
          <w:szCs w:val="18"/>
          <w:color w:val="auto"/>
        </w:rPr>
        <w:t>and made a part of the Lease Agreement dated September __, 2014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80" w:lineRule="exact"/>
        <w:rPr>
          <w:sz w:val="20"/>
          <w:szCs w:val="20"/>
          <w:color w:val="auto"/>
        </w:rPr>
      </w:pPr>
    </w:p>
    <w:p>
      <w:pPr>
        <w:ind w:left="620" w:hanging="176"/>
        <w:spacing w:after="0"/>
        <w:tabs>
          <w:tab w:leader="none" w:pos="620" w:val="left"/>
        </w:tabs>
        <w:numPr>
          <w:ilvl w:val="0"/>
          <w:numId w:val="634"/>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25" w:lineRule="exact"/>
        <w:rPr>
          <w:sz w:val="20"/>
          <w:szCs w:val="20"/>
          <w:color w:val="auto"/>
        </w:rPr>
      </w:pPr>
    </w:p>
    <w:p>
      <w:pPr>
        <w:ind w:right="100" w:firstLine="444"/>
        <w:spacing w:after="0" w:line="298" w:lineRule="auto"/>
        <w:tabs>
          <w:tab w:leader="none" w:pos="685"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Eric Loumeau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 authorized to act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54" w:lineRule="exact"/>
        <w:rPr>
          <w:rFonts w:ascii="Arial" w:cs="Arial" w:eastAsia="Arial" w:hAnsi="Arial"/>
          <w:sz w:val="16"/>
          <w:szCs w:val="16"/>
          <w:color w:val="auto"/>
        </w:rPr>
      </w:pPr>
    </w:p>
    <w:p>
      <w:pPr>
        <w:ind w:right="40" w:firstLine="444"/>
        <w:spacing w:after="0" w:line="256" w:lineRule="auto"/>
        <w:tabs>
          <w:tab w:leader="none" w:pos="695"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Jeff Hughson and Stu Berry (either such 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87" w:lineRule="exact"/>
        <w:rPr>
          <w:rFonts w:ascii="Arial" w:cs="Arial" w:eastAsia="Arial" w:hAnsi="Arial"/>
          <w:sz w:val="18"/>
          <w:szCs w:val="18"/>
          <w:color w:val="auto"/>
        </w:rPr>
      </w:pPr>
    </w:p>
    <w:p>
      <w:pPr>
        <w:ind w:right="40" w:firstLine="444"/>
        <w:spacing w:after="0" w:line="287" w:lineRule="auto"/>
        <w:tabs>
          <w:tab w:leader="none" w:pos="685"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Architects, Consultants and Contractors</w:t>
      </w:r>
      <w:r>
        <w:rPr>
          <w:rFonts w:ascii="Arial" w:cs="Arial" w:eastAsia="Arial" w:hAnsi="Arial"/>
          <w:sz w:val="16"/>
          <w:szCs w:val="16"/>
          <w:color w:val="auto"/>
        </w:rPr>
        <w:t>. Landlord and Tenant hereby acknowledge and agree that: (i) DGA shall be the architect (the “</w:t>
      </w:r>
      <w:r>
        <w:rPr>
          <w:rFonts w:ascii="Arial" w:cs="Arial" w:eastAsia="Arial" w:hAnsi="Arial"/>
          <w:sz w:val="16"/>
          <w:szCs w:val="16"/>
          <w:b w:val="1"/>
          <w:bCs w:val="1"/>
          <w:color w:val="auto"/>
        </w:rPr>
        <w:t>TI Architect</w:t>
      </w:r>
      <w:r>
        <w:rPr>
          <w:rFonts w:ascii="Arial" w:cs="Arial" w:eastAsia="Arial" w:hAnsi="Arial"/>
          <w:sz w:val="16"/>
          <w:szCs w:val="16"/>
          <w:color w:val="auto"/>
        </w:rPr>
        <w:t>”) for the Tenant Improvements, (ii) DPR Construction shall be the general contractor (the “</w:t>
      </w:r>
      <w:r>
        <w:rPr>
          <w:rFonts w:ascii="Arial" w:cs="Arial" w:eastAsia="Arial" w:hAnsi="Arial"/>
          <w:sz w:val="16"/>
          <w:szCs w:val="16"/>
          <w:b w:val="1"/>
          <w:bCs w:val="1"/>
          <w:color w:val="auto"/>
        </w:rPr>
        <w:t>General Contractor</w:t>
      </w:r>
      <w:r>
        <w:rPr>
          <w:rFonts w:ascii="Arial" w:cs="Arial" w:eastAsia="Arial" w:hAnsi="Arial"/>
          <w:sz w:val="16"/>
          <w:szCs w:val="16"/>
          <w:color w:val="auto"/>
        </w:rPr>
        <w:t>”) for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and (iii) any subcontractors for the Tenant Improvements shall be selected, subject to the terms of this paragraph, by Landlord, subject to Tenant’s approval, which approval shall not be unreasonably withheld, conditioned or delayed. The design contract between Landlord and the TI Architect with respect to the Tenant Improvements shall be separate from the design contract between Landlord and the TI Architect with respect to the Building Shell (as defined below) and such design contract for the Tenant Improvements shall be reasonably acceptable to Tenant. The construction contract between Landlord and the General Contractor for the Tenant Improvements including, without limitation, the General Contractor’s fee and the general conditions of the construction contract for the Tenant Improvements shall be negotiated by Landlord, subject to Tenant’s approval which shall not be unreasonably withheld, conditioned or delayed. The General Contractor shall (a) obtain at least 3 bids from subcontractors reasonably approved in advance by Tenant for the work of the major trades of the Tenant Improvements (comprising the mechanical, electrical and plumbing work, each a “</w:t>
      </w:r>
      <w:r>
        <w:rPr>
          <w:rFonts w:ascii="Arial" w:cs="Arial" w:eastAsia="Arial" w:hAnsi="Arial"/>
          <w:sz w:val="16"/>
          <w:szCs w:val="16"/>
          <w:b w:val="1"/>
          <w:bCs w:val="1"/>
          <w:color w:val="auto"/>
        </w:rPr>
        <w:t>Major Trade Subcontractor</w:t>
      </w:r>
      <w:r>
        <w:rPr>
          <w:rFonts w:ascii="Arial" w:cs="Arial" w:eastAsia="Arial" w:hAnsi="Arial"/>
          <w:sz w:val="16"/>
          <w:szCs w:val="16"/>
          <w:color w:val="auto"/>
        </w:rPr>
        <w:t>”), and (b) select the lowest bid from among such Major Trade Subcontractors, unless otherwise reasonably approved by Tenant and Landlord. All bids for the Tenant Improvements will be made available to Tenant on an “open book” basis.</w:t>
      </w:r>
    </w:p>
    <w:p>
      <w:pPr>
        <w:spacing w:after="0" w:line="169" w:lineRule="exact"/>
        <w:rPr>
          <w:sz w:val="20"/>
          <w:szCs w:val="20"/>
          <w:color w:val="auto"/>
        </w:rPr>
      </w:pPr>
    </w:p>
    <w:p>
      <w:pPr>
        <w:ind w:left="620" w:hanging="176"/>
        <w:spacing w:after="0"/>
        <w:tabs>
          <w:tab w:leader="none" w:pos="620" w:val="left"/>
        </w:tabs>
        <w:numPr>
          <w:ilvl w:val="0"/>
          <w:numId w:val="636"/>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61" w:lineRule="auto"/>
        <w:tabs>
          <w:tab w:leader="none" w:pos="685" w:val="left"/>
        </w:tabs>
        <w:numPr>
          <w:ilvl w:val="0"/>
          <w:numId w:val="637"/>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Building Shell, Tenant Improvements and Landlord’s Work. </w:t>
      </w:r>
      <w:r>
        <w:rPr>
          <w:rFonts w:ascii="Arial" w:cs="Arial" w:eastAsia="Arial" w:hAnsi="Arial"/>
          <w:sz w:val="18"/>
          <w:szCs w:val="18"/>
          <w:color w:val="auto"/>
        </w:rPr>
        <w:t>As used herein, the term, “</w:t>
      </w:r>
      <w:r>
        <w:rPr>
          <w:rFonts w:ascii="Arial" w:cs="Arial" w:eastAsia="Arial" w:hAnsi="Arial"/>
          <w:sz w:val="18"/>
          <w:szCs w:val="18"/>
          <w:b w:val="1"/>
          <w:bCs w:val="1"/>
          <w:color w:val="auto"/>
        </w:rPr>
        <w:t>Building Shell</w:t>
      </w:r>
      <w:r>
        <w:rPr>
          <w:rFonts w:ascii="Arial" w:cs="Arial" w:eastAsia="Arial" w:hAnsi="Arial"/>
          <w:sz w:val="18"/>
          <w:szCs w:val="18"/>
          <w:color w:val="auto"/>
        </w:rPr>
        <w:t>” shall mean a cold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shell consisting of the items reflected on the base building description attached to this Work Letter as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w:t>
      </w:r>
      <w:r>
        <w:rPr>
          <w:rFonts w:ascii="Arial" w:cs="Arial" w:eastAsia="Arial" w:hAnsi="Arial"/>
          <w:sz w:val="18"/>
          <w:szCs w:val="18"/>
          <w:b w:val="1"/>
          <w:bCs w:val="1"/>
          <w:color w:val="auto"/>
        </w:rPr>
        <w:t>Base Building Description</w:t>
      </w:r>
      <w:r>
        <w:rPr>
          <w:rFonts w:ascii="Arial" w:cs="Arial" w:eastAsia="Arial" w:hAnsi="Arial"/>
          <w:sz w:val="18"/>
          <w:szCs w:val="18"/>
          <w:color w:val="auto"/>
        </w:rPr>
        <w:t>”). As used herein, the term “</w:t>
      </w:r>
      <w:r>
        <w:rPr>
          <w:rFonts w:ascii="Arial" w:cs="Arial" w:eastAsia="Arial" w:hAnsi="Arial"/>
          <w:sz w:val="18"/>
          <w:szCs w:val="18"/>
          <w:b w:val="1"/>
          <w:bCs w:val="1"/>
          <w:color w:val="auto"/>
        </w:rPr>
        <w:t>Tenant Improvements</w:t>
      </w:r>
      <w:r>
        <w:rPr>
          <w:rFonts w:ascii="Arial" w:cs="Arial" w:eastAsia="Arial" w:hAnsi="Arial"/>
          <w:sz w:val="18"/>
          <w:szCs w:val="18"/>
          <w:color w:val="auto"/>
        </w:rPr>
        <w:t xml:space="preserve">” shall mean all improvements to the Building of a fixed and permanent nature as shown on the TI Construction Drawings, as defined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below. As used</w:t>
      </w:r>
    </w:p>
    <w:p>
      <w:pPr>
        <w:sectPr>
          <w:pgSz w:w="11900" w:h="16838" w:orient="portrait"/>
          <w:cols w:equalWidth="0" w:num="1">
            <w:col w:w="11020"/>
          </w:cols>
          <w:pgMar w:left="440" w:top="270" w:right="439" w:bottom="1440" w:gutter="0" w:footer="0" w:header="0"/>
        </w:sectPr>
      </w:pPr>
    </w:p>
    <w:bookmarkStart w:id="735" w:name="page736"/>
    <w:bookmarkEnd w:id="735"/>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w:t>
      </w:r>
    </w:p>
    <w:p>
      <w:pPr>
        <w:spacing w:after="0" w:line="15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herein, the term “</w:t>
      </w:r>
      <w:r>
        <w:rPr>
          <w:rFonts w:ascii="Arial" w:cs="Arial" w:eastAsia="Arial" w:hAnsi="Arial"/>
          <w:sz w:val="18"/>
          <w:szCs w:val="18"/>
          <w:b w:val="1"/>
          <w:bCs w:val="1"/>
          <w:color w:val="auto"/>
        </w:rPr>
        <w:t>Landlord’s Work</w:t>
      </w:r>
      <w:r>
        <w:rPr>
          <w:rFonts w:ascii="Arial" w:cs="Arial" w:eastAsia="Arial" w:hAnsi="Arial"/>
          <w:sz w:val="18"/>
          <w:szCs w:val="18"/>
          <w:color w:val="auto"/>
        </w:rPr>
        <w:t xml:space="preserve">” shall mean collectively the work of constructing the Building Shell and the Tenant Improvements. Landlord shall be responsible, at Landlord’s sole cost and expense, for the construction of the parking structure serving the Project. The current schedule for Landlord’s Work (which remains subject to change) is attached to this Work Letter as </w:t>
      </w:r>
      <w:r>
        <w:rPr>
          <w:rFonts w:ascii="Arial" w:cs="Arial" w:eastAsia="Arial" w:hAnsi="Arial"/>
          <w:sz w:val="18"/>
          <w:szCs w:val="18"/>
          <w:u w:val="single" w:color="auto"/>
          <w:color w:val="auto"/>
        </w:rPr>
        <w:t>Annex 4</w:t>
      </w:r>
      <w:r>
        <w:rPr>
          <w:rFonts w:ascii="Arial" w:cs="Arial" w:eastAsia="Arial" w:hAnsi="Arial"/>
          <w:sz w:val="18"/>
          <w:szCs w:val="18"/>
          <w:color w:val="auto"/>
        </w:rPr>
        <w:t>.</w:t>
      </w:r>
    </w:p>
    <w:p>
      <w:pPr>
        <w:spacing w:after="0" w:line="18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Tenant shall be solely responsible for ensuring that the Building Shell and the Tenant Improvements design and specifications for the Premises are consistent with Tenant’s requirements. Except as expressly provided for in the approved Budget (as hereinafter defined) for the Tenant Improvements, in any Change Request relating to the Tenant Improvements and/or as a result of any Tenant Delay (collectively, “</w:t>
      </w:r>
      <w:r>
        <w:rPr>
          <w:rFonts w:ascii="Arial" w:cs="Arial" w:eastAsia="Arial" w:hAnsi="Arial"/>
          <w:sz w:val="17"/>
          <w:szCs w:val="17"/>
          <w:b w:val="1"/>
          <w:bCs w:val="1"/>
          <w:color w:val="auto"/>
        </w:rPr>
        <w:t>Tenant Triggered Matters</w:t>
      </w:r>
      <w:r>
        <w:rPr>
          <w:rFonts w:ascii="Arial" w:cs="Arial" w:eastAsia="Arial" w:hAnsi="Arial"/>
          <w:sz w:val="17"/>
          <w:szCs w:val="17"/>
          <w:color w:val="auto"/>
        </w:rPr>
        <w:t>”), Landlord will pay all of the costs associated with the construction of the Building Shell and the parking structure serving the Project. Tenant shall be solely responsible for all costs incurred by Landlord to alter the Building as a result of Tenant’s requested changes (as described below); provided, however, that in no event shall Landlord be obligated to make any changes requested by Tenant. Landlord shall have no obligation to, and shall not, secure any permits, approvals or entitlements related to Tenant’s specific use of the Premises or Tenant’s business operations therein. Other than its obligation to perform Landlord’s Work and construct the parking structure serving the Project, Landlord shall not have any obligation whatsoever with respect to the finishing of the Premises for Tenant’s use and occupancy.</w:t>
      </w:r>
    </w:p>
    <w:p>
      <w:pPr>
        <w:spacing w:after="0" w:line="178" w:lineRule="exact"/>
        <w:rPr>
          <w:sz w:val="20"/>
          <w:szCs w:val="20"/>
          <w:color w:val="auto"/>
        </w:rPr>
      </w:pPr>
    </w:p>
    <w:p>
      <w:pPr>
        <w:ind w:right="260" w:firstLine="444"/>
        <w:spacing w:after="0" w:line="266" w:lineRule="auto"/>
        <w:tabs>
          <w:tab w:leader="none" w:pos="695"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Tenant’s Space Plan</w:t>
      </w:r>
      <w:r>
        <w:rPr>
          <w:rFonts w:ascii="Arial" w:cs="Arial" w:eastAsia="Arial" w:hAnsi="Arial"/>
          <w:sz w:val="18"/>
          <w:szCs w:val="18"/>
          <w:color w:val="auto"/>
        </w:rPr>
        <w:t>. Landlord and Tenant acknowledge and agree that the Tenant Improvement Specifications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 Improvement Specifications</w:t>
      </w:r>
      <w:r>
        <w:rPr>
          <w:rFonts w:ascii="Arial" w:cs="Arial" w:eastAsia="Arial" w:hAnsi="Arial"/>
          <w:sz w:val="18"/>
          <w:szCs w:val="18"/>
          <w:color w:val="auto"/>
        </w:rPr>
        <w:t xml:space="preserve">”) and the space plan prepared by the TI Architect attached hereto as </w:t>
      </w:r>
      <w:r>
        <w:rPr>
          <w:rFonts w:ascii="Arial" w:cs="Arial" w:eastAsia="Arial" w:hAnsi="Arial"/>
          <w:sz w:val="18"/>
          <w:szCs w:val="18"/>
          <w:u w:val="single" w:color="auto"/>
          <w:color w:val="auto"/>
        </w:rPr>
        <w:t>Annex 3</w:t>
      </w:r>
      <w:r>
        <w:rPr>
          <w:rFonts w:ascii="Arial" w:cs="Arial" w:eastAsia="Arial" w:hAnsi="Arial"/>
          <w:sz w:val="18"/>
          <w:szCs w:val="18"/>
          <w:color w:val="auto"/>
        </w:rPr>
        <w:t xml:space="preserve"> (the “</w:t>
      </w:r>
      <w:r>
        <w:rPr>
          <w:rFonts w:ascii="Arial" w:cs="Arial" w:eastAsia="Arial" w:hAnsi="Arial"/>
          <w:sz w:val="18"/>
          <w:szCs w:val="18"/>
          <w:b w:val="1"/>
          <w:bCs w:val="1"/>
          <w:color w:val="auto"/>
        </w:rPr>
        <w:t>Space Plan</w:t>
      </w:r>
      <w:r>
        <w:rPr>
          <w:rFonts w:ascii="Arial" w:cs="Arial" w:eastAsia="Arial" w:hAnsi="Arial"/>
          <w:sz w:val="18"/>
          <w:szCs w:val="18"/>
          <w:color w:val="auto"/>
        </w:rPr>
        <w:t>”) have been approved by both Landlord and Tenant.</w:t>
      </w:r>
    </w:p>
    <w:p>
      <w:pPr>
        <w:spacing w:after="0" w:line="176" w:lineRule="exact"/>
        <w:rPr>
          <w:rFonts w:ascii="Arial" w:cs="Arial" w:eastAsia="Arial" w:hAnsi="Arial"/>
          <w:sz w:val="18"/>
          <w:szCs w:val="18"/>
          <w:color w:val="auto"/>
        </w:rPr>
      </w:pPr>
    </w:p>
    <w:p>
      <w:pPr>
        <w:ind w:firstLine="444"/>
        <w:spacing w:after="0" w:line="270" w:lineRule="auto"/>
        <w:tabs>
          <w:tab w:leader="none" w:pos="685" w:val="left"/>
        </w:tabs>
        <w:numPr>
          <w:ilvl w:val="0"/>
          <w:numId w:val="638"/>
        </w:numPr>
        <w:rPr>
          <w:rFonts w:ascii="Arial" w:cs="Arial" w:eastAsia="Arial" w:hAnsi="Arial"/>
          <w:sz w:val="17"/>
          <w:szCs w:val="17"/>
          <w:color w:val="auto"/>
        </w:rPr>
      </w:pPr>
      <w:r>
        <w:rPr>
          <w:rFonts w:ascii="Arial" w:cs="Arial" w:eastAsia="Arial" w:hAnsi="Arial"/>
          <w:sz w:val="17"/>
          <w:szCs w:val="17"/>
          <w:b w:val="1"/>
          <w:bCs w:val="1"/>
          <w:color w:val="auto"/>
        </w:rPr>
        <w:t xml:space="preserve">Design Development Drawings. </w:t>
      </w:r>
      <w:r>
        <w:rPr>
          <w:rFonts w:ascii="Arial" w:cs="Arial" w:eastAsia="Arial" w:hAnsi="Arial"/>
          <w:sz w:val="17"/>
          <w:szCs w:val="17"/>
          <w:color w:val="auto"/>
        </w:rPr>
        <w:t>Within 90 days after the mutual execution and delivery of this Lease, Landlord shall cause the TI Architect to</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submit for Tenant’s review and approval preliminary plans and specifications for development of the Tenant Improvements (the “</w:t>
      </w:r>
      <w:r>
        <w:rPr>
          <w:rFonts w:ascii="Arial" w:cs="Arial" w:eastAsia="Arial" w:hAnsi="Arial"/>
          <w:sz w:val="17"/>
          <w:szCs w:val="17"/>
          <w:b w:val="1"/>
          <w:bCs w:val="1"/>
          <w:color w:val="auto"/>
        </w:rPr>
        <w:t>Design</w:t>
      </w:r>
      <w:r>
        <w:rPr>
          <w:rFonts w:ascii="Arial" w:cs="Arial" w:eastAsia="Arial" w:hAnsi="Arial"/>
          <w:sz w:val="17"/>
          <w:szCs w:val="17"/>
          <w:color w:val="auto"/>
        </w:rPr>
        <w:t xml:space="preserve"> </w:t>
      </w:r>
      <w:r>
        <w:rPr>
          <w:rFonts w:ascii="Arial" w:cs="Arial" w:eastAsia="Arial" w:hAnsi="Arial"/>
          <w:sz w:val="17"/>
          <w:szCs w:val="17"/>
          <w:b w:val="1"/>
          <w:bCs w:val="1"/>
          <w:color w:val="auto"/>
        </w:rPr>
        <w:t>Development Drawings</w:t>
      </w:r>
      <w:r>
        <w:rPr>
          <w:rFonts w:ascii="Arial" w:cs="Arial" w:eastAsia="Arial" w:hAnsi="Arial"/>
          <w:sz w:val="17"/>
          <w:szCs w:val="17"/>
          <w:color w:val="auto"/>
        </w:rPr>
        <w:t>”). Tenant shall be solely responsible for ensuring that the Design Development Drawings reflect Tenant’s requirements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Tenant Improvements. Tenant shall deliver its written comments on the Design Development Drawings to Landlord not later than 10 business days after Tenant’s receipt of the same; provided, however, that Tenant may not disapprove any matter that is consistent with the Space Plan without submitting a Change Request. Landlord and the TI Architect shall consider all such comments in good faith and shall, within 10 business days after receipt, notify Tenant how Landlord proposes to respond to such comments and Landlord will submit revised Design Development Drawings reflecting Tenant’s comments and Landlord’s response to such comments; provided, however, that Landlord will not be required to consider any comments which are not consistent with the Space Plan unless Tenant submits a Change Request. Any disputes in connection with such comments shall be resolved in accordance with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right="180" w:firstLine="444"/>
        <w:spacing w:after="0" w:line="286" w:lineRule="auto"/>
        <w:tabs>
          <w:tab w:leader="none" w:pos="695" w:val="left"/>
        </w:tabs>
        <w:numPr>
          <w:ilvl w:val="0"/>
          <w:numId w:val="638"/>
        </w:numPr>
        <w:rPr>
          <w:rFonts w:ascii="Arial" w:cs="Arial" w:eastAsia="Arial" w:hAnsi="Arial"/>
          <w:sz w:val="16"/>
          <w:szCs w:val="16"/>
          <w:color w:val="auto"/>
        </w:rPr>
      </w:pPr>
      <w:r>
        <w:rPr>
          <w:rFonts w:ascii="Arial" w:cs="Arial" w:eastAsia="Arial" w:hAnsi="Arial"/>
          <w:sz w:val="16"/>
          <w:szCs w:val="16"/>
          <w:b w:val="1"/>
          <w:bCs w:val="1"/>
          <w:color w:val="auto"/>
        </w:rPr>
        <w:t>Construction Drawings</w:t>
      </w:r>
      <w:r>
        <w:rPr>
          <w:rFonts w:ascii="Arial" w:cs="Arial" w:eastAsia="Arial" w:hAnsi="Arial"/>
          <w:sz w:val="16"/>
          <w:szCs w:val="16"/>
          <w:color w:val="auto"/>
        </w:rPr>
        <w:t>. Within 90 days after the Design Development Drawings have been finalized, Landlord shall cause the TI Architect</w:t>
      </w:r>
      <w:r>
        <w:rPr>
          <w:rFonts w:ascii="Arial" w:cs="Arial" w:eastAsia="Arial" w:hAnsi="Arial"/>
          <w:sz w:val="16"/>
          <w:szCs w:val="16"/>
          <w:b w:val="1"/>
          <w:bCs w:val="1"/>
          <w:color w:val="auto"/>
        </w:rPr>
        <w:t xml:space="preserve"> </w:t>
      </w:r>
      <w:r>
        <w:rPr>
          <w:rFonts w:ascii="Arial" w:cs="Arial" w:eastAsia="Arial" w:hAnsi="Arial"/>
          <w:sz w:val="16"/>
          <w:szCs w:val="16"/>
          <w:color w:val="auto"/>
        </w:rPr>
        <w:t>to prepare and deliver to Tenant for review and comment construction plans, specifications and drawings for the Tenant Improvements (“</w:t>
      </w:r>
      <w:r>
        <w:rPr>
          <w:rFonts w:ascii="Arial" w:cs="Arial" w:eastAsia="Arial" w:hAnsi="Arial"/>
          <w:sz w:val="16"/>
          <w:szCs w:val="16"/>
          <w:b w:val="1"/>
          <w:bCs w:val="1"/>
          <w:color w:val="auto"/>
        </w:rPr>
        <w:t>TI</w:t>
      </w:r>
      <w:r>
        <w:rPr>
          <w:rFonts w:ascii="Arial" w:cs="Arial" w:eastAsia="Arial" w:hAnsi="Arial"/>
          <w:sz w:val="16"/>
          <w:szCs w:val="16"/>
          <w:color w:val="auto"/>
        </w:rPr>
        <w:t xml:space="preserve"> </w:t>
      </w:r>
      <w:r>
        <w:rPr>
          <w:rFonts w:ascii="Arial" w:cs="Arial" w:eastAsia="Arial" w:hAnsi="Arial"/>
          <w:sz w:val="16"/>
          <w:szCs w:val="16"/>
          <w:b w:val="1"/>
          <w:bCs w:val="1"/>
          <w:color w:val="auto"/>
        </w:rPr>
        <w:t>Construction Drawings</w:t>
      </w:r>
      <w:r>
        <w:rPr>
          <w:rFonts w:ascii="Arial" w:cs="Arial" w:eastAsia="Arial" w:hAnsi="Arial"/>
          <w:sz w:val="16"/>
          <w:szCs w:val="16"/>
          <w:color w:val="auto"/>
        </w:rPr>
        <w:t>”), which TI Construction Drawings shall be prepared substantially in accordance with the Design Development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Design Development Drawings without submitting a Change Request. Landlord and the TI Architect shall consider all such comments in good faith and shall, within 10 business days after receipt, notify Tenant how Landlord proposes to respond to such comments and Landlord submit revised TI Construction Drawings reflecting Tenant’s comments and Landlord’s response to such comments; provided, however, that Landlord will not be required to consider any comments which are not consistent with the Design Development Drawings unless Tenant submits a Change Request. Any disputes in connection with such comments shall be resolved in accordance with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hereof. Provided that the design reflected in the TI Construction Drawings is consistent with the Design Development Drawings,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without Tenant’s approval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ectPr>
          <w:pgSz w:w="11900" w:h="16838" w:orient="portrait"/>
          <w:cols w:equalWidth="0" w:num="1">
            <w:col w:w="11020"/>
          </w:cols>
          <w:pgMar w:left="440" w:top="270" w:right="439" w:bottom="1440" w:gutter="0" w:footer="0" w:header="0"/>
        </w:sectPr>
      </w:pPr>
    </w:p>
    <w:bookmarkStart w:id="736" w:name="page737"/>
    <w:bookmarkEnd w:id="736"/>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w:t>
      </w:r>
    </w:p>
    <w:p>
      <w:pPr>
        <w:spacing w:after="0" w:line="158" w:lineRule="exact"/>
        <w:rPr>
          <w:sz w:val="20"/>
          <w:szCs w:val="20"/>
          <w:color w:val="auto"/>
        </w:rPr>
      </w:pPr>
    </w:p>
    <w:p>
      <w:pPr>
        <w:ind w:left="680" w:hanging="236"/>
        <w:spacing w:after="0"/>
        <w:tabs>
          <w:tab w:leader="none" w:pos="680" w:val="left"/>
        </w:tabs>
        <w:numPr>
          <w:ilvl w:val="1"/>
          <w:numId w:val="639"/>
        </w:numPr>
        <w:rPr>
          <w:rFonts w:ascii="Arial" w:cs="Arial" w:eastAsia="Arial" w:hAnsi="Arial"/>
          <w:sz w:val="17"/>
          <w:szCs w:val="17"/>
          <w:color w:val="auto"/>
        </w:rPr>
      </w:pPr>
      <w:r>
        <w:rPr>
          <w:rFonts w:ascii="Arial" w:cs="Arial" w:eastAsia="Arial" w:hAnsi="Arial"/>
          <w:sz w:val="17"/>
          <w:szCs w:val="17"/>
          <w:b w:val="1"/>
          <w:bCs w:val="1"/>
          <w:color w:val="auto"/>
        </w:rPr>
        <w:t>Approval and Completion</w:t>
      </w:r>
      <w:r>
        <w:rPr>
          <w:rFonts w:ascii="Arial" w:cs="Arial" w:eastAsia="Arial" w:hAnsi="Arial"/>
          <w:sz w:val="17"/>
          <w:szCs w:val="17"/>
          <w:color w:val="auto"/>
        </w:rPr>
        <w:t>. It is hereby acknowledged by Landlord and Tenant that the TI Construction Drawings with respect to the</w:t>
      </w:r>
    </w:p>
    <w:p>
      <w:pPr>
        <w:spacing w:after="0" w:line="38" w:lineRule="exact"/>
        <w:rPr>
          <w:rFonts w:ascii="Arial" w:cs="Arial" w:eastAsia="Arial" w:hAnsi="Arial"/>
          <w:sz w:val="17"/>
          <w:szCs w:val="17"/>
          <w:color w:val="auto"/>
        </w:rPr>
      </w:pPr>
    </w:p>
    <w:p>
      <w:pPr>
        <w:ind w:right="20"/>
        <w:spacing w:after="0" w:line="281" w:lineRule="auto"/>
        <w:rPr>
          <w:rFonts w:ascii="Arial" w:cs="Arial" w:eastAsia="Arial" w:hAnsi="Arial"/>
          <w:sz w:val="17"/>
          <w:szCs w:val="17"/>
          <w:color w:val="auto"/>
        </w:rPr>
      </w:pPr>
      <w:r>
        <w:rPr>
          <w:rFonts w:ascii="Arial" w:cs="Arial" w:eastAsia="Arial" w:hAnsi="Arial"/>
          <w:sz w:val="16"/>
          <w:szCs w:val="16"/>
          <w:color w:val="auto"/>
        </w:rPr>
        <w:t>underground package must be completed and approved not later than July 1, 2015, and the TI Construction Drawings for permits must be completed and approved not later than December 1, 2015,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w:t>
      </w:r>
    </w:p>
    <w:p>
      <w:pPr>
        <w:spacing w:after="0" w:line="2" w:lineRule="exact"/>
        <w:rPr>
          <w:rFonts w:ascii="Arial" w:cs="Arial" w:eastAsia="Arial" w:hAnsi="Arial"/>
          <w:sz w:val="17"/>
          <w:szCs w:val="17"/>
          <w:color w:val="auto"/>
        </w:rPr>
      </w:pPr>
    </w:p>
    <w:p>
      <w:pPr>
        <w:ind w:right="180" w:firstLine="4"/>
        <w:spacing w:after="0" w:line="253" w:lineRule="auto"/>
        <w:tabs>
          <w:tab w:leader="none" w:pos="212" w:val="left"/>
        </w:tabs>
        <w:numPr>
          <w:ilvl w:val="0"/>
          <w:numId w:val="640"/>
        </w:numPr>
        <w:rPr>
          <w:rFonts w:ascii="Arial" w:cs="Arial" w:eastAsia="Arial" w:hAnsi="Arial"/>
          <w:sz w:val="18"/>
          <w:szCs w:val="18"/>
          <w:color w:val="auto"/>
        </w:rPr>
      </w:pPr>
      <w:r>
        <w:rPr>
          <w:rFonts w:ascii="Arial" w:cs="Arial" w:eastAsia="Arial" w:hAnsi="Arial"/>
          <w:sz w:val="18"/>
          <w:szCs w:val="18"/>
          <w:color w:val="auto"/>
        </w:rPr>
        <w:t xml:space="preserve">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(iii) Tenant’s decision will not adversely or materially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87" w:lineRule="exact"/>
        <w:rPr>
          <w:sz w:val="20"/>
          <w:szCs w:val="20"/>
          <w:color w:val="auto"/>
        </w:rPr>
      </w:pPr>
    </w:p>
    <w:p>
      <w:pPr>
        <w:ind w:left="620" w:hanging="176"/>
        <w:spacing w:after="0"/>
        <w:tabs>
          <w:tab w:leader="none" w:pos="620"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225" w:lineRule="exact"/>
        <w:rPr>
          <w:sz w:val="20"/>
          <w:szCs w:val="20"/>
          <w:color w:val="auto"/>
        </w:rPr>
      </w:pPr>
    </w:p>
    <w:p>
      <w:pPr>
        <w:ind w:right="100" w:firstLine="444"/>
        <w:spacing w:after="0" w:line="287" w:lineRule="auto"/>
        <w:tabs>
          <w:tab w:leader="none" w:pos="685" w:val="left"/>
        </w:tabs>
        <w:numPr>
          <w:ilvl w:val="1"/>
          <w:numId w:val="642"/>
        </w:numPr>
        <w:rPr>
          <w:rFonts w:ascii="Arial" w:cs="Arial" w:eastAsia="Arial" w:hAnsi="Arial"/>
          <w:sz w:val="16"/>
          <w:szCs w:val="16"/>
          <w:color w:val="auto"/>
        </w:rPr>
      </w:pPr>
      <w:r>
        <w:rPr>
          <w:rFonts w:ascii="Arial" w:cs="Arial" w:eastAsia="Arial" w:hAnsi="Arial"/>
          <w:sz w:val="16"/>
          <w:szCs w:val="16"/>
          <w:b w:val="1"/>
          <w:bCs w:val="1"/>
          <w:color w:val="auto"/>
        </w:rPr>
        <w:t>Commencement and Permitting</w:t>
      </w:r>
      <w:r>
        <w:rPr>
          <w:rFonts w:ascii="Arial" w:cs="Arial" w:eastAsia="Arial" w:hAnsi="Arial"/>
          <w:sz w:val="16"/>
          <w:szCs w:val="16"/>
          <w:color w:val="auto"/>
        </w:rPr>
        <w:t>. Landlord shall commence construction of the Tenant Improvements upon obtaining a building permit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w:t>
      </w:r>
    </w:p>
    <w:p>
      <w:pPr>
        <w:spacing w:after="0" w:line="2" w:lineRule="exact"/>
        <w:rPr>
          <w:rFonts w:ascii="Arial" w:cs="Arial" w:eastAsia="Arial" w:hAnsi="Arial"/>
          <w:sz w:val="16"/>
          <w:szCs w:val="16"/>
          <w:color w:val="auto"/>
        </w:rPr>
      </w:pPr>
    </w:p>
    <w:p>
      <w:pPr>
        <w:ind w:right="20" w:firstLine="4"/>
        <w:spacing w:after="0" w:line="252" w:lineRule="auto"/>
        <w:tabs>
          <w:tab w:leader="none" w:pos="215"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 provided, however, that (y) with respect to Tenant Improvements, any of the costs related to any of the items described in such clauses (i), (ii) and (iii) shall be paid for out of the TI Fund, and (y) with respect to the Building Shell and parking structure, any of the costs related to any of the items described in such clauses (i), (ii) and (iii) shall be borne by Landlord except to the extent relating to Tenant Triggered Matters in which case Tenant shall bear the cost.</w:t>
      </w:r>
    </w:p>
    <w:p>
      <w:pPr>
        <w:spacing w:after="0" w:line="190" w:lineRule="exact"/>
        <w:rPr>
          <w:rFonts w:ascii="Arial" w:cs="Arial" w:eastAsia="Arial" w:hAnsi="Arial"/>
          <w:sz w:val="18"/>
          <w:szCs w:val="18"/>
          <w:color w:val="auto"/>
        </w:rPr>
      </w:pPr>
    </w:p>
    <w:p>
      <w:pPr>
        <w:ind w:right="20" w:firstLine="444"/>
        <w:spacing w:after="0" w:line="268" w:lineRule="auto"/>
        <w:tabs>
          <w:tab w:leader="none" w:pos="695" w:val="left"/>
        </w:tabs>
        <w:numPr>
          <w:ilvl w:val="1"/>
          <w:numId w:val="643"/>
        </w:numPr>
        <w:rPr>
          <w:rFonts w:ascii="Arial" w:cs="Arial" w:eastAsia="Arial" w:hAnsi="Arial"/>
          <w:sz w:val="17"/>
          <w:szCs w:val="17"/>
          <w:color w:val="auto"/>
        </w:rPr>
      </w:pPr>
      <w:r>
        <w:rPr>
          <w:rFonts w:ascii="Arial" w:cs="Arial" w:eastAsia="Arial" w:hAnsi="Arial"/>
          <w:sz w:val="17"/>
          <w:szCs w:val="17"/>
          <w:b w:val="1"/>
          <w:bCs w:val="1"/>
          <w:color w:val="auto"/>
        </w:rPr>
        <w:t>Completion of Landlord’s Work</w:t>
      </w:r>
      <w:r>
        <w:rPr>
          <w:rFonts w:ascii="Arial" w:cs="Arial" w:eastAsia="Arial" w:hAnsi="Arial"/>
          <w:sz w:val="17"/>
          <w:szCs w:val="17"/>
          <w:color w:val="auto"/>
        </w:rPr>
        <w:t>. On or before the Target Commencement Date (subject to Tenant Delays and Force Majeure delays),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substantially complete or cause to be substantially completed Landlord’s Work in a good and workmanlike manner, with the Building Shell in a water tight condition, in accordance with the TI Permit subject, in each case, to Minor Variations and normal “punch list” items of a non-material nature that do not interfere with the use of the Premises and with a certificate or temporary certificate of occupancy (or an equivalent approval having been issued) for the Premises permitting lawful occupancy of the Premises (but specifically excluding any permits, licenses or other governmental approvals required to be obtained in connection with Tenant’s operations in the Premises)(“</w:t>
      </w:r>
      <w:r>
        <w:rPr>
          <w:rFonts w:ascii="Arial" w:cs="Arial" w:eastAsia="Arial" w:hAnsi="Arial"/>
          <w:sz w:val="17"/>
          <w:szCs w:val="17"/>
          <w:b w:val="1"/>
          <w:bCs w:val="1"/>
          <w:color w:val="auto"/>
        </w:rPr>
        <w:t>Substantial Completion</w:t>
      </w:r>
      <w:r>
        <w:rPr>
          <w:rFonts w:ascii="Arial" w:cs="Arial" w:eastAsia="Arial" w:hAnsi="Arial"/>
          <w:sz w:val="17"/>
          <w:szCs w:val="17"/>
          <w:color w:val="auto"/>
        </w:rPr>
        <w:t>” or “</w:t>
      </w:r>
      <w:r>
        <w:rPr>
          <w:rFonts w:ascii="Arial" w:cs="Arial" w:eastAsia="Arial" w:hAnsi="Arial"/>
          <w:sz w:val="17"/>
          <w:szCs w:val="17"/>
          <w:b w:val="1"/>
          <w:bCs w:val="1"/>
          <w:color w:val="auto"/>
        </w:rPr>
        <w:t>Substantially</w:t>
      </w:r>
      <w:r>
        <w:rPr>
          <w:rFonts w:ascii="Arial" w:cs="Arial" w:eastAsia="Arial" w:hAnsi="Arial"/>
          <w:sz w:val="17"/>
          <w:szCs w:val="17"/>
          <w:color w:val="auto"/>
        </w:rPr>
        <w:t xml:space="preserve"> </w:t>
      </w:r>
      <w:r>
        <w:rPr>
          <w:rFonts w:ascii="Arial" w:cs="Arial" w:eastAsia="Arial" w:hAnsi="Arial"/>
          <w:sz w:val="17"/>
          <w:szCs w:val="17"/>
          <w:b w:val="1"/>
          <w:bCs w:val="1"/>
          <w:color w:val="auto"/>
        </w:rPr>
        <w:t>Complete</w:t>
      </w:r>
      <w:r>
        <w:rPr>
          <w:rFonts w:ascii="Arial" w:cs="Arial" w:eastAsia="Arial" w:hAnsi="Arial"/>
          <w:sz w:val="17"/>
          <w:szCs w:val="17"/>
          <w:color w:val="auto"/>
        </w:rPr>
        <w:t>”). Upon Substantial Completion of Landlord’s Work, Landlord shall require the TI Architect and the general contractor to execute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for the benefit of Tenant and Landlord, a Certificate of Substantial Completion in the form of the American Institute of Architects (“</w:t>
      </w:r>
      <w:r>
        <w:rPr>
          <w:rFonts w:ascii="Arial" w:cs="Arial" w:eastAsia="Arial" w:hAnsi="Arial"/>
          <w:sz w:val="17"/>
          <w:szCs w:val="17"/>
          <w:b w:val="1"/>
          <w:bCs w:val="1"/>
          <w:color w:val="auto"/>
        </w:rPr>
        <w:t>AIA</w:t>
      </w:r>
      <w:r>
        <w:rPr>
          <w:rFonts w:ascii="Arial" w:cs="Arial" w:eastAsia="Arial" w:hAnsi="Arial"/>
          <w:sz w:val="17"/>
          <w:szCs w:val="17"/>
          <w:color w:val="auto"/>
        </w:rPr>
        <w:t>”) document G704, and Landlord will require the vendors installing the major mechanical equipment to perform operational testing/commissioning of their respective equipment to confirm that the same are in good working order and functioning as designed. Upon Tenant’s request, Landlord will deliver “as built” drawings of the Tenant Improvements to Tenant and will provide copies of all warranties and manuals relating to any components of the Tenant Improvements for which such items are provided. For purposes of this Work Letter, “</w:t>
      </w:r>
      <w:r>
        <w:rPr>
          <w:rFonts w:ascii="Arial" w:cs="Arial" w:eastAsia="Arial" w:hAnsi="Arial"/>
          <w:sz w:val="17"/>
          <w:szCs w:val="17"/>
          <w:b w:val="1"/>
          <w:bCs w:val="1"/>
          <w:color w:val="auto"/>
        </w:rPr>
        <w:t>Minor Variations</w:t>
      </w:r>
      <w:r>
        <w:rPr>
          <w:rFonts w:ascii="Arial" w:cs="Arial" w:eastAsia="Arial" w:hAnsi="Arial"/>
          <w:sz w:val="17"/>
          <w:szCs w:val="17"/>
          <w:color w:val="auto"/>
        </w:rPr>
        <w:t>” shall mean any modifications reasonably required: (i) to comply with all applicable Legal Requirements and/or to obtain or to comply with any required permit (including the TI Permit); (ii) to comply with any request by Tenant for modifications to the Tenant Improvements; (iii) to comport with good design, engineering, and construction practices that are not material; or (iv) to make reasonable adjustments for field deviations or conditions encountered during the construction of Landlord’s Work.</w:t>
      </w:r>
    </w:p>
    <w:p>
      <w:pPr>
        <w:sectPr>
          <w:pgSz w:w="11900" w:h="16838" w:orient="portrait"/>
          <w:cols w:equalWidth="0" w:num="1">
            <w:col w:w="11020"/>
          </w:cols>
          <w:pgMar w:left="440" w:top="270" w:right="439" w:bottom="1440" w:gutter="0" w:footer="0" w:header="0"/>
        </w:sectPr>
      </w:pPr>
    </w:p>
    <w:bookmarkStart w:id="737" w:name="page738"/>
    <w:bookmarkEnd w:id="737"/>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4</w:t>
      </w:r>
    </w:p>
    <w:p>
      <w:pPr>
        <w:spacing w:after="0" w:line="158" w:lineRule="exact"/>
        <w:rPr>
          <w:sz w:val="20"/>
          <w:szCs w:val="20"/>
          <w:color w:val="auto"/>
        </w:rPr>
      </w:pPr>
    </w:p>
    <w:p>
      <w:pPr>
        <w:ind w:right="20" w:firstLine="444"/>
        <w:spacing w:after="0" w:line="261" w:lineRule="auto"/>
        <w:tabs>
          <w:tab w:leader="none" w:pos="685"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Selection of Materials</w:t>
      </w:r>
      <w:r>
        <w:rPr>
          <w:rFonts w:ascii="Arial" w:cs="Arial" w:eastAsia="Arial" w:hAnsi="Arial"/>
          <w:sz w:val="18"/>
          <w:szCs w:val="18"/>
          <w:color w:val="auto"/>
        </w:rPr>
        <w:t>. Where more than one type of material or structure is indicated on the TI Construction Drawings approved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the option will be selected at Landlord’s reasonable discretion. As to all building materials and equipment that Landlord is obligated to supply under this Work Letter, Landlord shall select the manufacturer thereof in its reasonable discretion unless a manufacturer is specified in the approved TI Construction Drawings.</w:t>
      </w:r>
    </w:p>
    <w:p>
      <w:pPr>
        <w:spacing w:after="0" w:line="180" w:lineRule="exact"/>
        <w:rPr>
          <w:rFonts w:ascii="Arial" w:cs="Arial" w:eastAsia="Arial" w:hAnsi="Arial"/>
          <w:sz w:val="18"/>
          <w:szCs w:val="18"/>
          <w:color w:val="auto"/>
        </w:rPr>
      </w:pPr>
    </w:p>
    <w:p>
      <w:pPr>
        <w:ind w:left="700" w:hanging="256"/>
        <w:spacing w:after="0"/>
        <w:tabs>
          <w:tab w:leader="none" w:pos="700" w:val="left"/>
        </w:tabs>
        <w:numPr>
          <w:ilvl w:val="0"/>
          <w:numId w:val="644"/>
        </w:numPr>
        <w:rPr>
          <w:rFonts w:ascii="Arial" w:cs="Arial" w:eastAsia="Arial" w:hAnsi="Arial"/>
          <w:sz w:val="17"/>
          <w:szCs w:val="17"/>
          <w:color w:val="auto"/>
        </w:rPr>
      </w:pPr>
      <w:r>
        <w:rPr>
          <w:rFonts w:ascii="Arial" w:cs="Arial" w:eastAsia="Arial" w:hAnsi="Arial"/>
          <w:sz w:val="17"/>
          <w:szCs w:val="17"/>
          <w:b w:val="1"/>
          <w:bCs w:val="1"/>
          <w:color w:val="auto"/>
        </w:rPr>
        <w:t>Delivery of the Premises</w:t>
      </w:r>
      <w:r>
        <w:rPr>
          <w:rFonts w:ascii="Arial" w:cs="Arial" w:eastAsia="Arial" w:hAnsi="Arial"/>
          <w:sz w:val="17"/>
          <w:szCs w:val="17"/>
          <w:color w:val="auto"/>
        </w:rPr>
        <w:t>. When Landlord’s Work is Substantially Complete, subject to the remaining terms and provisions of this</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Lease, Tenant shall 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If the contractor fails to remedy such Construction Defect within a reasonable time, Landlord shall use reasonable efforts to remedy the Construction Defect within a reasonable period. Landlord shall cooperate, at no cost to Landlord, with Tenant should Tenant elect to pursue a claim against such contractor, provided, however, that Tenant’s claims are subject and subordinate to any claims which Landlord may have against such contractor.</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Landlord shall reasonably cooperate with Tenant as required so that Tenant (along with Landlord) shall be entitled to receive the benefit of all construction warranties and manufacturer’s equipment warranties relating to equipment installed in the Premises. Landlord shall cooperate with Tenant’s efforts to enforce any warranties in the event of any defect or inadequacy in construction. Landlord shall obtain industry standard warranties from the General Contractor and will require the General Contractor to obtain industry standard warranties from all subcontractors performing the Tenant Improvements.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185" w:lineRule="exact"/>
        <w:rPr>
          <w:sz w:val="20"/>
          <w:szCs w:val="20"/>
          <w:color w:val="auto"/>
        </w:rPr>
      </w:pPr>
    </w:p>
    <w:p>
      <w:pPr>
        <w:ind w:right="120" w:firstLine="444"/>
        <w:spacing w:after="0" w:line="266" w:lineRule="auto"/>
        <w:tabs>
          <w:tab w:leader="none" w:pos="685"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Tenant Delay</w:t>
      </w:r>
      <w:r>
        <w:rPr>
          <w:rFonts w:ascii="Arial" w:cs="Arial" w:eastAsia="Arial" w:hAnsi="Arial"/>
          <w:sz w:val="18"/>
          <w:szCs w:val="18"/>
          <w:color w:val="auto"/>
        </w:rPr>
        <w:t>. Except as otherwise provided in the Lease, Delivery of the Premises shall occur when Landlord’s Work has been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440" w:right="480" w:firstLine="428"/>
        <w:spacing w:after="0" w:line="308" w:lineRule="auto"/>
        <w:tabs>
          <w:tab w:leader="none" w:pos="1078" w:val="left"/>
        </w:tabs>
        <w:numPr>
          <w:ilvl w:val="1"/>
          <w:numId w:val="645"/>
        </w:numPr>
        <w:rPr>
          <w:rFonts w:ascii="Arial" w:cs="Arial" w:eastAsia="Arial" w:hAnsi="Arial"/>
          <w:sz w:val="17"/>
          <w:szCs w:val="17"/>
          <w:color w:val="auto"/>
        </w:rPr>
      </w:pPr>
      <w:r>
        <w:rPr>
          <w:rFonts w:ascii="Arial" w:cs="Arial" w:eastAsia="Arial" w:hAnsi="Arial"/>
          <w:sz w:val="17"/>
          <w:szCs w:val="17"/>
          <w:color w:val="auto"/>
        </w:rPr>
        <w:t>Tenant’s Representative was not available to give or receive any Communication or to take any other action required to be taken by Tenant hereunder within a reasonable period of time (not to exceed 2 business days) after written request from Landlord;</w:t>
      </w:r>
    </w:p>
    <w:p>
      <w:pPr>
        <w:spacing w:after="0" w:line="38" w:lineRule="exact"/>
        <w:rPr>
          <w:rFonts w:ascii="Arial" w:cs="Arial" w:eastAsia="Arial" w:hAnsi="Arial"/>
          <w:sz w:val="17"/>
          <w:szCs w:val="17"/>
          <w:color w:val="auto"/>
        </w:rPr>
      </w:pPr>
    </w:p>
    <w:p>
      <w:pPr>
        <w:ind w:left="1140" w:hanging="272"/>
        <w:spacing w:after="0"/>
        <w:tabs>
          <w:tab w:leader="none" w:pos="114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Tenant’s request for changes to the Building Shell, whether or not such changes are actually performed;</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The construction of any changes to the Building Shell requested by Tenant and agreed upon by Landlord;</w:t>
      </w:r>
    </w:p>
    <w:p>
      <w:pPr>
        <w:spacing w:after="0" w:line="117" w:lineRule="exact"/>
        <w:rPr>
          <w:rFonts w:ascii="Arial" w:cs="Arial" w:eastAsia="Arial" w:hAnsi="Arial"/>
          <w:sz w:val="18"/>
          <w:szCs w:val="18"/>
          <w:color w:val="auto"/>
        </w:rPr>
      </w:pPr>
    </w:p>
    <w:p>
      <w:pPr>
        <w:ind w:left="440" w:right="700" w:firstLine="428"/>
        <w:spacing w:after="0" w:line="277" w:lineRule="auto"/>
        <w:tabs>
          <w:tab w:leader="none" w:pos="1168" w:val="left"/>
        </w:tabs>
        <w:numPr>
          <w:ilvl w:val="1"/>
          <w:numId w:val="645"/>
        </w:numPr>
        <w:rPr>
          <w:rFonts w:ascii="Arial" w:cs="Arial" w:eastAsia="Arial" w:hAnsi="Arial"/>
          <w:sz w:val="18"/>
          <w:szCs w:val="18"/>
          <w:color w:val="auto"/>
        </w:rPr>
      </w:pPr>
      <w:r>
        <w:rPr>
          <w:rFonts w:ascii="Arial" w:cs="Arial" w:eastAsia="Arial" w:hAnsi="Arial"/>
          <w:sz w:val="18"/>
          <w:szCs w:val="18"/>
          <w:color w:val="auto"/>
        </w:rPr>
        <w:t xml:space="preserve">Tenant’s request for Change Requests (as defined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below) whether or not any such Change Requests are actually performed;</w:t>
      </w:r>
    </w:p>
    <w:p>
      <w:pPr>
        <w:sectPr>
          <w:pgSz w:w="11900" w:h="16838" w:orient="portrait"/>
          <w:cols w:equalWidth="0" w:num="1">
            <w:col w:w="11020"/>
          </w:cols>
          <w:pgMar w:left="440" w:top="269" w:right="439" w:bottom="1440" w:gutter="0" w:footer="0" w:header="0"/>
        </w:sectPr>
      </w:pPr>
    </w:p>
    <w:bookmarkStart w:id="738" w:name="page739"/>
    <w:bookmarkEnd w:id="738"/>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5</w:t>
      </w:r>
    </w:p>
    <w:p>
      <w:pPr>
        <w:spacing w:after="0" w:line="162" w:lineRule="exact"/>
        <w:rPr>
          <w:sz w:val="20"/>
          <w:szCs w:val="20"/>
          <w:color w:val="auto"/>
        </w:rPr>
      </w:pPr>
    </w:p>
    <w:p>
      <w:pPr>
        <w:ind w:left="1120" w:hanging="252"/>
        <w:spacing w:after="0"/>
        <w:tabs>
          <w:tab w:leader="none" w:pos="112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Construction of any Change Requests;</w:t>
      </w:r>
    </w:p>
    <w:p>
      <w:pPr>
        <w:spacing w:after="0" w:line="117" w:lineRule="exact"/>
        <w:rPr>
          <w:rFonts w:ascii="Arial" w:cs="Arial" w:eastAsia="Arial" w:hAnsi="Arial"/>
          <w:sz w:val="18"/>
          <w:szCs w:val="18"/>
          <w:color w:val="auto"/>
        </w:rPr>
      </w:pPr>
    </w:p>
    <w:p>
      <w:pPr>
        <w:ind w:left="440" w:right="440" w:firstLine="428"/>
        <w:spacing w:after="0" w:line="342" w:lineRule="auto"/>
        <w:tabs>
          <w:tab w:leader="none" w:pos="1168" w:val="left"/>
        </w:tabs>
        <w:numPr>
          <w:ilvl w:val="0"/>
          <w:numId w:val="646"/>
        </w:numPr>
        <w:rPr>
          <w:rFonts w:ascii="Arial" w:cs="Arial" w:eastAsia="Arial" w:hAnsi="Arial"/>
          <w:sz w:val="16"/>
          <w:szCs w:val="16"/>
          <w:color w:val="auto"/>
        </w:rPr>
      </w:pPr>
      <w:r>
        <w:rPr>
          <w:rFonts w:ascii="Arial" w:cs="Arial" w:eastAsia="Arial" w:hAnsi="Arial"/>
          <w:sz w:val="16"/>
          <w:szCs w:val="16"/>
          <w:color w:val="auto"/>
        </w:rPr>
        <w:t>Tenant’s request for materials, finishes or installations requiring unusually long lead times (provided Landlord will request that the General Contractor inform Tenant of any long lead time items and identify substitutes for such items as soon as reasonably possible);</w:t>
      </w:r>
    </w:p>
    <w:p>
      <w:pPr>
        <w:spacing w:after="0" w:line="15" w:lineRule="exact"/>
        <w:rPr>
          <w:rFonts w:ascii="Arial" w:cs="Arial" w:eastAsia="Arial" w:hAnsi="Arial"/>
          <w:sz w:val="16"/>
          <w:szCs w:val="16"/>
          <w:color w:val="auto"/>
        </w:rPr>
      </w:pPr>
    </w:p>
    <w:p>
      <w:pPr>
        <w:ind w:left="1220" w:hanging="352"/>
        <w:spacing w:after="0"/>
        <w:tabs>
          <w:tab w:leader="none" w:pos="122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117" w:lineRule="exact"/>
        <w:rPr>
          <w:rFonts w:ascii="Arial" w:cs="Arial" w:eastAsia="Arial" w:hAnsi="Arial"/>
          <w:sz w:val="18"/>
          <w:szCs w:val="18"/>
          <w:color w:val="auto"/>
        </w:rPr>
      </w:pPr>
    </w:p>
    <w:p>
      <w:pPr>
        <w:ind w:left="440" w:right="160" w:firstLine="428"/>
        <w:spacing w:after="0" w:line="264" w:lineRule="auto"/>
        <w:tabs>
          <w:tab w:leader="none" w:pos="1268"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Tenant’s delay in providing any information that is reasonably required to come from Tenant which is critical to the normal progression of the Project within a reasonable period of time after request. Tenant shall provide such information as soon as reasonably possible, but in no event longer than one week after receipt of any request for such information from Landlord;</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68" w:val="left"/>
        </w:tabs>
        <w:numPr>
          <w:ilvl w:val="0"/>
          <w:numId w:val="646"/>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for more than 10 business days after such Excess TI Costs are required to be paid to Landlord; or</w:t>
      </w:r>
    </w:p>
    <w:p>
      <w:pPr>
        <w:spacing w:after="0" w:line="62" w:lineRule="exact"/>
        <w:rPr>
          <w:rFonts w:ascii="Arial" w:cs="Arial" w:eastAsia="Arial" w:hAnsi="Arial"/>
          <w:sz w:val="18"/>
          <w:szCs w:val="18"/>
          <w:color w:val="auto"/>
        </w:rPr>
      </w:pPr>
    </w:p>
    <w:p>
      <w:pPr>
        <w:ind w:left="440" w:right="400" w:firstLine="428"/>
        <w:spacing w:after="0" w:line="277" w:lineRule="auto"/>
        <w:tabs>
          <w:tab w:leader="none" w:pos="1118"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Any other act or omission by Tenant or any Tenant Party (as defined in the Lease), or persons employed by any of such persons that continues for more than 1 business day after Landlord’s notice thereof to Tenant.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Delivery is delayed for any of the foregoing reasons, then Landlord shall cause the TI Architect to certify the date on which the Tenant Improvements would have been Substantially Completed but for such Tenant Delay and such certified date shall be deemed to be the Commencement Date for purposes of Tenant’s obligation to pay Base Rent, Operating Expenses, Excess TI Costs and TI Rent; however, Tenant will not have any obligation to pay any amounts to third parties pursuant to the Lease (and will not occupy the Premises) until the date upon which the Premises is Delivered to Tenant with the Landlord’s Work Substantially Complete. Upon request, Landlord shall advise Tenant of any materials, finishes or installations which are required as part of any Change Request that will result in unusually long lead times.</w:t>
      </w:r>
    </w:p>
    <w:p>
      <w:pPr>
        <w:spacing w:after="0" w:line="174" w:lineRule="exact"/>
        <w:rPr>
          <w:sz w:val="20"/>
          <w:szCs w:val="20"/>
          <w:color w:val="auto"/>
        </w:rPr>
      </w:pPr>
    </w:p>
    <w:p>
      <w:pPr>
        <w:ind w:right="40" w:firstLine="444"/>
        <w:spacing w:after="0" w:line="266" w:lineRule="auto"/>
        <w:tabs>
          <w:tab w:leader="none" w:pos="621"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now that the Space Plan has been approved by the parties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176" w:lineRule="exact"/>
        <w:rPr>
          <w:sz w:val="20"/>
          <w:szCs w:val="20"/>
          <w:color w:val="auto"/>
        </w:rPr>
      </w:pPr>
    </w:p>
    <w:p>
      <w:pPr>
        <w:ind w:right="40" w:firstLine="444"/>
        <w:spacing w:after="0" w:line="289" w:lineRule="auto"/>
        <w:tabs>
          <w:tab w:leader="none" w:pos="685" w:val="left"/>
        </w:tabs>
        <w:numPr>
          <w:ilvl w:val="0"/>
          <w:numId w:val="648"/>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use commercially reasonable efforts to provide Tenant with an estimate of the time it will take and the architectural and engineering fees and costs that will be incurred to analyze such Change Request (which costs shall be paid from the TI Fund to the extent actually incurred, whether or not such change is implemented). Regardless of whether the foregoing estimate is provided, Landlord shall submit to Tenant in writing, within 5 business days of receipt of the Change Request (or such longer period of time as is reasonably required depending on the extent of the Change Request), an analysis of the estimated additional cost or savings involved, including, without limitation, architectural and engineering costs and the period of time, if any, that the Change will extend the date on which Landlord’s Work will be Substantially Complete. Any actual delay in the completion of Landlord’s Work caused by a Change, including any suspension of Landlord’s Work while any such Change is being evaluated and/or designed, shall be Tenant Delay.</w:t>
      </w:r>
    </w:p>
    <w:p>
      <w:pPr>
        <w:spacing w:after="0" w:line="161" w:lineRule="exact"/>
        <w:rPr>
          <w:rFonts w:ascii="Arial" w:cs="Arial" w:eastAsia="Arial" w:hAnsi="Arial"/>
          <w:sz w:val="16"/>
          <w:szCs w:val="16"/>
          <w:color w:val="auto"/>
        </w:rPr>
      </w:pPr>
    </w:p>
    <w:p>
      <w:pPr>
        <w:ind w:right="200" w:firstLine="444"/>
        <w:spacing w:after="0" w:line="258" w:lineRule="auto"/>
        <w:tabs>
          <w:tab w:leader="none" w:pos="695"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Tenant: (i) approves in writing the cost or savings and the estimated extension in the time for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Work, if any, and (ii) deposits with Landlord any Excess TI Costs required in connection with such Change (if applicable),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ectPr>
          <w:pgSz w:w="11900" w:h="16838" w:orient="portrait"/>
          <w:cols w:equalWidth="0" w:num="1">
            <w:col w:w="11020"/>
          </w:cols>
          <w:pgMar w:left="440" w:top="271" w:right="439" w:bottom="1440" w:gutter="0" w:footer="0" w:header="0"/>
        </w:sectPr>
      </w:pPr>
    </w:p>
    <w:bookmarkStart w:id="739" w:name="page740"/>
    <w:bookmarkEnd w:id="739"/>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6</w:t>
      </w:r>
    </w:p>
    <w:p>
      <w:pPr>
        <w:spacing w:after="0" w:line="158" w:lineRule="exact"/>
        <w:rPr>
          <w:sz w:val="20"/>
          <w:szCs w:val="20"/>
          <w:color w:val="auto"/>
        </w:rPr>
      </w:pPr>
    </w:p>
    <w:p>
      <w:pPr>
        <w:ind w:left="620" w:hanging="176"/>
        <w:spacing w:after="0"/>
        <w:tabs>
          <w:tab w:leader="none" w:pos="62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25" w:lineRule="exact"/>
        <w:rPr>
          <w:sz w:val="20"/>
          <w:szCs w:val="20"/>
          <w:color w:val="auto"/>
        </w:rPr>
      </w:pPr>
    </w:p>
    <w:p>
      <w:pPr>
        <w:ind w:right="40" w:firstLine="444"/>
        <w:spacing w:after="0" w:line="284" w:lineRule="auto"/>
        <w:tabs>
          <w:tab w:leader="none" w:pos="685" w:val="left"/>
        </w:tabs>
        <w:numPr>
          <w:ilvl w:val="1"/>
          <w:numId w:val="650"/>
        </w:numPr>
        <w:rPr>
          <w:rFonts w:ascii="Arial" w:cs="Arial" w:eastAsia="Arial" w:hAnsi="Arial"/>
          <w:sz w:val="16"/>
          <w:szCs w:val="16"/>
          <w:color w:val="auto"/>
        </w:rPr>
      </w:pPr>
      <w:r>
        <w:rPr>
          <w:rFonts w:ascii="Arial" w:cs="Arial" w:eastAsia="Arial" w:hAnsi="Arial"/>
          <w:sz w:val="16"/>
          <w:szCs w:val="16"/>
          <w:b w:val="1"/>
          <w:bCs w:val="1"/>
          <w:color w:val="auto"/>
        </w:rPr>
        <w:t>Budget For Tenant Improvements</w:t>
      </w:r>
      <w:r>
        <w:rPr>
          <w:rFonts w:ascii="Arial" w:cs="Arial" w:eastAsia="Arial" w:hAnsi="Arial"/>
          <w:sz w:val="16"/>
          <w:szCs w:val="16"/>
          <w:color w:val="auto"/>
        </w:rPr>
        <w:t>. Before the commencement of construction of the Tenant Improvements, Landlord shall obtain a detailed</w:t>
      </w:r>
      <w:r>
        <w:rPr>
          <w:rFonts w:ascii="Arial" w:cs="Arial" w:eastAsia="Arial" w:hAnsi="Arial"/>
          <w:sz w:val="16"/>
          <w:szCs w:val="16"/>
          <w:b w:val="1"/>
          <w:bCs w:val="1"/>
          <w:color w:val="auto"/>
        </w:rPr>
        <w:t xml:space="preserve"> </w:t>
      </w:r>
      <w:r>
        <w:rPr>
          <w:rFonts w:ascii="Arial" w:cs="Arial" w:eastAsia="Arial" w:hAnsi="Arial"/>
          <w:sz w:val="16"/>
          <w:szCs w:val="16"/>
          <w:color w:val="auto"/>
        </w:rPr>
        <w:t>breakdown by trade of the costs incurred or that will be incurred in connection with the design and construction of the Tenant Improvements (the “</w:t>
      </w:r>
      <w:r>
        <w:rPr>
          <w:rFonts w:ascii="Arial" w:cs="Arial" w:eastAsia="Arial" w:hAnsi="Arial"/>
          <w:sz w:val="16"/>
          <w:szCs w:val="16"/>
          <w:b w:val="1"/>
          <w:bCs w:val="1"/>
          <w:color w:val="auto"/>
        </w:rPr>
        <w:t>Budget</w:t>
      </w:r>
      <w:r>
        <w:rPr>
          <w:rFonts w:ascii="Arial" w:cs="Arial" w:eastAsia="Arial" w:hAnsi="Arial"/>
          <w:sz w:val="16"/>
          <w:szCs w:val="16"/>
          <w:color w:val="auto"/>
        </w:rPr>
        <w:t>”). The Budget shall be based upon the TI Construction Drawings approved by Tenant and shall include a payment to Landlord of administrative rent (“</w:t>
      </w:r>
      <w:r>
        <w:rPr>
          <w:rFonts w:ascii="Arial" w:cs="Arial" w:eastAsia="Arial" w:hAnsi="Arial"/>
          <w:sz w:val="16"/>
          <w:szCs w:val="16"/>
          <w:b w:val="1"/>
          <w:bCs w:val="1"/>
          <w:color w:val="auto"/>
        </w:rPr>
        <w:t>Administrative Rent</w:t>
      </w:r>
      <w:r>
        <w:rPr>
          <w:rFonts w:ascii="Arial" w:cs="Arial" w:eastAsia="Arial" w:hAnsi="Arial"/>
          <w:sz w:val="16"/>
          <w:szCs w:val="16"/>
          <w:color w:val="auto"/>
        </w:rPr>
        <w:t xml:space="preserve">”) in the amount of $150,000 for monitoring and inspecting the construction of the Tenant Improvements and Changes, which sum shall be payable from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Administrative Rent shall include, without limitation, all out-of-pocket costs, expenses and fees incurred by or on behalf of Landlord arising from, out of, or in connection with monitoring the construction of the Tenant Improvements and Changes, and shall be payable out of the TI Fund. Tenant shall have the right to use a third party construction manager reasonably acceptable to Landlord with respect to the design, construction and construction management of the Tenant Improvements (and Landlord hereby approves Doug Cowan of Jones Lang LaSalle as Tenant’s construction manager). The cost of such third party construction manager may be paid out of the TI Allowance following presentment of an invoice pursuant to a schedule to be agreed upon by Landlord and Tenant. Tenant shall either</w:t>
      </w:r>
    </w:p>
    <w:p>
      <w:pPr>
        <w:spacing w:after="0" w:line="1" w:lineRule="exact"/>
        <w:rPr>
          <w:rFonts w:ascii="Arial" w:cs="Arial" w:eastAsia="Arial" w:hAnsi="Arial"/>
          <w:sz w:val="16"/>
          <w:szCs w:val="16"/>
          <w:color w:val="auto"/>
        </w:rPr>
      </w:pPr>
    </w:p>
    <w:p>
      <w:pPr>
        <w:ind w:firstLine="4"/>
        <w:spacing w:after="0" w:line="284" w:lineRule="auto"/>
        <w:tabs>
          <w:tab w:leader="none" w:pos="215" w:val="left"/>
        </w:tabs>
        <w:numPr>
          <w:ilvl w:val="0"/>
          <w:numId w:val="651"/>
        </w:numPr>
        <w:rPr>
          <w:rFonts w:ascii="Arial" w:cs="Arial" w:eastAsia="Arial" w:hAnsi="Arial"/>
          <w:sz w:val="16"/>
          <w:szCs w:val="16"/>
          <w:color w:val="auto"/>
        </w:rPr>
      </w:pPr>
      <w:r>
        <w:rPr>
          <w:rFonts w:ascii="Arial" w:cs="Arial" w:eastAsia="Arial" w:hAnsi="Arial"/>
          <w:sz w:val="16"/>
          <w:szCs w:val="16"/>
          <w:color w:val="auto"/>
        </w:rPr>
        <w:t xml:space="preserve">approve and deliver the Budget to Landlord within five (5) business days of the receipt of the same and Tenant’s failure to respond shall constitute a Tenant Delay to the extent completion of Landlord’s Work is actually delayed, or (ii) notify Landlord within five (5) business days after Tenant’s receipt of the Budget that Tenant will instruct the TI Architect to revise the TI Construction Drawings to change the amount of the Budget, in which case such changes shall be made to the TI Construction Drawings only in accordance with this Work Letter and the revised TI Construction Drawings shall be provided to the General Contractor for repricing whereupon Landlord shall revise the Budget for Tenant’s approval. This procedure shall be repeated until the Budget is approved by Tenant which approval shall not be unreasonably withheld, delayed or conditioned, and if the process is repeated more than once then each day until the Budget is approved by Tenant shall constitute a Tenant Delay (to the extent of an actual delay in the completion of Landlord’s Work). If the Budget is greater than the TI Allowance, Tenant shall pay the difference to Landlord pursuant to a schedule to be determined by Landlord in its sole and absolute discretion; provided, however, in no event shall Landlord require Tenant to pay to Landlord more than 50% of the difference, in cash, prior to the commencement of construction of the Tenant Improvements or Changes, nor shall Landlord require Tenant to pay more than 50% of the difference to Landlord prior to the point when the Tenant Improvements are at least 50% completed, for disbursement by Landlord as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 If following Substantial Completion of the Tenant Improvements, there remain Excess TI Costs which have not been billed to Tenant, Tenant shall, after receipt of reasonably acceptable evidence of the same from Landlord, pay the same to Landlord which costs will be amortized on a straight line basis over the first ten (10) months of the Base Term of the Lease (commencing after the date of Delivery of the Premises to Tenant with Landlord’s Work Substantially Complete; provided, however, that if any Excess TI Costs are billed to Tenant after the date of the Delivery then the commencement date for the straight line amortization of such Excess TI Costs over the remainder of such 10–month period shall commence on Tenant’s receipt of the bill for the applicable Excess TI Costs) with interest at 8% per annum as Additional Rent, and such amortized amounts will be payable by Tenant monthly at the same time and place as Base Rent commencing with the first payment of Base Rent after the Construction Period.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contained herein, in no event may the cost of the Tenant Improvements (including Changes) exceed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$275.00 per rentable square foot of the Premises without Landlord’s prior written consent which consent may be granted or withheld in Landlord’s sole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absolute discretion.</w:t>
      </w:r>
    </w:p>
    <w:p>
      <w:pPr>
        <w:sectPr>
          <w:pgSz w:w="11900" w:h="16838" w:orient="portrait"/>
          <w:cols w:equalWidth="0" w:num="1">
            <w:col w:w="11020"/>
          </w:cols>
          <w:pgMar w:left="440" w:top="271" w:right="439" w:bottom="1440" w:gutter="0" w:footer="0" w:header="0"/>
        </w:sectPr>
      </w:pPr>
    </w:p>
    <w:bookmarkStart w:id="740" w:name="page741"/>
    <w:bookmarkEnd w:id="740"/>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(collectively, the “</w:t>
      </w:r>
      <w:r>
        <w:rPr>
          <w:rFonts w:ascii="Arial" w:cs="Arial" w:eastAsia="Arial" w:hAnsi="Arial"/>
          <w:sz w:val="18"/>
          <w:szCs w:val="18"/>
          <w:b w:val="1"/>
          <w:bCs w:val="1"/>
          <w:color w:val="auto"/>
        </w:rPr>
        <w:t>TI Allowance</w:t>
      </w:r>
      <w:r>
        <w:rPr>
          <w:rFonts w:ascii="Arial" w:cs="Arial" w:eastAsia="Arial" w:hAnsi="Arial"/>
          <w:sz w:val="18"/>
          <w:szCs w:val="18"/>
          <w:color w:val="auto"/>
        </w:rPr>
        <w:t>”) as follows:</w:t>
      </w:r>
    </w:p>
    <w:p>
      <w:pPr>
        <w:spacing w:after="0" w:line="225" w:lineRule="exact"/>
        <w:rPr>
          <w:sz w:val="20"/>
          <w:szCs w:val="20"/>
          <w:color w:val="auto"/>
        </w:rPr>
      </w:pPr>
    </w:p>
    <w:p>
      <w:pPr>
        <w:ind w:right="300" w:firstLine="444"/>
        <w:spacing w:after="0" w:line="282" w:lineRule="auto"/>
        <w:tabs>
          <w:tab w:leader="none" w:pos="62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in the maximum amount of $200.00 per rentable square foot in the Premises, which is included in the Base Rent set forth in the Lease; and</w:t>
      </w:r>
    </w:p>
    <w:p>
      <w:pPr>
        <w:spacing w:after="0" w:line="161" w:lineRule="exact"/>
        <w:rPr>
          <w:rFonts w:ascii="Arial" w:cs="Arial" w:eastAsia="Arial" w:hAnsi="Arial"/>
          <w:sz w:val="18"/>
          <w:szCs w:val="18"/>
          <w:color w:val="auto"/>
        </w:rPr>
      </w:pPr>
    </w:p>
    <w:p>
      <w:pPr>
        <w:ind w:right="100" w:firstLine="444"/>
        <w:spacing w:after="0" w:line="282" w:lineRule="auto"/>
        <w:tabs>
          <w:tab w:leader="none" w:pos="62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Tenant Improvement Allowance</w:t>
      </w:r>
      <w:r>
        <w:rPr>
          <w:rFonts w:ascii="Arial" w:cs="Arial" w:eastAsia="Arial" w:hAnsi="Arial"/>
          <w:sz w:val="18"/>
          <w:szCs w:val="18"/>
          <w:color w:val="auto"/>
        </w:rPr>
        <w:t xml:space="preserve">” in the maximum amount of $45.00 per rentable square foot in the Premises, which shall, to the extent used, result in TI Rent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of the Lease.</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Within 10 days after Tenant’s receipt of the Budget,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or (ii) any Changes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except that, if, following the completion and full payment of the Tenant Improvements, the full TI Costs were less than $200.00 per rentable square foot of the Premises, then the Base Rent payable during the Base Term under the Lease shall be reduced by the amount of the savings multiplied by 7% per annum. For example, if only $190.00 per rentable square foot of the Tenant Improvement Allowance is used, the Base Rent per rentable square foot per month would be reduced by $0.0583 per rentable square foot per month.</w:t>
      </w:r>
    </w:p>
    <w:p>
      <w:pPr>
        <w:spacing w:after="0" w:line="17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addition to the foregoing, if Tenant elects to construct operable windows as part of the Tenant Improvements on the second floor of the Building in select locations mutually agreed to by Landlord and Tenant, Landlord shall contribute up to $100,000 towards the costs incurred by Tenant in connection with the same.</w:t>
      </w:r>
    </w:p>
    <w:p>
      <w:pPr>
        <w:spacing w:after="0" w:line="177" w:lineRule="exact"/>
        <w:rPr>
          <w:sz w:val="20"/>
          <w:szCs w:val="20"/>
          <w:color w:val="auto"/>
        </w:rPr>
      </w:pPr>
    </w:p>
    <w:p>
      <w:pPr>
        <w:ind w:right="100" w:firstLine="444"/>
        <w:spacing w:after="0" w:line="271" w:lineRule="auto"/>
        <w:tabs>
          <w:tab w:leader="none" w:pos="685" w:val="left"/>
        </w:tabs>
        <w:numPr>
          <w:ilvl w:val="0"/>
          <w:numId w:val="653"/>
        </w:numPr>
        <w:rPr>
          <w:rFonts w:ascii="Arial" w:cs="Arial" w:eastAsia="Arial" w:hAnsi="Arial"/>
          <w:sz w:val="17"/>
          <w:szCs w:val="17"/>
          <w:color w:val="auto"/>
        </w:rPr>
      </w:pPr>
      <w:r>
        <w:rPr>
          <w:rFonts w:ascii="Arial" w:cs="Arial" w:eastAsia="Arial" w:hAnsi="Arial"/>
          <w:sz w:val="17"/>
          <w:szCs w:val="17"/>
          <w:b w:val="1"/>
          <w:bCs w:val="1"/>
          <w:color w:val="auto"/>
        </w:rPr>
        <w:t>Costs Includable in TI Fund</w:t>
      </w:r>
      <w:r>
        <w:rPr>
          <w:rFonts w:ascii="Arial" w:cs="Arial" w:eastAsia="Arial" w:hAnsi="Arial"/>
          <w:sz w:val="17"/>
          <w:szCs w:val="17"/>
          <w:color w:val="auto"/>
        </w:rPr>
        <w:t>. The TI Fund shall be used solely for the payment of design, permits and construction costs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construction of the Tenant Improvements, including, without limitation, the cost of electrical power and other utilities used in connection with the construction of the Tenant Improvements, the cost of preparing the Space Plan, the Design Development Drawings and the TI Construction Drawings, all costs set forth in the Budget, including Landlord’s Administrative Rent, the cost of Minor Variations, Landlord’s out-of-pocket expenses, costs resulting from Tenant Delays and the cost of Changes (collectively, “</w:t>
      </w:r>
      <w:r>
        <w:rPr>
          <w:rFonts w:ascii="Arial" w:cs="Arial" w:eastAsia="Arial" w:hAnsi="Arial"/>
          <w:sz w:val="17"/>
          <w:szCs w:val="17"/>
          <w:b w:val="1"/>
          <w:bCs w:val="1"/>
          <w:color w:val="auto"/>
        </w:rPr>
        <w:t>TI Costs</w:t>
      </w:r>
      <w:r>
        <w:rPr>
          <w:rFonts w:ascii="Arial" w:cs="Arial" w:eastAsia="Arial" w:hAnsi="Arial"/>
          <w:sz w:val="17"/>
          <w:szCs w:val="17"/>
          <w:color w:val="auto"/>
        </w:rPr>
        <w:t>”). Except as provided in the following sentence,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 A portion of TI Allowance, up to $7.00 per rentable square foot of the Premises may be used for Tenant’s voice and data cabling, security system, Tenant’s signage, the Emergency Generator and other costs reasonably acceptable to Landlord.</w:t>
      </w:r>
    </w:p>
    <w:p>
      <w:pPr>
        <w:spacing w:after="0" w:line="174" w:lineRule="exact"/>
        <w:rPr>
          <w:rFonts w:ascii="Arial" w:cs="Arial" w:eastAsia="Arial" w:hAnsi="Arial"/>
          <w:sz w:val="17"/>
          <w:szCs w:val="17"/>
          <w:color w:val="auto"/>
        </w:rPr>
      </w:pPr>
    </w:p>
    <w:p>
      <w:pPr>
        <w:ind w:right="40" w:firstLine="444"/>
        <w:spacing w:after="0" w:line="269" w:lineRule="auto"/>
        <w:tabs>
          <w:tab w:leader="none" w:pos="695" w:val="left"/>
        </w:tabs>
        <w:numPr>
          <w:ilvl w:val="0"/>
          <w:numId w:val="653"/>
        </w:numPr>
        <w:rPr>
          <w:rFonts w:ascii="Arial" w:cs="Arial" w:eastAsia="Arial" w:hAnsi="Arial"/>
          <w:sz w:val="17"/>
          <w:szCs w:val="17"/>
          <w:color w:val="auto"/>
        </w:rPr>
      </w:pPr>
      <w:r>
        <w:rPr>
          <w:rFonts w:ascii="Arial" w:cs="Arial" w:eastAsia="Arial" w:hAnsi="Arial"/>
          <w:sz w:val="17"/>
          <w:szCs w:val="17"/>
          <w:b w:val="1"/>
          <w:bCs w:val="1"/>
          <w:color w:val="auto"/>
        </w:rPr>
        <w:t>Excess TI Costs</w:t>
      </w:r>
      <w:r>
        <w:rPr>
          <w:rFonts w:ascii="Arial" w:cs="Arial" w:eastAsia="Arial" w:hAnsi="Arial"/>
          <w:sz w:val="17"/>
          <w:szCs w:val="17"/>
          <w:color w:val="auto"/>
        </w:rPr>
        <w:t>. Landlord shall have no obligation to bear any portion of the cost of any of the Tenant Improvements except to the extent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TI Allowance. If at any time the remaining TI Costs under the Budget exceed the remaining unexpended TI Allowance, Tenant shall, pursuant to a schedule to be determined by Landlord but in compliance with the provisions of the second to last sentence of </w:t>
      </w:r>
      <w:r>
        <w:rPr>
          <w:rFonts w:ascii="Arial" w:cs="Arial" w:eastAsia="Arial" w:hAnsi="Arial"/>
          <w:sz w:val="17"/>
          <w:szCs w:val="17"/>
          <w:u w:val="single" w:color="auto"/>
          <w:color w:val="auto"/>
        </w:rPr>
        <w:t>Section 5(a)</w:t>
      </w:r>
      <w:r>
        <w:rPr>
          <w:rFonts w:ascii="Arial" w:cs="Arial" w:eastAsia="Arial" w:hAnsi="Arial"/>
          <w:sz w:val="17"/>
          <w:szCs w:val="17"/>
          <w:color w:val="auto"/>
        </w:rPr>
        <w:t>, deposit with Landlord, as a condition precedent to Landlord’s obligation to complete the Tenant Improvements, 100% of the then current TI Cost in excess of the remaining TI Allowance (“</w:t>
      </w:r>
      <w:r>
        <w:rPr>
          <w:rFonts w:ascii="Arial" w:cs="Arial" w:eastAsia="Arial" w:hAnsi="Arial"/>
          <w:sz w:val="17"/>
          <w:szCs w:val="17"/>
          <w:b w:val="1"/>
          <w:bCs w:val="1"/>
          <w:color w:val="auto"/>
        </w:rPr>
        <w:t>Excess TI Costs</w:t>
      </w:r>
      <w:r>
        <w:rPr>
          <w:rFonts w:ascii="Arial" w:cs="Arial" w:eastAsia="Arial" w:hAnsi="Arial"/>
          <w:sz w:val="17"/>
          <w:szCs w:val="17"/>
          <w:color w:val="auto"/>
        </w:rPr>
        <w:t>”).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7"/>
          <w:szCs w:val="17"/>
          <w:b w:val="1"/>
          <w:bCs w:val="1"/>
          <w:color w:val="auto"/>
        </w:rPr>
        <w:t>TI Fund</w:t>
      </w:r>
      <w:r>
        <w:rPr>
          <w:rFonts w:ascii="Arial" w:cs="Arial" w:eastAsia="Arial" w:hAnsi="Arial"/>
          <w:sz w:val="17"/>
          <w:szCs w:val="17"/>
          <w:color w:val="auto"/>
        </w:rPr>
        <w:t xml:space="preserve">.” Funds deposited by Tenant shall be the first disbursed to pay TI Costs. Notwithstanding anything to the contrary set forth in this </w:t>
      </w:r>
      <w:r>
        <w:rPr>
          <w:rFonts w:ascii="Arial" w:cs="Arial" w:eastAsia="Arial" w:hAnsi="Arial"/>
          <w:sz w:val="17"/>
          <w:szCs w:val="17"/>
          <w:u w:val="single" w:color="auto"/>
          <w:color w:val="auto"/>
        </w:rPr>
        <w:t>Section 5(d)</w:t>
      </w:r>
      <w:r>
        <w:rPr>
          <w:rFonts w:ascii="Arial" w:cs="Arial" w:eastAsia="Arial" w:hAnsi="Arial"/>
          <w:sz w:val="17"/>
          <w:szCs w:val="17"/>
          <w:color w:val="auto"/>
        </w:rPr>
        <w:t>, Tenant shall be fully and solely liable for TI Costs in excess of the TI Allowance and the cost of Minor Variations to the Tenant Improvements in excess of the TI Allowance.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ectPr>
          <w:pgSz w:w="11900" w:h="16838" w:orient="portrait"/>
          <w:cols w:equalWidth="0" w:num="1">
            <w:col w:w="11020"/>
          </w:cols>
          <w:pgMar w:left="440" w:top="270" w:right="439" w:bottom="1440" w:gutter="0" w:footer="0" w:header="0"/>
        </w:sectPr>
      </w:pPr>
    </w:p>
    <w:bookmarkStart w:id="741" w:name="page742"/>
    <w:bookmarkEnd w:id="741"/>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8</w:t>
      </w:r>
    </w:p>
    <w:p>
      <w:pPr>
        <w:spacing w:after="0" w:line="158" w:lineRule="exact"/>
        <w:rPr>
          <w:sz w:val="20"/>
          <w:szCs w:val="20"/>
          <w:color w:val="auto"/>
        </w:rPr>
      </w:pPr>
    </w:p>
    <w:p>
      <w:pPr>
        <w:ind w:left="620" w:hanging="176"/>
        <w:spacing w:after="0"/>
        <w:tabs>
          <w:tab w:leader="none" w:pos="620" w:val="left"/>
        </w:tabs>
        <w:numPr>
          <w:ilvl w:val="0"/>
          <w:numId w:val="654"/>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225" w:lineRule="exact"/>
        <w:rPr>
          <w:sz w:val="20"/>
          <w:szCs w:val="20"/>
          <w:color w:val="auto"/>
        </w:rPr>
      </w:pPr>
    </w:p>
    <w:p>
      <w:pPr>
        <w:ind w:left="680" w:hanging="236"/>
        <w:spacing w:after="0"/>
        <w:tabs>
          <w:tab w:leader="none" w:pos="680" w:val="left"/>
        </w:tabs>
        <w:numPr>
          <w:ilvl w:val="0"/>
          <w:numId w:val="655"/>
        </w:numPr>
        <w:rPr>
          <w:rFonts w:ascii="Arial" w:cs="Arial" w:eastAsia="Arial" w:hAnsi="Arial"/>
          <w:sz w:val="16"/>
          <w:szCs w:val="16"/>
          <w:color w:val="auto"/>
        </w:rPr>
      </w:pPr>
      <w:r>
        <w:rPr>
          <w:rFonts w:ascii="Arial" w:cs="Arial" w:eastAsia="Arial" w:hAnsi="Arial"/>
          <w:sz w:val="16"/>
          <w:szCs w:val="16"/>
          <w:b w:val="1"/>
          <w:bCs w:val="1"/>
          <w:color w:val="auto"/>
        </w:rPr>
        <w:t>Tenant’s Access Rights</w:t>
      </w:r>
      <w:r>
        <w:rPr>
          <w:rFonts w:ascii="Arial" w:cs="Arial" w:eastAsia="Arial" w:hAnsi="Arial"/>
          <w:sz w:val="16"/>
          <w:szCs w:val="16"/>
          <w:color w:val="auto"/>
        </w:rPr>
        <w:t>. Tenant shall have no right to access the Premises prior to the date of Substantial Completion of the Landlord’s Work.</w:t>
      </w:r>
    </w:p>
    <w:p>
      <w:pPr>
        <w:spacing w:after="0" w:line="248" w:lineRule="exact"/>
        <w:rPr>
          <w:rFonts w:ascii="Arial" w:cs="Arial" w:eastAsia="Arial" w:hAnsi="Arial"/>
          <w:sz w:val="16"/>
          <w:szCs w:val="16"/>
          <w:color w:val="auto"/>
        </w:rPr>
      </w:pPr>
    </w:p>
    <w:p>
      <w:pPr>
        <w:ind w:right="180" w:firstLine="444"/>
        <w:spacing w:after="0" w:line="289" w:lineRule="auto"/>
        <w:tabs>
          <w:tab w:leader="none" w:pos="695" w:val="left"/>
        </w:tabs>
        <w:numPr>
          <w:ilvl w:val="0"/>
          <w:numId w:val="655"/>
        </w:numPr>
        <w:rPr>
          <w:rFonts w:ascii="Arial" w:cs="Arial" w:eastAsia="Arial" w:hAnsi="Arial"/>
          <w:sz w:val="17"/>
          <w:szCs w:val="17"/>
          <w:color w:val="auto"/>
        </w:rPr>
      </w:pPr>
      <w:r>
        <w:rPr>
          <w:rFonts w:ascii="Arial" w:cs="Arial" w:eastAsia="Arial" w:hAnsi="Arial"/>
          <w:sz w:val="17"/>
          <w:szCs w:val="17"/>
          <w:b w:val="1"/>
          <w:bCs w:val="1"/>
          <w:color w:val="auto"/>
        </w:rPr>
        <w:t>No Interference</w:t>
      </w:r>
      <w:r>
        <w:rPr>
          <w:rFonts w:ascii="Arial" w:cs="Arial" w:eastAsia="Arial" w:hAnsi="Arial"/>
          <w:sz w:val="17"/>
          <w:szCs w:val="17"/>
          <w:color w:val="auto"/>
        </w:rPr>
        <w:t>. Neither Tenant nor any Tenant Party (as defined in the Lease) shall interfere with the performance of Landlord’s Work, nor</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inspections or issuance of final approvals by applicable Governmental Authorities, and upon any such interference, Landlord shall have the right to exclude Tenant and any Tenant Party from the Premises and the Project until Substantial Completion of Landlord’s Work.</w:t>
      </w:r>
    </w:p>
    <w:p>
      <w:pPr>
        <w:spacing w:after="0" w:line="158" w:lineRule="exact"/>
        <w:rPr>
          <w:rFonts w:ascii="Arial" w:cs="Arial" w:eastAsia="Arial" w:hAnsi="Arial"/>
          <w:sz w:val="17"/>
          <w:szCs w:val="17"/>
          <w:color w:val="auto"/>
        </w:rPr>
      </w:pPr>
    </w:p>
    <w:p>
      <w:pPr>
        <w:ind w:right="100" w:firstLine="444"/>
        <w:spacing w:after="0" w:line="258" w:lineRule="auto"/>
        <w:tabs>
          <w:tab w:leader="none" w:pos="685" w:val="left"/>
        </w:tabs>
        <w:numPr>
          <w:ilvl w:val="0"/>
          <w:numId w:val="655"/>
        </w:numPr>
        <w:rPr>
          <w:rFonts w:ascii="Arial" w:cs="Arial" w:eastAsia="Arial" w:hAnsi="Arial"/>
          <w:sz w:val="18"/>
          <w:szCs w:val="18"/>
          <w:color w:val="auto"/>
        </w:rPr>
      </w:pPr>
      <w:r>
        <w:rPr>
          <w:rFonts w:ascii="Arial" w:cs="Arial" w:eastAsia="Arial" w:hAnsi="Arial"/>
          <w:sz w:val="18"/>
          <w:szCs w:val="18"/>
          <w:b w:val="1"/>
          <w:bCs w:val="1"/>
          <w:color w:val="auto"/>
        </w:rPr>
        <w:t>No Acceptance of Premises</w:t>
      </w:r>
      <w:r>
        <w:rPr>
          <w:rFonts w:ascii="Arial" w:cs="Arial" w:eastAsia="Arial" w:hAnsi="Arial"/>
          <w:sz w:val="18"/>
          <w:szCs w:val="18"/>
          <w:color w:val="auto"/>
        </w:rPr>
        <w:t>. The fact that Tenant may, with Landlord’s consent, enter into the Project prior to the date Landlord’s Work is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Complete for the purpose of performing Tenant’s Work shall not be 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84" w:lineRule="exact"/>
        <w:rPr>
          <w:sz w:val="20"/>
          <w:szCs w:val="20"/>
          <w:color w:val="auto"/>
        </w:rPr>
      </w:pPr>
    </w:p>
    <w:p>
      <w:pPr>
        <w:ind w:left="620" w:hanging="176"/>
        <w:spacing w:after="0"/>
        <w:tabs>
          <w:tab w:leader="none" w:pos="620" w:val="left"/>
        </w:tabs>
        <w:numPr>
          <w:ilvl w:val="0"/>
          <w:numId w:val="656"/>
        </w:numPr>
        <w:rPr>
          <w:rFonts w:ascii="Arial" w:cs="Arial" w:eastAsia="Arial" w:hAnsi="Arial"/>
          <w:sz w:val="18"/>
          <w:szCs w:val="18"/>
          <w:color w:val="auto"/>
        </w:rPr>
      </w:pPr>
      <w:r>
        <w:rPr>
          <w:rFonts w:ascii="Arial" w:cs="Arial" w:eastAsia="Arial" w:hAnsi="Arial"/>
          <w:sz w:val="18"/>
          <w:szCs w:val="18"/>
          <w:b w:val="1"/>
          <w:bCs w:val="1"/>
          <w:color w:val="auto"/>
        </w:rPr>
        <w:t>Limitation on Tenant’s Liability</w:t>
      </w:r>
      <w:r>
        <w:rPr>
          <w:rFonts w:ascii="Arial" w:cs="Arial" w:eastAsia="Arial" w:hAnsi="Arial"/>
          <w:sz w:val="18"/>
          <w:szCs w:val="18"/>
          <w:color w:val="auto"/>
        </w:rPr>
        <w:t>.</w:t>
      </w:r>
    </w:p>
    <w:p>
      <w:pPr>
        <w:spacing w:after="0" w:line="229" w:lineRule="exact"/>
        <w:rPr>
          <w:sz w:val="20"/>
          <w:szCs w:val="20"/>
          <w:color w:val="auto"/>
        </w:rPr>
      </w:pPr>
    </w:p>
    <w:p>
      <w:pPr>
        <w:ind w:firstLine="444"/>
        <w:spacing w:after="0" w:line="285" w:lineRule="auto"/>
        <w:tabs>
          <w:tab w:leader="none" w:pos="685" w:val="left"/>
        </w:tabs>
        <w:numPr>
          <w:ilvl w:val="0"/>
          <w:numId w:val="65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Lease (including this Work Letter), during the Construction Period (as defined below), Tenant’s liability to Landlord under the Lease (including the Work Letter) for Rental Payments shall at no time exceed 89.9% of Landlord’s Project Costs incurred as of the date of Landlord’s claim for such amount owed by Tenant (the “</w:t>
      </w:r>
      <w:r>
        <w:rPr>
          <w:rFonts w:ascii="Arial" w:cs="Arial" w:eastAsia="Arial" w:hAnsi="Arial"/>
          <w:sz w:val="16"/>
          <w:szCs w:val="16"/>
          <w:b w:val="1"/>
          <w:bCs w:val="1"/>
          <w:color w:val="auto"/>
        </w:rPr>
        <w:t>89.9% Threshold</w:t>
      </w:r>
      <w:r>
        <w:rPr>
          <w:rFonts w:ascii="Arial" w:cs="Arial" w:eastAsia="Arial" w:hAnsi="Arial"/>
          <w:sz w:val="16"/>
          <w:szCs w:val="16"/>
          <w:color w:val="auto"/>
        </w:rPr>
        <w:t>”) as reasonably determined by the Landlord; provided that such 89.9% Threshold will be calculated by taking into consideration whether at any point during the Construction Period, the sum of the Rental Payments could exceed the 89.9% Threshold, with the Rental Payments calculated to include (i) the accreted value of any Rental Payments previously made by Tenant plus (ii) the present value of the maximum amount of Rental Payments that Tenant could be required to pay as of that point in time (whether or not construction is completed). With respect to clause (ii) in the preceding sentence, for the avoidance of any doubt, any amounts previously deferred shall not be deemed currently payable for purposes of the calculation. Any Rental Payments owed by Tenant to Landlord in excess of such 89.9% Threshold (the “</w:t>
      </w:r>
      <w:r>
        <w:rPr>
          <w:rFonts w:ascii="Arial" w:cs="Arial" w:eastAsia="Arial" w:hAnsi="Arial"/>
          <w:sz w:val="16"/>
          <w:szCs w:val="16"/>
          <w:b w:val="1"/>
          <w:bCs w:val="1"/>
          <w:color w:val="auto"/>
        </w:rPr>
        <w:t>Excess Amounts</w:t>
      </w:r>
      <w:r>
        <w:rPr>
          <w:rFonts w:ascii="Arial" w:cs="Arial" w:eastAsia="Arial" w:hAnsi="Arial"/>
          <w:sz w:val="16"/>
          <w:szCs w:val="16"/>
          <w:color w:val="auto"/>
        </w:rPr>
        <w:t>”) shall not be payable during the Construction Period, and will instead be amortized on a straight line basis over the Base Term of the Lease (commencing after the date of Delivery of the Premises to Tenant with Landlord’s Work Substantially Complete) with interest at 8% per annum as Additional Rent, and such amortized Excess Amounts will be payable by Tenant monthly at the same time and place as Base Rent commencing with the first payment of Base Rent after the Construction Period. For purposes of calculating the 89.9% Threshold, the Rental Payments owed by Tenant to Landlord at the time of the applicable calculation shall be discounted to their then present value using 9% which represents Tenant’s incremental borrowing rate on the date hereof, applied on a monthly basis. All remedies of Landlord which arise under the Lease and this Work Letter during the Construction Period will be subject to this Section 7 (including remedies in the event the Lease is terminated during the Construction Period), excepting only amounts due from Tenant to Landlord by reason of fraud, willful misconduct, bankruptcy or illegal acts by Tenant.</w:t>
      </w:r>
    </w:p>
    <w:p>
      <w:pPr>
        <w:spacing w:after="0" w:line="177" w:lineRule="exact"/>
        <w:rPr>
          <w:rFonts w:ascii="Arial" w:cs="Arial" w:eastAsia="Arial" w:hAnsi="Arial"/>
          <w:sz w:val="16"/>
          <w:szCs w:val="16"/>
          <w:color w:val="auto"/>
        </w:rPr>
      </w:pPr>
    </w:p>
    <w:p>
      <w:pPr>
        <w:ind w:left="700" w:hanging="256"/>
        <w:spacing w:after="0"/>
        <w:tabs>
          <w:tab w:leader="none" w:pos="70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300" w:firstLine="428"/>
        <w:spacing w:after="0" w:line="289" w:lineRule="auto"/>
        <w:tabs>
          <w:tab w:leader="none" w:pos="1078" w:val="left"/>
        </w:tabs>
        <w:numPr>
          <w:ilvl w:val="1"/>
          <w:numId w:val="6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Construction Period</w:t>
      </w:r>
      <w:r>
        <w:rPr>
          <w:rFonts w:ascii="Arial" w:cs="Arial" w:eastAsia="Arial" w:hAnsi="Arial"/>
          <w:sz w:val="17"/>
          <w:szCs w:val="17"/>
          <w:color w:val="auto"/>
        </w:rPr>
        <w:t>” shall mean the period from the date of the Lease until the date of Delivery of the Premises to Tenant with Landlord’s Work Substantially Complete (regardless of any Tenant Delays); provided, however, that, if there are more than 270 days of Tenant Delay, Landlord may if it so elects, notwithstanding anything to the contrary contained in the Lease (and/or</w:t>
      </w:r>
    </w:p>
    <w:p>
      <w:pPr>
        <w:sectPr>
          <w:pgSz w:w="11900" w:h="16838" w:orient="portrait"/>
          <w:cols w:equalWidth="0" w:num="1">
            <w:col w:w="11020"/>
          </w:cols>
          <w:pgMar w:left="440" w:top="270" w:right="439" w:bottom="1440" w:gutter="0" w:footer="0" w:header="0"/>
        </w:sectPr>
      </w:pPr>
    </w:p>
    <w:bookmarkStart w:id="742" w:name="page743"/>
    <w:bookmarkEnd w:id="742"/>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9</w:t>
      </w:r>
    </w:p>
    <w:p>
      <w:pPr>
        <w:spacing w:after="0" w:line="162"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this Work Letter), (x) terminate this Lease, upon written notice to Tenant, in which case the Construction Period shall terminate and Landlord may pursue all of its rights and remedies under the Lease (and this Work Letter) or (y) construct and Deliver the Premises with Tenant Improvements as determined by Landlord, in its sole and absolute discretion including, without limitation, changing the TI Construction Drawings so that the Tenant Improvements are consistent with a so-called spec build-out for one or more tenants and without any further input required or permitted by Tenant, but Tenant shall not be responsible for Excess TI Costs with respect to the Tenant Improvements in excess of the TI Allowance of $245 per rentable square of the Premises unless Tenant has approved such Excess TI Costs (in Tenant’s sole discretion), and Tenant agrees to accept the Premises in their as is condition upon Delivery.</w:t>
      </w:r>
    </w:p>
    <w:p>
      <w:pPr>
        <w:spacing w:after="0" w:line="77" w:lineRule="exact"/>
        <w:rPr>
          <w:sz w:val="20"/>
          <w:szCs w:val="20"/>
          <w:color w:val="auto"/>
        </w:rPr>
      </w:pPr>
    </w:p>
    <w:p>
      <w:pPr>
        <w:ind w:left="440" w:right="100" w:firstLine="428"/>
        <w:spacing w:after="0" w:line="272" w:lineRule="auto"/>
        <w:tabs>
          <w:tab w:leader="none" w:pos="1128" w:val="left"/>
        </w:tabs>
        <w:numPr>
          <w:ilvl w:val="0"/>
          <w:numId w:val="6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Rental Payments</w:t>
      </w:r>
      <w:r>
        <w:rPr>
          <w:rFonts w:ascii="Arial" w:cs="Arial" w:eastAsia="Arial" w:hAnsi="Arial"/>
          <w:sz w:val="17"/>
          <w:szCs w:val="17"/>
          <w:color w:val="auto"/>
        </w:rPr>
        <w:t xml:space="preserve">” shall mean all of the following amounts which are required to be paid by Tenant to Landlord under the Lease (and this Work Letter), including, without limitation, as a result of Tenant Delay: Base Rent, Operating Expenses, costs arising from Change Requests, Excess TI Costs, TI Rent, any amount owed to Landlord pursuant to an any indemnification obligation on the part of Tenant in favor of Landlord (with the parties agreeing that, during the Construction Period, Tenant’s indemnification obligation shall be limited as set forth in Section 7(e) below), any amount which Tenant is required to pay to Landlord as reimbursement for amounts paid by Landlord to a third party during the Construction Period, and any and all other costs payable by Tenant to Landlord including payments in the event of a default by Tenant. Rental Payments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include (and the 89.9% Threshold will not apply to) amounts due from Tenant to Landlord by reason of fraud, willful misconduct, bankruptcy or illegal acts by Tenant.</w:t>
      </w:r>
    </w:p>
    <w:p>
      <w:pPr>
        <w:spacing w:after="0" w:line="64" w:lineRule="exact"/>
        <w:rPr>
          <w:rFonts w:ascii="Arial" w:cs="Arial" w:eastAsia="Arial" w:hAnsi="Arial"/>
          <w:sz w:val="17"/>
          <w:szCs w:val="17"/>
          <w:color w:val="auto"/>
        </w:rPr>
      </w:pPr>
    </w:p>
    <w:p>
      <w:pPr>
        <w:ind w:left="1180" w:hanging="312"/>
        <w:spacing w:after="0"/>
        <w:tabs>
          <w:tab w:leader="none" w:pos="118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Costs</w:t>
      </w:r>
      <w:r>
        <w:rPr>
          <w:rFonts w:ascii="Arial" w:cs="Arial" w:eastAsia="Arial" w:hAnsi="Arial"/>
          <w:sz w:val="18"/>
          <w:szCs w:val="18"/>
          <w:color w:val="auto"/>
        </w:rPr>
        <w:t>” shall include the following as reasonably determined by the Landlord:</w:t>
      </w:r>
    </w:p>
    <w:p>
      <w:pPr>
        <w:spacing w:after="0" w:line="134" w:lineRule="exact"/>
        <w:rPr>
          <w:rFonts w:ascii="Arial" w:cs="Arial" w:eastAsia="Arial" w:hAnsi="Arial"/>
          <w:sz w:val="18"/>
          <w:szCs w:val="18"/>
          <w:color w:val="auto"/>
        </w:rPr>
      </w:pPr>
    </w:p>
    <w:p>
      <w:pPr>
        <w:jc w:val="both"/>
        <w:ind w:left="1420" w:right="160" w:hanging="538"/>
        <w:spacing w:after="0" w:line="264" w:lineRule="auto"/>
        <w:tabs>
          <w:tab w:leader="none" w:pos="1420" w:val="left"/>
        </w:tabs>
        <w:numPr>
          <w:ilvl w:val="1"/>
          <w:numId w:val="658"/>
        </w:numPr>
        <w:rPr>
          <w:rFonts w:ascii="Arial" w:cs="Arial" w:eastAsia="Arial" w:hAnsi="Arial"/>
          <w:sz w:val="18"/>
          <w:szCs w:val="18"/>
          <w:color w:val="auto"/>
        </w:rPr>
      </w:pPr>
      <w:r>
        <w:rPr>
          <w:rFonts w:ascii="Arial" w:cs="Arial" w:eastAsia="Arial" w:hAnsi="Arial"/>
          <w:sz w:val="18"/>
          <w:szCs w:val="18"/>
          <w:color w:val="auto"/>
        </w:rPr>
        <w:t>the amount capitalized in the Building (including related site improvements as allocated to the Building and the Building’s share of the parking structure serving the Building) and by the Landlord in accordance with generally accepted accounting principles in the United States,</w:t>
      </w:r>
    </w:p>
    <w:p>
      <w:pPr>
        <w:spacing w:after="0" w:line="86" w:lineRule="exact"/>
        <w:rPr>
          <w:rFonts w:ascii="Arial" w:cs="Arial" w:eastAsia="Arial" w:hAnsi="Arial"/>
          <w:sz w:val="18"/>
          <w:szCs w:val="18"/>
          <w:color w:val="auto"/>
        </w:rPr>
      </w:pPr>
    </w:p>
    <w:p>
      <w:pPr>
        <w:ind w:left="1420" w:right="260" w:hanging="538"/>
        <w:spacing w:after="0" w:line="286" w:lineRule="auto"/>
        <w:tabs>
          <w:tab w:leader="none" w:pos="1420" w:val="left"/>
        </w:tabs>
        <w:numPr>
          <w:ilvl w:val="1"/>
          <w:numId w:val="658"/>
        </w:numPr>
        <w:rPr>
          <w:rFonts w:ascii="Arial" w:cs="Arial" w:eastAsia="Arial" w:hAnsi="Arial"/>
          <w:sz w:val="17"/>
          <w:szCs w:val="17"/>
          <w:color w:val="auto"/>
        </w:rPr>
      </w:pPr>
      <w:r>
        <w:rPr>
          <w:rFonts w:ascii="Arial" w:cs="Arial" w:eastAsia="Arial" w:hAnsi="Arial"/>
          <w:sz w:val="17"/>
          <w:szCs w:val="17"/>
          <w:color w:val="auto"/>
        </w:rPr>
        <w:t>any amounts related to the Building (including related site improvements as allocated to the Building and the Building’s pro rata share of the parking structure serving the Building) paid by the Landlord to third parties other than lenders or owners. These costs exclude transaction costs not otherwise capitalized by the Landlord in accordance with GAAP, and</w:t>
      </w:r>
    </w:p>
    <w:p>
      <w:pPr>
        <w:spacing w:after="0" w:line="70" w:lineRule="exact"/>
        <w:rPr>
          <w:rFonts w:ascii="Arial" w:cs="Arial" w:eastAsia="Arial" w:hAnsi="Arial"/>
          <w:sz w:val="17"/>
          <w:szCs w:val="17"/>
          <w:color w:val="auto"/>
        </w:rPr>
      </w:pPr>
    </w:p>
    <w:p>
      <w:pPr>
        <w:ind w:left="1420" w:hanging="538"/>
        <w:spacing w:after="0"/>
        <w:tabs>
          <w:tab w:leader="none" w:pos="1420" w:val="left"/>
        </w:tabs>
        <w:numPr>
          <w:ilvl w:val="1"/>
          <w:numId w:val="658"/>
        </w:numPr>
        <w:rPr>
          <w:rFonts w:ascii="Arial" w:cs="Arial" w:eastAsia="Arial" w:hAnsi="Arial"/>
          <w:sz w:val="18"/>
          <w:szCs w:val="18"/>
          <w:color w:val="auto"/>
        </w:rPr>
      </w:pPr>
      <w:r>
        <w:rPr>
          <w:rFonts w:ascii="Arial" w:cs="Arial" w:eastAsia="Arial" w:hAnsi="Arial"/>
          <w:sz w:val="18"/>
          <w:szCs w:val="18"/>
          <w:color w:val="auto"/>
        </w:rPr>
        <w:t>land carrying costs, such as interest or ground rentals incurred during the Construction Period.</w:t>
      </w:r>
    </w:p>
    <w:p>
      <w:pPr>
        <w:spacing w:after="0" w:line="117" w:lineRule="exact"/>
        <w:rPr>
          <w:sz w:val="20"/>
          <w:szCs w:val="20"/>
          <w:color w:val="auto"/>
        </w:rPr>
      </w:pPr>
    </w:p>
    <w:p>
      <w:pPr>
        <w:jc w:val="both"/>
        <w:ind w:left="440" w:right="180"/>
        <w:spacing w:after="0" w:line="264" w:lineRule="auto"/>
        <w:rPr>
          <w:sz w:val="20"/>
          <w:szCs w:val="20"/>
          <w:color w:val="auto"/>
        </w:rPr>
      </w:pPr>
      <w:r>
        <w:rPr>
          <w:rFonts w:ascii="Arial" w:cs="Arial" w:eastAsia="Arial" w:hAnsi="Arial"/>
          <w:sz w:val="18"/>
          <w:szCs w:val="18"/>
          <w:color w:val="auto"/>
        </w:rPr>
        <w:t>Project Costs shall exclude land acquisition costs and imputed yield on equity in the Building. The Building’s share of the parking structure will be allocated to Project Costs based on relative value or other value methods as appropriate under the circumstances as reasonably determined by the Landlord.</w:t>
      </w:r>
    </w:p>
    <w:p>
      <w:pPr>
        <w:spacing w:after="0" w:line="181" w:lineRule="exact"/>
        <w:rPr>
          <w:sz w:val="20"/>
          <w:szCs w:val="20"/>
          <w:color w:val="auto"/>
        </w:rPr>
      </w:pPr>
    </w:p>
    <w:p>
      <w:pPr>
        <w:ind w:right="60" w:firstLine="444"/>
        <w:spacing w:after="0" w:line="308" w:lineRule="auto"/>
        <w:tabs>
          <w:tab w:leader="none" w:pos="685" w:val="left"/>
        </w:tabs>
        <w:numPr>
          <w:ilvl w:val="0"/>
          <w:numId w:val="659"/>
        </w:numPr>
        <w:rPr>
          <w:rFonts w:ascii="Arial" w:cs="Arial" w:eastAsia="Arial" w:hAnsi="Arial"/>
          <w:sz w:val="17"/>
          <w:szCs w:val="17"/>
          <w:color w:val="auto"/>
        </w:rPr>
      </w:pPr>
      <w:r>
        <w:rPr>
          <w:rFonts w:ascii="Arial" w:cs="Arial" w:eastAsia="Arial" w:hAnsi="Arial"/>
          <w:sz w:val="17"/>
          <w:szCs w:val="17"/>
          <w:color w:val="auto"/>
        </w:rPr>
        <w:t>For the avoidance of any doubt, if there are any Excess Amounts, Landlord shall make the determination, which shall be binding on Tenant, as to which Excess Amounts owed to Landlord are being deferred and in what order such Excess Amounts are being paid to Landlord.</w:t>
      </w:r>
    </w:p>
    <w:p>
      <w:pPr>
        <w:spacing w:after="0" w:line="146" w:lineRule="exact"/>
        <w:rPr>
          <w:rFonts w:ascii="Arial" w:cs="Arial" w:eastAsia="Arial" w:hAnsi="Arial"/>
          <w:sz w:val="17"/>
          <w:szCs w:val="17"/>
          <w:color w:val="auto"/>
        </w:rPr>
      </w:pPr>
    </w:p>
    <w:p>
      <w:pPr>
        <w:ind w:right="60" w:firstLine="444"/>
        <w:spacing w:after="0" w:line="279" w:lineRule="auto"/>
        <w:tabs>
          <w:tab w:leader="none" w:pos="696" w:val="left"/>
        </w:tabs>
        <w:numPr>
          <w:ilvl w:val="0"/>
          <w:numId w:val="659"/>
        </w:numPr>
        <w:rPr>
          <w:rFonts w:ascii="Arial" w:cs="Arial" w:eastAsia="Arial" w:hAnsi="Arial"/>
          <w:sz w:val="17"/>
          <w:szCs w:val="17"/>
          <w:color w:val="auto"/>
        </w:rPr>
      </w:pPr>
      <w:r>
        <w:rPr>
          <w:rFonts w:ascii="Arial" w:cs="Arial" w:eastAsia="Arial" w:hAnsi="Arial"/>
          <w:sz w:val="17"/>
          <w:szCs w:val="17"/>
          <w:color w:val="auto"/>
        </w:rPr>
        <w:t xml:space="preserve">If Tenant fails to pay any Excess Amounts to Landlord as and when required, Landlord shall have all of the rights and remedies set forth in the Lease for nonpayment of Rent (including, but not limited to, the right to interest at the Default Rate and the right to assess a late charge). Notwithstanding anything to the contrary contained herein, all Excess Amounts shall become immediately due and payable to Landlord if any of the insolvency defaults described in </w:t>
      </w:r>
      <w:r>
        <w:rPr>
          <w:rFonts w:ascii="Arial" w:cs="Arial" w:eastAsia="Arial" w:hAnsi="Arial"/>
          <w:sz w:val="17"/>
          <w:szCs w:val="17"/>
          <w:u w:val="single" w:color="auto"/>
          <w:color w:val="auto"/>
        </w:rPr>
        <w:t>Section 20(f)</w:t>
      </w:r>
      <w:r>
        <w:rPr>
          <w:rFonts w:ascii="Arial" w:cs="Arial" w:eastAsia="Arial" w:hAnsi="Arial"/>
          <w:sz w:val="17"/>
          <w:szCs w:val="17"/>
          <w:color w:val="auto"/>
        </w:rPr>
        <w:t xml:space="preserve"> occur and no further Rental Payments shall be deferred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w:t>
      </w:r>
    </w:p>
    <w:p>
      <w:pPr>
        <w:sectPr>
          <w:pgSz w:w="11900" w:h="16838" w:orient="portrait"/>
          <w:cols w:equalWidth="0" w:num="1">
            <w:col w:w="11020"/>
          </w:cols>
          <w:pgMar w:left="440" w:top="270" w:right="439" w:bottom="1440" w:gutter="0" w:footer="0" w:header="0"/>
        </w:sectPr>
      </w:pPr>
    </w:p>
    <w:bookmarkStart w:id="743" w:name="page744"/>
    <w:bookmarkEnd w:id="74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10</w:t>
      </w:r>
    </w:p>
    <w:p>
      <w:pPr>
        <w:spacing w:after="0" w:line="162" w:lineRule="exact"/>
        <w:rPr>
          <w:sz w:val="20"/>
          <w:szCs w:val="20"/>
          <w:color w:val="auto"/>
        </w:rPr>
      </w:pPr>
    </w:p>
    <w:p>
      <w:pPr>
        <w:ind w:right="20" w:firstLine="444"/>
        <w:spacing w:after="0" w:line="293" w:lineRule="auto"/>
        <w:tabs>
          <w:tab w:leader="none" w:pos="685" w:val="left"/>
        </w:tabs>
        <w:numPr>
          <w:ilvl w:val="0"/>
          <w:numId w:val="660"/>
        </w:numPr>
        <w:rPr>
          <w:rFonts w:ascii="Arial" w:cs="Arial" w:eastAsia="Arial" w:hAnsi="Arial"/>
          <w:sz w:val="16"/>
          <w:szCs w:val="16"/>
          <w:color w:val="auto"/>
        </w:rPr>
      </w:pPr>
      <w:r>
        <w:rPr>
          <w:rFonts w:ascii="Arial" w:cs="Arial" w:eastAsia="Arial" w:hAnsi="Arial"/>
          <w:sz w:val="16"/>
          <w:szCs w:val="16"/>
          <w:color w:val="auto"/>
        </w:rPr>
        <w:t>Limitations on Tenant Indemnification during the Construction Period. Notwithstanding any other provision of the Lease or this Work Letter to the contrary, with respect to any indemnity obligation of Tenant arising at any time during the Construction Period only, (A) the term “Landlord” shall mean and shall be limited to ARE-SD Region No. 35, LLC (and any entity that that succeeds to ARE-SD Region No. 35, LLC’s interest as Landlord under the Lease) and shall not include any other person or entity; provided, however, that Landlord may include in any claim owed by Tenant to Landlord any amount which Landlord shall pay or be obligated to indemnify any other person or entity, and (B) any indemnity obligation shall be limited to losses caused by, or arising as a result of any act or failure to act of, Tenant or Tenant’s employees, agents or contractors.</w:t>
      </w:r>
    </w:p>
    <w:p>
      <w:pPr>
        <w:spacing w:after="0" w:line="164" w:lineRule="exact"/>
        <w:rPr>
          <w:rFonts w:ascii="Arial" w:cs="Arial" w:eastAsia="Arial" w:hAnsi="Arial"/>
          <w:sz w:val="16"/>
          <w:szCs w:val="16"/>
          <w:color w:val="auto"/>
        </w:rPr>
      </w:pPr>
    </w:p>
    <w:p>
      <w:pPr>
        <w:ind w:right="140" w:firstLine="444"/>
        <w:spacing w:after="0" w:line="277" w:lineRule="auto"/>
        <w:tabs>
          <w:tab w:leader="none" w:pos="66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of the Lease, in the event of any damage or destruction to the Project during the Construction Period only, Tenant will have no liability for deductible amounts or any amounts not covered by insurance.</w:t>
      </w:r>
    </w:p>
    <w:p>
      <w:pPr>
        <w:spacing w:after="0" w:line="170" w:lineRule="exact"/>
        <w:rPr>
          <w:rFonts w:ascii="Arial" w:cs="Arial" w:eastAsia="Arial" w:hAnsi="Arial"/>
          <w:sz w:val="18"/>
          <w:szCs w:val="18"/>
          <w:color w:val="auto"/>
        </w:rPr>
      </w:pPr>
    </w:p>
    <w:p>
      <w:pPr>
        <w:jc w:val="both"/>
        <w:ind w:right="180" w:firstLine="444"/>
        <w:spacing w:after="0" w:line="286" w:lineRule="auto"/>
        <w:tabs>
          <w:tab w:leader="none" w:pos="696" w:val="left"/>
        </w:tabs>
        <w:numPr>
          <w:ilvl w:val="0"/>
          <w:numId w:val="660"/>
        </w:numPr>
        <w:rPr>
          <w:rFonts w:ascii="Arial" w:cs="Arial" w:eastAsia="Arial" w:hAnsi="Arial"/>
          <w:sz w:val="17"/>
          <w:szCs w:val="17"/>
          <w:color w:val="auto"/>
        </w:rPr>
      </w:pPr>
      <w:r>
        <w:rPr>
          <w:rFonts w:ascii="Arial" w:cs="Arial" w:eastAsia="Arial" w:hAnsi="Arial"/>
          <w:sz w:val="17"/>
          <w:szCs w:val="17"/>
          <w:color w:val="auto"/>
        </w:rPr>
        <w:t>It is the intention of the parties that any Force Majeure delay which occurs during the Construction Period will postpone the Commencement Date of the Lease by the number of days such Force Majeure continues (i.e., if Substantial Completion of Landlord’s Work is delayed by ten (10) days due to a Force Majeure event, then the Commencement Date will be postponed for a period of ten (10) days).</w:t>
      </w:r>
    </w:p>
    <w:p>
      <w:pPr>
        <w:spacing w:after="0" w:line="270" w:lineRule="exact"/>
        <w:rPr>
          <w:sz w:val="20"/>
          <w:szCs w:val="20"/>
          <w:color w:val="auto"/>
        </w:rPr>
      </w:pPr>
    </w:p>
    <w:p>
      <w:pPr>
        <w:ind w:left="620" w:hanging="176"/>
        <w:spacing w:after="0"/>
        <w:tabs>
          <w:tab w:leader="none" w:pos="620" w:val="left"/>
        </w:tabs>
        <w:numPr>
          <w:ilvl w:val="0"/>
          <w:numId w:val="661"/>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620" w:firstLine="444"/>
        <w:spacing w:after="0" w:line="282" w:lineRule="auto"/>
        <w:tabs>
          <w:tab w:leader="none" w:pos="685"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unless expressly set forth herein to the contrary.</w:t>
      </w:r>
    </w:p>
    <w:p>
      <w:pPr>
        <w:spacing w:after="0" w:line="161" w:lineRule="exact"/>
        <w:rPr>
          <w:rFonts w:ascii="Arial" w:cs="Arial" w:eastAsia="Arial" w:hAnsi="Arial"/>
          <w:sz w:val="18"/>
          <w:szCs w:val="18"/>
          <w:color w:val="auto"/>
        </w:rPr>
      </w:pPr>
    </w:p>
    <w:p>
      <w:pPr>
        <w:ind w:right="500" w:firstLine="444"/>
        <w:spacing w:after="0" w:line="282" w:lineRule="auto"/>
        <w:tabs>
          <w:tab w:leader="none" w:pos="695"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161" w:lineRule="exact"/>
        <w:rPr>
          <w:rFonts w:ascii="Arial" w:cs="Arial" w:eastAsia="Arial" w:hAnsi="Arial"/>
          <w:sz w:val="18"/>
          <w:szCs w:val="18"/>
          <w:color w:val="auto"/>
        </w:rPr>
      </w:pPr>
    </w:p>
    <w:p>
      <w:pPr>
        <w:jc w:val="both"/>
        <w:ind w:right="140" w:firstLine="444"/>
        <w:spacing w:after="0" w:line="261" w:lineRule="auto"/>
        <w:tabs>
          <w:tab w:leader="none" w:pos="685"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Weekly Meetings</w:t>
      </w:r>
      <w:r>
        <w:rPr>
          <w:rFonts w:ascii="Arial" w:cs="Arial" w:eastAsia="Arial" w:hAnsi="Arial"/>
          <w:sz w:val="18"/>
          <w:szCs w:val="18"/>
          <w:color w:val="auto"/>
        </w:rPr>
        <w:t>. During the construction of the Tenant Improvements, Landlord, Tenant and the General Contractor (and any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as determined by the General Contractor) will meet on a weekly basis to review and discuss the progress of the Landlord’s Work and will discuss any claimed Tenant Delays, Force Majeure events or other delays in the schedule of Substantial Completion of the Landlord’s Work at such meetings.</w:t>
      </w:r>
    </w:p>
    <w:p>
      <w:pPr>
        <w:sectPr>
          <w:pgSz w:w="11900" w:h="16838" w:orient="portrait"/>
          <w:cols w:equalWidth="0" w:num="1">
            <w:col w:w="11020"/>
          </w:cols>
          <w:pgMar w:left="440" w:top="270" w:right="439" w:bottom="1440" w:gutter="0" w:footer="0" w:header="0"/>
        </w:sectPr>
      </w:pPr>
    </w:p>
    <w:bookmarkStart w:id="744" w:name="page745"/>
    <w:bookmarkEnd w:id="744"/>
    <w:tbl>
      <w:tblPr>
        <w:tblLayout w:type="fixed"/>
        <w:tblInd w:w="0" w:type="dxa"/>
        <w:tblCellMar>
          <w:top w:w="0" w:type="dxa"/>
          <w:left w:w="0" w:type="dxa"/>
          <w:bottom w:w="0" w:type="dxa"/>
          <w:right w:w="0" w:type="dxa"/>
        </w:tblCellMar>
      </w:tblPr>
      <w:tr>
        <w:trPr>
          <w:trHeight w:val="234"/>
        </w:trPr>
        <w:tc>
          <w:tcPr>
            <w:tcW w:w="6520" w:type="dxa"/>
            <w:vAlign w:val="bottom"/>
            <w:gridSpan w:val="5"/>
          </w:tcPr>
          <w:p>
            <w:pPr>
              <w:spacing w:after="0"/>
              <w:rPr>
                <w:sz w:val="20"/>
                <w:szCs w:val="20"/>
                <w:color w:val="auto"/>
              </w:rPr>
            </w:pPr>
            <w:r>
              <w:rPr>
                <w:rFonts w:ascii="Arial" w:cs="Arial" w:eastAsia="Arial" w:hAnsi="Arial"/>
                <w:sz w:val="18"/>
                <w:szCs w:val="18"/>
                <w:b w:val="1"/>
                <w:bCs w:val="1"/>
                <w:color w:val="auto"/>
              </w:rPr>
              <w:t>Work Letter – Landlord Build</w:t>
            </w:r>
          </w:p>
        </w:tc>
        <w:tc>
          <w:tcPr>
            <w:tcW w:w="4500" w:type="dxa"/>
            <w:vAlign w:val="bottom"/>
          </w:tcPr>
          <w:p>
            <w:pPr>
              <w:ind w:left="400"/>
              <w:spacing w:after="0"/>
              <w:rPr>
                <w:sz w:val="20"/>
                <w:szCs w:val="20"/>
                <w:color w:val="auto"/>
              </w:rPr>
            </w:pPr>
            <w:r>
              <w:rPr>
                <w:rFonts w:ascii="Arial" w:cs="Arial" w:eastAsia="Arial" w:hAnsi="Arial"/>
                <w:sz w:val="18"/>
                <w:szCs w:val="18"/>
                <w:b w:val="1"/>
                <w:bCs w:val="1"/>
                <w:color w:val="auto"/>
                <w:w w:val="89"/>
              </w:rPr>
              <w:t xml:space="preserve">3013 Science Park/The Medicines Company - Page </w:t>
            </w:r>
            <w:r>
              <w:rPr>
                <w:rFonts w:ascii="Arial" w:cs="Arial" w:eastAsia="Arial" w:hAnsi="Arial"/>
                <w:sz w:val="18"/>
                <w:szCs w:val="18"/>
                <w:color w:val="auto"/>
                <w:w w:val="89"/>
              </w:rPr>
              <w:t>11</w:t>
            </w:r>
          </w:p>
        </w:tc>
      </w:tr>
      <w:tr>
        <w:trPr>
          <w:trHeight w:val="365"/>
        </w:trPr>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Annex 1</w:t>
            </w:r>
          </w:p>
        </w:tc>
        <w:tc>
          <w:tcPr>
            <w:tcW w:w="4500" w:type="dxa"/>
            <w:vAlign w:val="bottom"/>
          </w:tcPr>
          <w:p>
            <w:pPr>
              <w:spacing w:after="0"/>
              <w:rPr>
                <w:sz w:val="24"/>
                <w:szCs w:val="24"/>
                <w:color w:val="auto"/>
              </w:rPr>
            </w:pPr>
          </w:p>
        </w:tc>
      </w:tr>
      <w:tr>
        <w:trPr>
          <w:trHeight w:val="284"/>
        </w:trPr>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Base Building Description</w:t>
            </w:r>
          </w:p>
        </w:tc>
        <w:tc>
          <w:tcPr>
            <w:tcW w:w="4500" w:type="dxa"/>
            <w:vAlign w:val="bottom"/>
          </w:tcPr>
          <w:p>
            <w:pPr>
              <w:spacing w:after="0"/>
              <w:rPr>
                <w:sz w:val="24"/>
                <w:szCs w:val="24"/>
                <w:color w:val="auto"/>
              </w:rPr>
            </w:pPr>
          </w:p>
        </w:tc>
      </w:tr>
      <w:tr>
        <w:trPr>
          <w:trHeight w:val="304"/>
        </w:trPr>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Building Shell</w:t>
            </w:r>
          </w:p>
        </w:tc>
        <w:tc>
          <w:tcPr>
            <w:tcW w:w="4500" w:type="dxa"/>
            <w:vAlign w:val="bottom"/>
          </w:tcPr>
          <w:p>
            <w:pPr>
              <w:spacing w:after="0"/>
              <w:rPr>
                <w:sz w:val="24"/>
                <w:szCs w:val="24"/>
                <w:color w:val="auto"/>
              </w:rPr>
            </w:pPr>
          </w:p>
        </w:tc>
      </w:tr>
      <w:tr>
        <w:trPr>
          <w:trHeight w:val="480"/>
        </w:trPr>
        <w:tc>
          <w:tcPr>
            <w:tcW w:w="10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39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The Medicines Company, Build to Suit</w:t>
            </w: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460" w:type="dxa"/>
            <w:vAlign w:val="bottom"/>
            <w:gridSpan w:val="4"/>
          </w:tcPr>
          <w:p>
            <w:pPr>
              <w:ind w:left="160"/>
              <w:spacing w:after="0"/>
              <w:rPr>
                <w:sz w:val="20"/>
                <w:szCs w:val="20"/>
                <w:color w:val="auto"/>
              </w:rPr>
            </w:pPr>
            <w:r>
              <w:rPr>
                <w:rFonts w:ascii="Arial" w:cs="Arial" w:eastAsia="Arial" w:hAnsi="Arial"/>
                <w:sz w:val="18"/>
                <w:szCs w:val="18"/>
                <w:b w:val="1"/>
                <w:bCs w:val="1"/>
                <w:color w:val="auto"/>
              </w:rPr>
              <w:t>3013 Science Park Road, San Diego, CA 92122</w:t>
            </w:r>
          </w:p>
        </w:tc>
        <w:tc>
          <w:tcPr>
            <w:tcW w:w="450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60" w:type="dxa"/>
            <w:vAlign w:val="bottom"/>
          </w:tcPr>
          <w:p>
            <w:pPr>
              <w:ind w:left="160"/>
              <w:spacing w:after="0"/>
              <w:rPr>
                <w:sz w:val="20"/>
                <w:szCs w:val="20"/>
                <w:color w:val="auto"/>
              </w:rPr>
            </w:pPr>
            <w:r>
              <w:rPr>
                <w:rFonts w:ascii="Arial" w:cs="Arial" w:eastAsia="Arial" w:hAnsi="Arial"/>
                <w:sz w:val="18"/>
                <w:szCs w:val="18"/>
                <w:b w:val="1"/>
                <w:bCs w:val="1"/>
                <w:color w:val="auto"/>
              </w:rPr>
              <w:t>7/7/2014</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60" w:type="dxa"/>
            <w:vAlign w:val="bottom"/>
          </w:tcPr>
          <w:p>
            <w:pPr>
              <w:ind w:left="1820"/>
              <w:spacing w:after="0"/>
              <w:rPr>
                <w:sz w:val="20"/>
                <w:szCs w:val="20"/>
                <w:color w:val="auto"/>
              </w:rPr>
            </w:pPr>
            <w:r>
              <w:rPr>
                <w:rFonts w:ascii="Arial" w:cs="Arial" w:eastAsia="Arial" w:hAnsi="Arial"/>
                <w:sz w:val="18"/>
                <w:szCs w:val="18"/>
                <w:b w:val="1"/>
                <w:bCs w:val="1"/>
                <w:color w:val="auto"/>
              </w:rPr>
              <w:t>General Base Building Information</w:t>
            </w:r>
          </w:p>
        </w:tc>
      </w:tr>
      <w:tr>
        <w:trPr>
          <w:trHeight w:val="459"/>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2060" w:type="dxa"/>
            <w:vAlign w:val="bottom"/>
          </w:tcPr>
          <w:p>
            <w:pPr>
              <w:ind w:left="160"/>
              <w:spacing w:after="0"/>
              <w:rPr>
                <w:sz w:val="20"/>
                <w:szCs w:val="20"/>
                <w:color w:val="auto"/>
              </w:rPr>
            </w:pPr>
            <w:r>
              <w:rPr>
                <w:rFonts w:ascii="Arial" w:cs="Arial" w:eastAsia="Arial" w:hAnsi="Arial"/>
                <w:sz w:val="18"/>
                <w:szCs w:val="18"/>
                <w:color w:val="auto"/>
              </w:rPr>
              <w:t>Project:</w:t>
            </w:r>
          </w:p>
        </w:tc>
        <w:tc>
          <w:tcPr>
            <w:tcW w:w="8460" w:type="dxa"/>
            <w:vAlign w:val="bottom"/>
          </w:tcPr>
          <w:p>
            <w:pPr>
              <w:ind w:left="320"/>
              <w:spacing w:after="0"/>
              <w:rPr>
                <w:sz w:val="20"/>
                <w:szCs w:val="20"/>
                <w:color w:val="auto"/>
              </w:rPr>
            </w:pPr>
            <w:r>
              <w:rPr>
                <w:rFonts w:ascii="Arial" w:cs="Arial" w:eastAsia="Arial" w:hAnsi="Arial"/>
                <w:sz w:val="18"/>
                <w:szCs w:val="18"/>
                <w:color w:val="auto"/>
                <w:w w:val="91"/>
              </w:rPr>
              <w:t>63,000 RSF Build to suit (approximate) depending on City of San Diego approval along with a parking structure.</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2060" w:type="dxa"/>
            <w:vAlign w:val="bottom"/>
          </w:tcPr>
          <w:p>
            <w:pPr>
              <w:ind w:left="160"/>
              <w:spacing w:after="0"/>
              <w:rPr>
                <w:sz w:val="20"/>
                <w:szCs w:val="20"/>
                <w:color w:val="auto"/>
              </w:rPr>
            </w:pPr>
            <w:r>
              <w:rPr>
                <w:rFonts w:ascii="Arial" w:cs="Arial" w:eastAsia="Arial" w:hAnsi="Arial"/>
                <w:sz w:val="18"/>
                <w:szCs w:val="18"/>
                <w:color w:val="auto"/>
              </w:rPr>
              <w:t>Number of Buildings</w:t>
            </w:r>
          </w:p>
        </w:tc>
        <w:tc>
          <w:tcPr>
            <w:tcW w:w="8460" w:type="dxa"/>
            <w:vAlign w:val="bottom"/>
          </w:tcPr>
          <w:p>
            <w:pPr>
              <w:ind w:left="320"/>
              <w:spacing w:after="0"/>
              <w:rPr>
                <w:sz w:val="20"/>
                <w:szCs w:val="20"/>
                <w:color w:val="auto"/>
              </w:rPr>
            </w:pPr>
            <w:r>
              <w:rPr>
                <w:rFonts w:ascii="Arial" w:cs="Arial" w:eastAsia="Arial" w:hAnsi="Arial"/>
                <w:sz w:val="18"/>
                <w:szCs w:val="18"/>
                <w:color w:val="auto"/>
              </w:rPr>
              <w:t>One (1)</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2060" w:type="dxa"/>
            <w:vAlign w:val="bottom"/>
          </w:tcPr>
          <w:p>
            <w:pPr>
              <w:ind w:left="160"/>
              <w:spacing w:after="0"/>
              <w:rPr>
                <w:sz w:val="20"/>
                <w:szCs w:val="20"/>
                <w:color w:val="auto"/>
              </w:rPr>
            </w:pPr>
            <w:r>
              <w:rPr>
                <w:rFonts w:ascii="Arial" w:cs="Arial" w:eastAsia="Arial" w:hAnsi="Arial"/>
                <w:sz w:val="18"/>
                <w:szCs w:val="18"/>
                <w:color w:val="auto"/>
              </w:rPr>
              <w:t>Number of Stories</w:t>
            </w:r>
          </w:p>
        </w:tc>
        <w:tc>
          <w:tcPr>
            <w:tcW w:w="8460" w:type="dxa"/>
            <w:vAlign w:val="bottom"/>
          </w:tcPr>
          <w:p>
            <w:pPr>
              <w:ind w:left="320"/>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2060" w:type="dxa"/>
            <w:vAlign w:val="bottom"/>
          </w:tcPr>
          <w:p>
            <w:pPr>
              <w:ind w:left="160"/>
              <w:spacing w:after="0"/>
              <w:rPr>
                <w:sz w:val="20"/>
                <w:szCs w:val="20"/>
                <w:color w:val="auto"/>
              </w:rPr>
            </w:pPr>
            <w:r>
              <w:rPr>
                <w:rFonts w:ascii="Arial" w:cs="Arial" w:eastAsia="Arial" w:hAnsi="Arial"/>
                <w:sz w:val="18"/>
                <w:szCs w:val="18"/>
                <w:color w:val="auto"/>
              </w:rPr>
              <w:t>Floor-to-Floor Height</w:t>
            </w:r>
          </w:p>
        </w:tc>
        <w:tc>
          <w:tcPr>
            <w:tcW w:w="8460" w:type="dxa"/>
            <w:vAlign w:val="bottom"/>
          </w:tcPr>
          <w:p>
            <w:pPr>
              <w:ind w:left="320"/>
              <w:spacing w:after="0"/>
              <w:rPr>
                <w:sz w:val="20"/>
                <w:szCs w:val="20"/>
                <w:color w:val="auto"/>
              </w:rPr>
            </w:pPr>
            <w:r>
              <w:rPr>
                <w:rFonts w:ascii="Arial" w:cs="Arial" w:eastAsia="Arial" w:hAnsi="Arial"/>
                <w:sz w:val="18"/>
                <w:szCs w:val="18"/>
                <w:color w:val="auto"/>
              </w:rPr>
              <w:t>15’-0” L1 – L2; 15’ L2 –Roof Parapet</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2060" w:type="dxa"/>
            <w:vAlign w:val="bottom"/>
          </w:tcPr>
          <w:p>
            <w:pPr>
              <w:ind w:left="160"/>
              <w:spacing w:after="0"/>
              <w:rPr>
                <w:sz w:val="20"/>
                <w:szCs w:val="20"/>
                <w:color w:val="auto"/>
              </w:rPr>
            </w:pPr>
            <w:r>
              <w:rPr>
                <w:rFonts w:ascii="Arial" w:cs="Arial" w:eastAsia="Arial" w:hAnsi="Arial"/>
                <w:sz w:val="18"/>
                <w:szCs w:val="18"/>
                <w:color w:val="auto"/>
              </w:rPr>
              <w:t>Construction Type</w:t>
            </w:r>
          </w:p>
        </w:tc>
        <w:tc>
          <w:tcPr>
            <w:tcW w:w="8460" w:type="dxa"/>
            <w:vAlign w:val="bottom"/>
          </w:tcPr>
          <w:p>
            <w:pPr>
              <w:ind w:left="320"/>
              <w:spacing w:after="0"/>
              <w:rPr>
                <w:sz w:val="20"/>
                <w:szCs w:val="20"/>
                <w:color w:val="auto"/>
              </w:rPr>
            </w:pPr>
            <w:r>
              <w:rPr>
                <w:rFonts w:ascii="Arial" w:cs="Arial" w:eastAsia="Arial" w:hAnsi="Arial"/>
                <w:sz w:val="18"/>
                <w:szCs w:val="18"/>
                <w:color w:val="auto"/>
              </w:rPr>
              <w:t>Type II B, Fully Sprinklered</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2060" w:type="dxa"/>
            <w:vAlign w:val="bottom"/>
          </w:tcPr>
          <w:p>
            <w:pPr>
              <w:ind w:left="160"/>
              <w:spacing w:after="0"/>
              <w:rPr>
                <w:sz w:val="20"/>
                <w:szCs w:val="20"/>
                <w:color w:val="auto"/>
              </w:rPr>
            </w:pPr>
            <w:r>
              <w:rPr>
                <w:rFonts w:ascii="Arial" w:cs="Arial" w:eastAsia="Arial" w:hAnsi="Arial"/>
                <w:sz w:val="18"/>
                <w:szCs w:val="18"/>
                <w:color w:val="auto"/>
              </w:rPr>
              <w:t>Use</w:t>
            </w:r>
          </w:p>
        </w:tc>
        <w:tc>
          <w:tcPr>
            <w:tcW w:w="8460" w:type="dxa"/>
            <w:vAlign w:val="bottom"/>
          </w:tcPr>
          <w:p>
            <w:pPr>
              <w:ind w:left="320"/>
              <w:spacing w:after="0"/>
              <w:rPr>
                <w:sz w:val="20"/>
                <w:szCs w:val="20"/>
                <w:color w:val="auto"/>
              </w:rPr>
            </w:pPr>
            <w:r>
              <w:rPr>
                <w:rFonts w:ascii="Arial" w:cs="Arial" w:eastAsia="Arial" w:hAnsi="Arial"/>
                <w:sz w:val="18"/>
                <w:szCs w:val="18"/>
                <w:color w:val="auto"/>
              </w:rPr>
              <w:t>Office, lab, manufacturing, and related uses.</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7.</w:t>
            </w:r>
          </w:p>
        </w:tc>
        <w:tc>
          <w:tcPr>
            <w:tcW w:w="2060" w:type="dxa"/>
            <w:vAlign w:val="bottom"/>
          </w:tcPr>
          <w:p>
            <w:pPr>
              <w:ind w:left="160"/>
              <w:spacing w:after="0"/>
              <w:rPr>
                <w:sz w:val="20"/>
                <w:szCs w:val="20"/>
                <w:color w:val="auto"/>
              </w:rPr>
            </w:pPr>
            <w:r>
              <w:rPr>
                <w:rFonts w:ascii="Arial" w:cs="Arial" w:eastAsia="Arial" w:hAnsi="Arial"/>
                <w:sz w:val="18"/>
                <w:szCs w:val="18"/>
                <w:color w:val="auto"/>
              </w:rPr>
              <w:t>Parking provided</w:t>
            </w:r>
          </w:p>
        </w:tc>
        <w:tc>
          <w:tcPr>
            <w:tcW w:w="8460" w:type="dxa"/>
            <w:vAlign w:val="bottom"/>
          </w:tcPr>
          <w:p>
            <w:pPr>
              <w:ind w:left="320"/>
              <w:spacing w:after="0"/>
              <w:rPr>
                <w:sz w:val="20"/>
                <w:szCs w:val="20"/>
                <w:color w:val="auto"/>
              </w:rPr>
            </w:pPr>
            <w:r>
              <w:rPr>
                <w:rFonts w:ascii="Arial" w:cs="Arial" w:eastAsia="Arial" w:hAnsi="Arial"/>
                <w:sz w:val="18"/>
                <w:szCs w:val="18"/>
                <w:color w:val="auto"/>
                <w:w w:val="95"/>
              </w:rPr>
              <w:t>2.5/1000 RSF in adjacent parking structure and surface parking to be completed as part of Landlord’s Work</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2060" w:type="dxa"/>
            <w:vAlign w:val="bottom"/>
          </w:tcPr>
          <w:p>
            <w:pPr>
              <w:ind w:left="160"/>
              <w:spacing w:after="0"/>
              <w:rPr>
                <w:sz w:val="20"/>
                <w:szCs w:val="20"/>
                <w:color w:val="auto"/>
              </w:rPr>
            </w:pPr>
            <w:r>
              <w:rPr>
                <w:rFonts w:ascii="Arial" w:cs="Arial" w:eastAsia="Arial" w:hAnsi="Arial"/>
                <w:sz w:val="18"/>
                <w:szCs w:val="18"/>
                <w:color w:val="auto"/>
              </w:rPr>
              <w:t>Layout</w:t>
            </w:r>
          </w:p>
        </w:tc>
        <w:tc>
          <w:tcPr>
            <w:tcW w:w="8460" w:type="dxa"/>
            <w:vAlign w:val="bottom"/>
          </w:tcPr>
          <w:p>
            <w:pPr>
              <w:ind w:left="320"/>
              <w:spacing w:after="0"/>
              <w:rPr>
                <w:sz w:val="20"/>
                <w:szCs w:val="20"/>
                <w:color w:val="auto"/>
              </w:rPr>
            </w:pPr>
            <w:r>
              <w:rPr>
                <w:rFonts w:ascii="Arial" w:cs="Arial" w:eastAsia="Arial" w:hAnsi="Arial"/>
                <w:sz w:val="18"/>
                <w:szCs w:val="18"/>
                <w:color w:val="auto"/>
              </w:rPr>
              <w:t>Building layout and configuration to be substantially consistent with Exhibit A to the Lease</w:t>
            </w:r>
          </w:p>
        </w:tc>
      </w:tr>
      <w:tr>
        <w:trPr>
          <w:trHeight w:val="31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9.</w:t>
            </w:r>
          </w:p>
        </w:tc>
        <w:tc>
          <w:tcPr>
            <w:tcW w:w="2060" w:type="dxa"/>
            <w:vAlign w:val="bottom"/>
          </w:tcPr>
          <w:p>
            <w:pPr>
              <w:ind w:left="160"/>
              <w:spacing w:after="0"/>
              <w:rPr>
                <w:sz w:val="20"/>
                <w:szCs w:val="20"/>
                <w:color w:val="auto"/>
              </w:rPr>
            </w:pPr>
            <w:r>
              <w:rPr>
                <w:rFonts w:ascii="Arial" w:cs="Arial" w:eastAsia="Arial" w:hAnsi="Arial"/>
                <w:sz w:val="18"/>
                <w:szCs w:val="18"/>
                <w:color w:val="auto"/>
              </w:rPr>
              <w:t>Applicable Codes:</w:t>
            </w:r>
          </w:p>
        </w:tc>
        <w:tc>
          <w:tcPr>
            <w:tcW w:w="8460" w:type="dxa"/>
            <w:vAlign w:val="bottom"/>
          </w:tcPr>
          <w:p>
            <w:pPr>
              <w:ind w:left="320"/>
              <w:spacing w:after="0"/>
              <w:rPr>
                <w:sz w:val="20"/>
                <w:szCs w:val="20"/>
                <w:color w:val="auto"/>
              </w:rPr>
            </w:pPr>
            <w:r>
              <w:rPr>
                <w:rFonts w:ascii="Arial" w:cs="Arial" w:eastAsia="Arial" w:hAnsi="Arial"/>
                <w:sz w:val="18"/>
                <w:szCs w:val="18"/>
                <w:color w:val="auto"/>
              </w:rPr>
              <w:t>Most current versions of the following:</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Building Code (CBC)</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Green Building Standards Code (GBC)</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Electrical Code (CEC)</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Mechanical Code (CMC)</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Plumbing Code (CPC)</w:t>
            </w:r>
          </w:p>
        </w:tc>
      </w:tr>
      <w:tr>
        <w:trPr>
          <w:trHeight w:val="216"/>
        </w:trPr>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Fire Code (CFC)</w:t>
            </w:r>
          </w:p>
        </w:tc>
      </w:tr>
      <w:tr>
        <w:trPr>
          <w:trHeight w:val="230"/>
        </w:trPr>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California Energy Efficiency Standards</w:t>
            </w:r>
          </w:p>
        </w:tc>
      </w:tr>
    </w:tbl>
    <w:p>
      <w:pPr>
        <w:spacing w:after="0" w:line="9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Other Regulations:</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NFPA (Current Edition)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CAL-OSHA</w:t>
      </w:r>
    </w:p>
    <w:p>
      <w:pPr>
        <w:sectPr>
          <w:pgSz w:w="11900" w:h="16838" w:orient="portrait"/>
          <w:cols w:equalWidth="0" w:num="1">
            <w:col w:w="11020"/>
          </w:cols>
          <w:pgMar w:left="440" w:top="270" w:right="439" w:bottom="1440" w:gutter="0" w:footer="0" w:header="0"/>
        </w:sectPr>
      </w:pPr>
    </w:p>
    <w:bookmarkStart w:id="745" w:name="page746"/>
    <w:bookmarkEnd w:id="745"/>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12</w:t>
      </w:r>
    </w:p>
    <w:p>
      <w:pPr>
        <w:spacing w:after="0" w:line="16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CCR 2010 Title 24 California Code of Regulations Energy Commission</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Handicap Standards – Federal Regulations and American Disabilities Act (ADA)</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Note: Applicable codes may change as the applicable local and state governing bodies adopt new codes, and the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Building Shell will be constructed in accordance with the most current codes as of the date of construction.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SHELL OUTLINE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WORK</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Site Utilities</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All sewer, gas, water, storm drain, electrical, services as required with the following minimum sizes:</w:t>
      </w:r>
    </w:p>
    <w:p>
      <w:pPr>
        <w:spacing w:after="0" w:line="116" w:lineRule="exact"/>
        <w:rPr>
          <w:sz w:val="20"/>
          <w:szCs w:val="20"/>
          <w:color w:val="auto"/>
        </w:rPr>
      </w:pPr>
    </w:p>
    <w:p>
      <w:pPr>
        <w:ind w:left="1940" w:hanging="360"/>
        <w:spacing w:after="0"/>
        <w:tabs>
          <w:tab w:leader="none" w:pos="1940" w:val="left"/>
        </w:tabs>
        <w:numPr>
          <w:ilvl w:val="0"/>
          <w:numId w:val="663"/>
        </w:numPr>
        <w:rPr>
          <w:rFonts w:ascii="Arial" w:cs="Arial" w:eastAsia="Arial" w:hAnsi="Arial"/>
          <w:sz w:val="16"/>
          <w:szCs w:val="16"/>
          <w:color w:val="auto"/>
        </w:rPr>
      </w:pPr>
      <w:r>
        <w:rPr>
          <w:rFonts w:ascii="Arial" w:cs="Arial" w:eastAsia="Arial" w:hAnsi="Arial"/>
          <w:sz w:val="16"/>
          <w:szCs w:val="16"/>
          <w:color w:val="auto"/>
        </w:rPr>
        <w:t>Fire Service – one 6 inch service to meet Ordinary Hazard Group 2 building density including any required backflow devices</w:t>
      </w:r>
    </w:p>
    <w:p>
      <w:pPr>
        <w:spacing w:after="0" w:line="153" w:lineRule="exact"/>
        <w:rPr>
          <w:rFonts w:ascii="Arial" w:cs="Arial" w:eastAsia="Arial" w:hAnsi="Arial"/>
          <w:sz w:val="16"/>
          <w:szCs w:val="16"/>
          <w:color w:val="auto"/>
        </w:rPr>
      </w:pPr>
    </w:p>
    <w:p>
      <w:pPr>
        <w:ind w:left="1940" w:hanging="360"/>
        <w:spacing w:after="0"/>
        <w:tabs>
          <w:tab w:leader="none" w:pos="194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Sanitary Sewer – one 4 inch main</w:t>
      </w:r>
    </w:p>
    <w:p>
      <w:pPr>
        <w:spacing w:after="0" w:line="130" w:lineRule="exact"/>
        <w:rPr>
          <w:rFonts w:ascii="Arial" w:cs="Arial" w:eastAsia="Arial" w:hAnsi="Arial"/>
          <w:sz w:val="18"/>
          <w:szCs w:val="18"/>
          <w:color w:val="auto"/>
        </w:rPr>
      </w:pPr>
    </w:p>
    <w:p>
      <w:pPr>
        <w:ind w:left="1940" w:right="420" w:hanging="360"/>
        <w:spacing w:after="0" w:line="277" w:lineRule="auto"/>
        <w:tabs>
          <w:tab w:leader="none" w:pos="1931"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Industrial Waste – 1 ea-4” branch tee off of sanitary main to a polypropylene sampling port stubbed into the building for future connection of Tenant Improvement branch lines and fixtures.</w:t>
      </w:r>
    </w:p>
    <w:p>
      <w:pPr>
        <w:spacing w:after="0" w:line="75" w:lineRule="exact"/>
        <w:rPr>
          <w:rFonts w:ascii="Arial" w:cs="Arial" w:eastAsia="Arial" w:hAnsi="Arial"/>
          <w:sz w:val="18"/>
          <w:szCs w:val="18"/>
          <w:color w:val="auto"/>
        </w:rPr>
      </w:pPr>
    </w:p>
    <w:p>
      <w:pPr>
        <w:ind w:left="1940" w:hanging="360"/>
        <w:spacing w:after="0"/>
        <w:tabs>
          <w:tab w:leader="none" w:pos="194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Domestic Water –one three inch service including any required backflow devices.</w:t>
      </w:r>
    </w:p>
    <w:p>
      <w:pPr>
        <w:spacing w:after="0" w:line="130" w:lineRule="exact"/>
        <w:rPr>
          <w:rFonts w:ascii="Arial" w:cs="Arial" w:eastAsia="Arial" w:hAnsi="Arial"/>
          <w:sz w:val="18"/>
          <w:szCs w:val="18"/>
          <w:color w:val="auto"/>
        </w:rPr>
      </w:pPr>
    </w:p>
    <w:p>
      <w:pPr>
        <w:ind w:left="1940" w:hanging="360"/>
        <w:spacing w:after="0"/>
        <w:tabs>
          <w:tab w:leader="none" w:pos="194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Natural Gas –one 2 inch service.</w:t>
      </w:r>
    </w:p>
    <w:p>
      <w:pPr>
        <w:spacing w:after="0" w:line="130" w:lineRule="exact"/>
        <w:rPr>
          <w:rFonts w:ascii="Arial" w:cs="Arial" w:eastAsia="Arial" w:hAnsi="Arial"/>
          <w:sz w:val="18"/>
          <w:szCs w:val="18"/>
          <w:color w:val="auto"/>
        </w:rPr>
      </w:pPr>
    </w:p>
    <w:p>
      <w:pPr>
        <w:ind w:left="1940" w:hanging="360"/>
        <w:spacing w:after="0"/>
        <w:tabs>
          <w:tab w:leader="none" w:pos="194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Landscape irrigation service and associated meter(s) or backflow devices tied into campus service, if applicable.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2 ea—4” underground conduit raceways for incoming cabling from communication utility providers</w:t>
            </w:r>
          </w:p>
        </w:tc>
      </w:tr>
      <w:tr>
        <w:trPr>
          <w:trHeight w:val="323"/>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All site utilities above (except landscape) to be stubbed into the building in locations mutually agreed to by Landlord and Tenant. All</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permit fees for water, sewer, gas and electric service shall be paid by Landlord.</w:t>
            </w:r>
          </w:p>
        </w:tc>
      </w:tr>
      <w:tr>
        <w:trPr>
          <w:trHeight w:val="405"/>
        </w:trPr>
        <w:tc>
          <w:tcPr>
            <w:tcW w:w="940" w:type="dxa"/>
            <w:vAlign w:val="bottom"/>
            <w:gridSpan w:val="2"/>
          </w:tcPr>
          <w:p>
            <w:pPr>
              <w:spacing w:after="0"/>
              <w:rPr>
                <w:sz w:val="20"/>
                <w:szCs w:val="20"/>
                <w:color w:val="auto"/>
              </w:rPr>
            </w:pPr>
            <w:r>
              <w:rPr>
                <w:rFonts w:ascii="Arial" w:cs="Arial" w:eastAsia="Arial" w:hAnsi="Arial"/>
                <w:sz w:val="18"/>
                <w:szCs w:val="18"/>
                <w:color w:val="auto"/>
              </w:rPr>
              <w:t>Site Area</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All site scope including asphalt paving, curb and gutter, concrete walkways, and landscaping, exterior lighting including code required</w:t>
            </w:r>
          </w:p>
        </w:tc>
      </w:tr>
      <w:tr>
        <w:trPr>
          <w:trHeight w:val="222"/>
        </w:trPr>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egress lighting, and any code required ADA parking or path of travel to the right of way. Overall look and feel of new site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improvements to be consistent with the appearance and quality of the existing campus.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Loading Dock and Service Enclosure</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building to be provided with one loading area.</w:t>
      </w:r>
    </w:p>
    <w:p>
      <w:pPr>
        <w:spacing w:after="0" w:line="103" w:lineRule="exact"/>
        <w:rPr>
          <w:sz w:val="20"/>
          <w:szCs w:val="20"/>
          <w:color w:val="auto"/>
        </w:rPr>
      </w:pPr>
    </w:p>
    <w:p>
      <w:pPr>
        <w:ind w:left="1220" w:right="120"/>
        <w:spacing w:after="0" w:line="277" w:lineRule="auto"/>
        <w:rPr>
          <w:sz w:val="20"/>
          <w:szCs w:val="20"/>
          <w:color w:val="auto"/>
        </w:rPr>
      </w:pPr>
      <w:r>
        <w:rPr>
          <w:rFonts w:ascii="Arial" w:cs="Arial" w:eastAsia="Arial" w:hAnsi="Arial"/>
          <w:sz w:val="18"/>
          <w:szCs w:val="18"/>
          <w:color w:val="auto"/>
        </w:rPr>
        <w:t>Service Yard building pad to be provided with the shell. Service yard enclosure walls, slab, and MEP systems to be provided as part of the Tenant Improvements.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ENVELOPE</w:t>
      </w:r>
    </w:p>
    <w:p>
      <w:pPr>
        <w:spacing w:after="0" w:line="2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u w:val="single" w:color="auto"/>
          <w:color w:val="auto"/>
        </w:rPr>
        <w:t>Design</w:t>
      </w:r>
      <w:r>
        <w:rPr>
          <w:sz w:val="20"/>
          <w:szCs w:val="20"/>
          <w:color w:val="auto"/>
        </w:rPr>
        <w:tab/>
      </w:r>
      <w:r>
        <w:rPr>
          <w:rFonts w:ascii="Arial" w:cs="Arial" w:eastAsia="Arial" w:hAnsi="Arial"/>
          <w:sz w:val="18"/>
          <w:szCs w:val="18"/>
          <w:color w:val="auto"/>
        </w:rPr>
        <w:t>The building envelope will be in compliance with the applicable energy standards.</w:t>
      </w:r>
    </w:p>
    <w:p>
      <w:pPr>
        <w:sectPr>
          <w:pgSz w:w="11900" w:h="16838" w:orient="portrait"/>
          <w:cols w:equalWidth="0" w:num="1">
            <w:col w:w="11020"/>
          </w:cols>
          <w:pgMar w:left="440" w:top="270" w:right="439" w:bottom="1440" w:gutter="0" w:footer="0" w:header="0"/>
        </w:sectPr>
      </w:pPr>
    </w:p>
    <w:bookmarkStart w:id="746" w:name="page747"/>
    <w:bookmarkEnd w:id="74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SKIN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Glass Walls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Curtain wall, storefront, insulated high performance low ‘E’ glass by Viracon or equal to match existing campus.</w:t>
            </w:r>
          </w:p>
        </w:tc>
        <w:tc>
          <w:tcPr>
            <w:tcW w:w="0" w:type="dxa"/>
            <w:vAlign w:val="bottom"/>
          </w:tcPr>
          <w:p>
            <w:pPr>
              <w:spacing w:after="0"/>
              <w:rPr>
                <w:sz w:val="1"/>
                <w:szCs w:val="1"/>
                <w:color w:val="auto"/>
              </w:rPr>
            </w:pPr>
          </w:p>
        </w:tc>
      </w:tr>
      <w:tr>
        <w:trPr>
          <w:trHeight w:val="269"/>
        </w:trPr>
        <w:tc>
          <w:tcPr>
            <w:tcW w:w="1200" w:type="dxa"/>
            <w:vAlign w:val="bottom"/>
            <w:gridSpan w:val="5"/>
          </w:tcPr>
          <w:p>
            <w:pPr>
              <w:spacing w:after="0"/>
              <w:rPr>
                <w:sz w:val="20"/>
                <w:szCs w:val="20"/>
                <w:color w:val="auto"/>
              </w:rPr>
            </w:pPr>
            <w:r>
              <w:rPr>
                <w:rFonts w:ascii="Arial" w:cs="Arial" w:eastAsia="Arial" w:hAnsi="Arial"/>
                <w:sz w:val="18"/>
                <w:szCs w:val="18"/>
                <w:color w:val="auto"/>
              </w:rPr>
              <w:t>Windows</w:t>
            </w:r>
          </w:p>
        </w:tc>
        <w:tc>
          <w:tcPr>
            <w:tcW w:w="918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Please add building standard specification</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gridSpan w:val="5"/>
          </w:tcPr>
          <w:p>
            <w:pPr>
              <w:spacing w:after="0"/>
              <w:rPr>
                <w:sz w:val="20"/>
                <w:szCs w:val="20"/>
                <w:color w:val="auto"/>
              </w:rPr>
            </w:pPr>
            <w:r>
              <w:rPr>
                <w:rFonts w:ascii="Arial" w:cs="Arial" w:eastAsia="Arial" w:hAnsi="Arial"/>
                <w:sz w:val="18"/>
                <w:szCs w:val="18"/>
                <w:color w:val="auto"/>
              </w:rPr>
              <w:t>Entry Doors</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w w:val="91"/>
              </w:rPr>
              <w:t>Pair of 3’-0” x 9’-0” x 1-3/4” narrow style aluminum and glass system with concealed overhead closers. Finish to match glass</w:t>
            </w:r>
          </w:p>
        </w:tc>
        <w:tc>
          <w:tcPr>
            <w:tcW w:w="0" w:type="dxa"/>
            <w:vAlign w:val="bottom"/>
          </w:tcPr>
          <w:p>
            <w:pPr>
              <w:spacing w:after="0"/>
              <w:rPr>
                <w:sz w:val="1"/>
                <w:szCs w:val="1"/>
                <w:color w:val="auto"/>
              </w:rPr>
            </w:pPr>
          </w:p>
        </w:tc>
      </w:tr>
      <w:tr>
        <w:trPr>
          <w:trHeight w:val="222"/>
        </w:trPr>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aluminum framing. One (1) main entry to have ½” thick Herculite doors</w:t>
            </w:r>
          </w:p>
        </w:tc>
        <w:tc>
          <w:tcPr>
            <w:tcW w:w="0" w:type="dxa"/>
            <w:vAlign w:val="bottom"/>
          </w:tcPr>
          <w:p>
            <w:pPr>
              <w:spacing w:after="0"/>
              <w:rPr>
                <w:sz w:val="1"/>
                <w:szCs w:val="1"/>
                <w:color w:val="auto"/>
              </w:rPr>
            </w:pPr>
          </w:p>
        </w:tc>
      </w:tr>
      <w:tr>
        <w:trPr>
          <w:trHeight w:val="284"/>
        </w:trPr>
        <w:tc>
          <w:tcPr>
            <w:tcW w:w="1200" w:type="dxa"/>
            <w:vAlign w:val="bottom"/>
            <w:gridSpan w:val="5"/>
          </w:tcPr>
          <w:p>
            <w:pPr>
              <w:spacing w:after="0"/>
              <w:rPr>
                <w:sz w:val="20"/>
                <w:szCs w:val="20"/>
                <w:color w:val="auto"/>
              </w:rPr>
            </w:pPr>
            <w:r>
              <w:rPr>
                <w:rFonts w:ascii="Arial" w:cs="Arial" w:eastAsia="Arial" w:hAnsi="Arial"/>
                <w:sz w:val="18"/>
                <w:szCs w:val="18"/>
                <w:color w:val="auto"/>
              </w:rPr>
              <w:t>Loading Doors</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10’-0”x10’-0” motorized overhead coiling insulated metal door with standard enamel finish.</w:t>
            </w:r>
          </w:p>
        </w:tc>
        <w:tc>
          <w:tcPr>
            <w:tcW w:w="0" w:type="dxa"/>
            <w:vAlign w:val="bottom"/>
          </w:tcPr>
          <w:p>
            <w:pPr>
              <w:spacing w:after="0"/>
              <w:rPr>
                <w:sz w:val="1"/>
                <w:szCs w:val="1"/>
                <w:color w:val="auto"/>
              </w:rPr>
            </w:pPr>
          </w:p>
        </w:tc>
      </w:tr>
      <w:tr>
        <w:trPr>
          <w:trHeight w:val="237"/>
        </w:trPr>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Sun Shades</w:t>
            </w:r>
          </w:p>
        </w:tc>
        <w:tc>
          <w:tcPr>
            <w:tcW w:w="360" w:type="dxa"/>
            <w:vAlign w:val="bottom"/>
            <w:gridSpan w:val="3"/>
          </w:tcPr>
          <w:p>
            <w:pPr>
              <w:spacing w:after="0"/>
              <w:rPr>
                <w:sz w:val="24"/>
                <w:szCs w:val="24"/>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3"/>
              </w:rPr>
              <w:t>3’ sun shades will be installed on the south and west elevations of the building at the first and second level of the building.</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w:t>
      </w:r>
    </w:p>
    <w:p>
      <w:pPr>
        <w:spacing w:after="0" w:line="23" w:lineRule="exact"/>
        <w:rPr>
          <w:sz w:val="20"/>
          <w:szCs w:val="20"/>
          <w:color w:val="auto"/>
        </w:rPr>
      </w:pPr>
    </w:p>
    <w:p>
      <w:pPr>
        <w:ind w:left="1300"/>
        <w:spacing w:after="0" w:line="302" w:lineRule="auto"/>
        <w:rPr>
          <w:sz w:val="20"/>
          <w:szCs w:val="20"/>
          <w:color w:val="auto"/>
        </w:rPr>
      </w:pPr>
      <w:r>
        <w:rPr>
          <w:rFonts w:ascii="Arial" w:cs="Arial" w:eastAsia="Arial" w:hAnsi="Arial"/>
          <w:sz w:val="16"/>
          <w:szCs w:val="16"/>
          <w:color w:val="auto"/>
        </w:rPr>
        <w:t>Wide flange structural steel columns, girders, beams and moment frame lateral system with floors designed for live load of 110 pounds per square foot plus a partition load of 15 pounds per square foot. Roof shall be designed for 20 pounds per square foot live load, an increase of 80 psf for mechanical equipment load at 40% of the roof area, and the roof screen and related structural elements.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Foundations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Continuous footings, pad footings, and grade beams of reinforced concrete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Slab on Grade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thick 4000 PSI concrete with #3 @ 18” on center each way over a 10 mil visqueen vapor barrier and 4” of sand..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Concrete on Metal Decks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2½” 3000 psi normal or light weight concrete with mesh over 3” x 18 or 20-gauge composite metal deck</w:t>
      </w:r>
    </w:p>
    <w:p>
      <w:pPr>
        <w:spacing w:after="0" w:line="117"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color w:val="auto"/>
        </w:rPr>
        <w:t>Floor in “QA Room” on second floor to be reinforced as required to support six (6) fireproof file cabinets per specifications to be provided by Tenant (approximately empty weight of all file cabinets is 6,600 pounds)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Rooftop Mechanical Pad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normal or lightweight 3000 psi concrete with mesh over 3” x 20-gauge composite metal deck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MOISTURE AND THERMAL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Membrane Roofing</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Four ply mineral surfaced cap sheet fiberglass built-up roof over R-30 average rigid insulation at non mechanical pad areas.</w:t>
      </w:r>
    </w:p>
    <w:p>
      <w:pPr>
        <w:sectPr>
          <w:pgSz w:w="11900" w:h="16838" w:orient="portrait"/>
          <w:cols w:equalWidth="0" w:num="1">
            <w:col w:w="11020"/>
          </w:cols>
          <w:pgMar w:left="440" w:top="270" w:right="439" w:bottom="1440" w:gutter="0" w:footer="0" w:header="0"/>
        </w:sectPr>
      </w:pPr>
    </w:p>
    <w:bookmarkStart w:id="747" w:name="page748"/>
    <w:bookmarkEnd w:id="74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Thermal Insulation</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R-15 kraft faced batt insulation at all non-glass exterior walls and spandrel glass conditions.</w:t>
      </w:r>
    </w:p>
    <w:p>
      <w:pPr>
        <w:spacing w:after="0" w:line="10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R-30 non-faced batt Insulation installed at the underside of the roof deck at mechanical pad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Sound Insulation</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Unfaced batt insulation at all elevator hoistway and machine room walls.</w:t>
      </w:r>
    </w:p>
    <w:p>
      <w:pPr>
        <w:spacing w:after="0" w:line="10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Additional sound insulation between large copy room and conference room on second floor.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STAIRWAYS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Exit Stairs</w:t>
      </w:r>
    </w:p>
    <w:p>
      <w:pPr>
        <w:spacing w:after="0" w:line="23" w:lineRule="exact"/>
        <w:rPr>
          <w:sz w:val="20"/>
          <w:szCs w:val="20"/>
          <w:color w:val="auto"/>
        </w:rPr>
      </w:pPr>
    </w:p>
    <w:p>
      <w:pPr>
        <w:ind w:left="1120" w:right="40"/>
        <w:spacing w:after="0" w:line="255" w:lineRule="auto"/>
        <w:rPr>
          <w:sz w:val="20"/>
          <w:szCs w:val="20"/>
          <w:color w:val="auto"/>
        </w:rPr>
      </w:pPr>
      <w:r>
        <w:rPr>
          <w:rFonts w:ascii="Arial" w:cs="Arial" w:eastAsia="Arial" w:hAnsi="Arial"/>
          <w:sz w:val="18"/>
          <w:szCs w:val="18"/>
          <w:color w:val="auto"/>
        </w:rPr>
        <w:t>Fabricate stairs with closed risers and pan treads to receive concrete fill, as indicated. Form treads with minimum 12 gage bent plate with deformed bars full length of tread welded to bent ends. Form stringers of structural steel channel sections or rolled steel rectangular hollow sections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Sealants</w:t>
      </w:r>
    </w:p>
    <w:p>
      <w:pPr>
        <w:spacing w:after="0" w:line="23" w:lineRule="exact"/>
        <w:rPr>
          <w:sz w:val="20"/>
          <w:szCs w:val="20"/>
          <w:color w:val="auto"/>
        </w:rPr>
      </w:pPr>
    </w:p>
    <w:p>
      <w:pPr>
        <w:jc w:val="both"/>
        <w:ind w:left="1120" w:right="240"/>
        <w:spacing w:after="0" w:line="277" w:lineRule="auto"/>
        <w:rPr>
          <w:sz w:val="20"/>
          <w:szCs w:val="20"/>
          <w:color w:val="auto"/>
        </w:rPr>
      </w:pPr>
      <w:r>
        <w:rPr>
          <w:rFonts w:ascii="Arial" w:cs="Arial" w:eastAsia="Arial" w:hAnsi="Arial"/>
          <w:sz w:val="17"/>
          <w:szCs w:val="17"/>
          <w:color w:val="auto"/>
        </w:rPr>
        <w:t>Sealant Standard: Provide manufacturer’s standard sealant of type indicated, complying with ASTM C 920 requirements. Use silicone based sealants at all glazing conditions. In general, for use on areas subject to foot or vehicle traffic use multi-part, pourable, urethane sealant. At exterior or perimeters of openings in exterior walls use non-sag, urethane sealant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Sheet Metal</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Provide minimum 24 GA galvanized sheet metal to comply with recommendations of SMACNA “Architectural Sheet Metal Manual”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Steel Doors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Provide 18 gauge hollow metal steel doors, frames and stops. Applicable weatherstripping to be provided at all exterior doors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Hardware</w:t>
      </w:r>
    </w:p>
    <w:p>
      <w:pPr>
        <w:spacing w:after="0" w:line="23" w:lineRule="exact"/>
        <w:rPr>
          <w:sz w:val="20"/>
          <w:szCs w:val="20"/>
          <w:color w:val="auto"/>
        </w:rPr>
      </w:pPr>
    </w:p>
    <w:p>
      <w:pPr>
        <w:ind w:left="1120" w:right="340"/>
        <w:spacing w:after="0" w:line="290" w:lineRule="auto"/>
        <w:rPr>
          <w:sz w:val="20"/>
          <w:szCs w:val="20"/>
          <w:color w:val="auto"/>
        </w:rPr>
      </w:pPr>
      <w:r>
        <w:rPr>
          <w:rFonts w:ascii="Arial" w:cs="Arial" w:eastAsia="Arial" w:hAnsi="Arial"/>
          <w:sz w:val="17"/>
          <w:szCs w:val="17"/>
          <w:color w:val="auto"/>
        </w:rPr>
        <w:t>Lock and latch sets shall be equal to Schlage Series L, Full mortise with lever handle design. All fire rated doors and storefront entry doors shall be equipped with closers. All hardware shall meet state Title 24 requirements for handicapped accessibility.</w:t>
      </w:r>
    </w:p>
    <w:p>
      <w:pPr>
        <w:spacing w:after="0" w:line="53" w:lineRule="exact"/>
        <w:rPr>
          <w:sz w:val="20"/>
          <w:szCs w:val="20"/>
          <w:color w:val="auto"/>
        </w:rPr>
      </w:pPr>
    </w:p>
    <w:p>
      <w:pPr>
        <w:ind w:left="1120" w:right="160"/>
        <w:spacing w:after="0" w:line="277" w:lineRule="auto"/>
        <w:rPr>
          <w:sz w:val="20"/>
          <w:szCs w:val="20"/>
          <w:color w:val="auto"/>
        </w:rPr>
      </w:pPr>
      <w:r>
        <w:rPr>
          <w:rFonts w:ascii="Arial" w:cs="Arial" w:eastAsia="Arial" w:hAnsi="Arial"/>
          <w:sz w:val="18"/>
          <w:szCs w:val="18"/>
          <w:color w:val="auto"/>
        </w:rPr>
        <w:t>The primary lobby exterior door and one secondary door to be provided with electrified hardware as part of the shell. Tenant to provide and install its card readers as part of the Tenant Improvements.</w:t>
      </w:r>
    </w:p>
    <w:p>
      <w:pPr>
        <w:sectPr>
          <w:pgSz w:w="11900" w:h="16838" w:orient="portrait"/>
          <w:cols w:equalWidth="0" w:num="1">
            <w:col w:w="11020"/>
          </w:cols>
          <w:pgMar w:left="440" w:top="270" w:right="439" w:bottom="1440" w:gutter="0" w:footer="0" w:header="0"/>
        </w:sectPr>
      </w:pPr>
    </w:p>
    <w:bookmarkStart w:id="748" w:name="page749"/>
    <w:bookmarkEnd w:id="74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FINISHES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Interior Walls and Finishes</w:t>
      </w:r>
    </w:p>
    <w:p>
      <w:pPr>
        <w:spacing w:after="0" w:line="117" w:lineRule="exact"/>
        <w:rPr>
          <w:sz w:val="20"/>
          <w:szCs w:val="20"/>
          <w:color w:val="auto"/>
        </w:rPr>
      </w:pPr>
    </w:p>
    <w:p>
      <w:pPr>
        <w:ind w:left="880" w:right="260"/>
        <w:spacing w:after="0" w:line="277" w:lineRule="auto"/>
        <w:rPr>
          <w:sz w:val="20"/>
          <w:szCs w:val="20"/>
          <w:color w:val="auto"/>
        </w:rPr>
      </w:pPr>
      <w:r>
        <w:rPr>
          <w:rFonts w:ascii="Arial" w:cs="Arial" w:eastAsia="Arial" w:hAnsi="Arial"/>
          <w:sz w:val="18"/>
          <w:szCs w:val="18"/>
          <w:color w:val="auto"/>
        </w:rPr>
        <w:t>As required for main electrical room, elevator hoistways, elevator machine room, and stairwell shafts. Interior perimeter wall furring and finishes to be provided as part of the Tenant Improvements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Framing</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Wall framing with gauge metal steel studs spaced at 16” on center or as required to meet rated wall assemblies.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Drywall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Board thickness to be 5/8” at vertical and horizontal surface applications. In areas requiring fire ratings, wall board shall be 5/8” Type “X”.</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Finish joint taping to a smooth level 4 smooth texture in finished rooms and level 3 finish at surface in non finished areas.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Paint</w:t>
      </w:r>
    </w:p>
    <w:p>
      <w:pPr>
        <w:spacing w:after="0" w:line="117" w:lineRule="exact"/>
        <w:rPr>
          <w:sz w:val="20"/>
          <w:szCs w:val="20"/>
          <w:color w:val="auto"/>
        </w:rPr>
      </w:pPr>
    </w:p>
    <w:p>
      <w:pPr>
        <w:ind w:left="880" w:right="300"/>
        <w:spacing w:after="0" w:line="277" w:lineRule="auto"/>
        <w:rPr>
          <w:sz w:val="20"/>
          <w:szCs w:val="20"/>
          <w:color w:val="auto"/>
        </w:rPr>
      </w:pPr>
      <w:r>
        <w:rPr>
          <w:rFonts w:ascii="Arial" w:cs="Arial" w:eastAsia="Arial" w:hAnsi="Arial"/>
          <w:sz w:val="18"/>
          <w:szCs w:val="18"/>
          <w:color w:val="auto"/>
        </w:rPr>
        <w:t>All interior gypsum drywall (Lo-Glo satin sheen), exposed steel surfaces, hollow metal doors and frames and interior columns to receive paint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Signage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Tenant to install all site and building ID signage per 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CONVEYING SYSTEMS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Hydraulic Elevators</w:t>
      </w:r>
    </w:p>
    <w:p>
      <w:pPr>
        <w:spacing w:after="0" w:line="117" w:lineRule="exact"/>
        <w:rPr>
          <w:sz w:val="20"/>
          <w:szCs w:val="20"/>
          <w:color w:val="auto"/>
        </w:rPr>
      </w:pPr>
    </w:p>
    <w:p>
      <w:pPr>
        <w:ind w:left="880" w:right="20"/>
        <w:spacing w:after="0" w:line="259" w:lineRule="auto"/>
        <w:rPr>
          <w:sz w:val="20"/>
          <w:szCs w:val="20"/>
          <w:color w:val="auto"/>
        </w:rPr>
      </w:pPr>
      <w:r>
        <w:rPr>
          <w:rFonts w:ascii="Arial" w:cs="Arial" w:eastAsia="Arial" w:hAnsi="Arial"/>
          <w:sz w:val="18"/>
          <w:szCs w:val="18"/>
          <w:color w:val="auto"/>
        </w:rPr>
        <w:t>One (1) 3000# passenger, and one (1) 5,000# passenger/ service, 150 fpm, hydraulic elevators by Otis Elevator, Thyssen Krupp, Schindler, or equal with standard hoistway entrances and cab finishes. Hydraulic power unit pump, tank, and control system equipment to be located in adjacent Elevator Machine Room. Landlord to install finishes in elevator cab in keeping with finishes and materials in Project. Elevators to be tested and operational as designed upon delivery to Tenant.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Fire Protection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Full building shell fire sprinkler system meeting Ordinary Hazard Group 2 density per the CBC, CFC and NFPA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Fire Alarm System</w:t>
      </w:r>
    </w:p>
    <w:p>
      <w:pPr>
        <w:spacing w:after="0" w:line="117"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Fully functional fire alarm system monitoring elevators and fire protection flow switches. System to be expandable to cover future Tenant Improvements</w:t>
      </w:r>
    </w:p>
    <w:p>
      <w:pPr>
        <w:sectPr>
          <w:pgSz w:w="11900" w:h="16838" w:orient="portrait"/>
          <w:cols w:equalWidth="0" w:num="1">
            <w:col w:w="11020"/>
          </w:cols>
          <w:pgMar w:left="440" w:top="271"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Fireproofing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Fireproofing or otherwise providing a 2 hour rating on the underside of the 2</w:t>
      </w:r>
      <w:r>
        <w:rPr>
          <w:rFonts w:ascii="Arial" w:cs="Arial" w:eastAsia="Arial" w:hAnsi="Arial"/>
          <w:sz w:val="15"/>
          <w:szCs w:val="15"/>
          <w:color w:val="auto"/>
        </w:rPr>
        <w:t>nd</w:t>
      </w:r>
      <w:r>
        <w:rPr>
          <w:rFonts w:ascii="Arial" w:cs="Arial" w:eastAsia="Arial" w:hAnsi="Arial"/>
          <w:sz w:val="18"/>
          <w:szCs w:val="18"/>
          <w:color w:val="auto"/>
        </w:rPr>
        <w:t xml:space="preserve"> floor deck. This can be achieved either through fireproofing or deck assembly ratings.</w:t>
      </w:r>
    </w:p>
    <w:p>
      <w:pPr>
        <w:spacing w:after="0" w:line="62" w:lineRule="exact"/>
        <w:rPr>
          <w:sz w:val="20"/>
          <w:szCs w:val="20"/>
          <w:color w:val="auto"/>
        </w:rPr>
      </w:pPr>
    </w:p>
    <w:p>
      <w:pPr>
        <w:sectPr>
          <w:pgSz w:w="11900" w:h="16838" w:orient="portrait"/>
          <w:cols w:equalWidth="0" w:num="2">
            <w:col w:w="920" w:space="520"/>
            <w:col w:w="9580"/>
          </w:cols>
          <w:pgMar w:left="440" w:top="271" w:right="4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Vertical control area walls and separation will be part of the Tenant Improvements.</w:t>
      </w:r>
    </w:p>
    <w:p>
      <w:pPr>
        <w:sectPr>
          <w:pgSz w:w="11900" w:h="16838" w:orient="portrait"/>
          <w:cols w:equalWidth="0" w:num="1">
            <w:col w:w="11020"/>
          </w:cols>
          <w:pgMar w:left="440" w:top="271" w:right="439" w:bottom="1440" w:gutter="0" w:footer="0" w:header="0"/>
          <w:type w:val="continuous"/>
        </w:sectPr>
      </w:pPr>
    </w:p>
    <w:bookmarkStart w:id="749" w:name="page750"/>
    <w:bookmarkEnd w:id="74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PLUMBING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Storm Drain</w:t>
      </w:r>
    </w:p>
    <w:p>
      <w:pPr>
        <w:spacing w:after="0" w:line="117" w:lineRule="exact"/>
        <w:rPr>
          <w:sz w:val="20"/>
          <w:szCs w:val="20"/>
          <w:color w:val="auto"/>
        </w:rPr>
      </w:pPr>
    </w:p>
    <w:p>
      <w:pPr>
        <w:ind w:left="880" w:right="100"/>
        <w:spacing w:after="0" w:line="308" w:lineRule="auto"/>
        <w:rPr>
          <w:sz w:val="20"/>
          <w:szCs w:val="20"/>
          <w:color w:val="auto"/>
        </w:rPr>
      </w:pPr>
      <w:r>
        <w:rPr>
          <w:rFonts w:ascii="Arial" w:cs="Arial" w:eastAsia="Arial" w:hAnsi="Arial"/>
          <w:sz w:val="17"/>
          <w:szCs w:val="17"/>
          <w:color w:val="auto"/>
        </w:rPr>
        <w:t>Cast Iron roof drain, and overflow systems sized in accordance with CPC requirements and local rainfall rates. Roof drains shall connect to the site storm drain system. Rainwater overflow system shall be hard piped to a point of discharge near grade.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Domestic Water</w:t>
      </w:r>
    </w:p>
    <w:p>
      <w:pPr>
        <w:spacing w:after="0" w:line="117" w:lineRule="exact"/>
        <w:rPr>
          <w:sz w:val="20"/>
          <w:szCs w:val="20"/>
          <w:color w:val="auto"/>
        </w:rPr>
      </w:pPr>
    </w:p>
    <w:p>
      <w:pPr>
        <w:ind w:left="880" w:right="280"/>
        <w:spacing w:after="0" w:line="277" w:lineRule="auto"/>
        <w:rPr>
          <w:sz w:val="20"/>
          <w:szCs w:val="20"/>
          <w:color w:val="auto"/>
        </w:rPr>
      </w:pPr>
      <w:r>
        <w:rPr>
          <w:rFonts w:ascii="Arial" w:cs="Arial" w:eastAsia="Arial" w:hAnsi="Arial"/>
          <w:sz w:val="18"/>
          <w:szCs w:val="18"/>
          <w:color w:val="auto"/>
        </w:rPr>
        <w:t>3” copper domestic water main to building pressure regulator assembly with two 2 inch meters and stubbed into the building to allow for future extension of Tenant Improvement branch lines and fixture connections.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Sanitary Sewer</w:t>
      </w:r>
    </w:p>
    <w:p>
      <w:pPr>
        <w:spacing w:after="0" w:line="117" w:lineRule="exact"/>
        <w:rPr>
          <w:sz w:val="20"/>
          <w:szCs w:val="20"/>
          <w:color w:val="auto"/>
        </w:rPr>
      </w:pPr>
    </w:p>
    <w:p>
      <w:pPr>
        <w:ind w:left="880" w:right="620"/>
        <w:spacing w:after="0" w:line="277" w:lineRule="auto"/>
        <w:rPr>
          <w:sz w:val="20"/>
          <w:szCs w:val="20"/>
          <w:color w:val="auto"/>
        </w:rPr>
      </w:pPr>
      <w:r>
        <w:rPr>
          <w:rFonts w:ascii="Arial" w:cs="Arial" w:eastAsia="Arial" w:hAnsi="Arial"/>
          <w:sz w:val="18"/>
          <w:szCs w:val="18"/>
          <w:color w:val="auto"/>
        </w:rPr>
        <w:t>1 ea-4” Schedule 40 DWV below grade sanitary main sloped at 2% stubbed into the building to allow for future extension of Tenant Improvement branch lines and fixture connections.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Waste</w:t>
      </w:r>
    </w:p>
    <w:p>
      <w:pPr>
        <w:spacing w:after="0" w:line="117" w:lineRule="exact"/>
        <w:rPr>
          <w:sz w:val="20"/>
          <w:szCs w:val="20"/>
          <w:color w:val="auto"/>
        </w:rPr>
      </w:pPr>
    </w:p>
    <w:p>
      <w:pPr>
        <w:ind w:left="880" w:right="780"/>
        <w:spacing w:after="0" w:line="277" w:lineRule="auto"/>
        <w:rPr>
          <w:sz w:val="20"/>
          <w:szCs w:val="20"/>
          <w:color w:val="auto"/>
        </w:rPr>
      </w:pPr>
      <w:r>
        <w:rPr>
          <w:rFonts w:ascii="Arial" w:cs="Arial" w:eastAsia="Arial" w:hAnsi="Arial"/>
          <w:sz w:val="18"/>
          <w:szCs w:val="18"/>
          <w:color w:val="auto"/>
        </w:rPr>
        <w:t>1 ea-4” branch tee off of sanitary main to a polypropylene sampling port stubbed into the building for future connection of Tenant Improvement branch lines and fixtures.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Shell Ventilation</w:t>
      </w:r>
    </w:p>
    <w:p>
      <w:pPr>
        <w:spacing w:after="0" w:line="117" w:lineRule="exact"/>
        <w:rPr>
          <w:sz w:val="20"/>
          <w:szCs w:val="20"/>
          <w:color w:val="auto"/>
        </w:rPr>
      </w:pPr>
    </w:p>
    <w:p>
      <w:pPr>
        <w:ind w:left="880" w:right="640"/>
        <w:spacing w:after="0" w:line="277" w:lineRule="auto"/>
        <w:rPr>
          <w:sz w:val="20"/>
          <w:szCs w:val="20"/>
          <w:color w:val="auto"/>
        </w:rPr>
      </w:pPr>
      <w:r>
        <w:rPr>
          <w:rFonts w:ascii="Arial" w:cs="Arial" w:eastAsia="Arial" w:hAnsi="Arial"/>
          <w:sz w:val="18"/>
          <w:szCs w:val="18"/>
          <w:color w:val="auto"/>
        </w:rPr>
        <w:t>Ducted ventilation of main electrical room and elevator machine room as required to meet specified equipment room environmental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Normal Electrical Power</w:t>
      </w:r>
    </w:p>
    <w:p>
      <w:pPr>
        <w:spacing w:after="0" w:line="117" w:lineRule="exact"/>
        <w:rPr>
          <w:sz w:val="20"/>
          <w:szCs w:val="20"/>
          <w:color w:val="auto"/>
        </w:rPr>
      </w:pPr>
    </w:p>
    <w:p>
      <w:pPr>
        <w:ind w:left="440" w:right="240"/>
        <w:spacing w:after="0" w:line="264" w:lineRule="auto"/>
        <w:rPr>
          <w:sz w:val="20"/>
          <w:szCs w:val="20"/>
          <w:color w:val="auto"/>
        </w:rPr>
      </w:pPr>
      <w:r>
        <w:rPr>
          <w:rFonts w:ascii="Arial" w:cs="Arial" w:eastAsia="Arial" w:hAnsi="Arial"/>
          <w:sz w:val="18"/>
          <w:szCs w:val="18"/>
          <w:color w:val="auto"/>
        </w:rPr>
        <w:t>277/480V—4000A primary electrical service provided to building main electrical room (to be built with the shell to SDGE standards) underground pull section including the main breaker. Shell house panelboard with distribution and connections to elevators, elevator equipment room, stairwells, exit signs, and exterior lighting.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Emergency Power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Emergency generators, pads and UPS systems to be provided as part of the Tenant Improvements.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Tenant shall be required to provide any information to Landlord which may impact Landlord’s Work in sufficient time for Landlord’s Work to progress in an orderly fashion in accordance with the detailed schedule of key milestones and so as not to delay Landlord’s Work. Any costs incurred by Landlord in connection with Landlord’s Work as a result of any changes requested by Tenant to Landlord’s Work and/or delays on the part of Tenant in providing any information required by Landlord for Landlord’s Work and/or the coordination of Landlord’s Work with the Tenant Improvements (e.g. depressing an area of slab or framing for roof or slab penetrations) shall be borne by Tenant.</w:t>
      </w:r>
    </w:p>
    <w:p>
      <w:pPr>
        <w:sectPr>
          <w:pgSz w:w="11900" w:h="16838" w:orient="portrait"/>
          <w:cols w:equalWidth="0" w:num="1">
            <w:col w:w="11020"/>
          </w:cols>
          <w:pgMar w:left="440" w:top="271" w:right="439" w:bottom="1440" w:gutter="0" w:footer="0" w:header="0"/>
        </w:sectPr>
      </w:pPr>
    </w:p>
    <w:bookmarkStart w:id="750" w:name="page751"/>
    <w:bookmarkEnd w:id="75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FIBER OPTIC</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Landlord will arrange for fiber optic lines to be run to the Building by a service provider designated in writing by Tenant to Landlord promptly after the date of this Lease; provided, however, that such service provider provides service in the area where the Project is located and such service provider is willing to provide service to Tenant at the Project. Tenant shall be responsible for reimbursing Landlord for all reasonable costs incurred by Landlord in connection with the same including, without limitation, any actual fees charged by the service provider for installation of such fiber optic line.</w:t>
      </w:r>
    </w:p>
    <w:p>
      <w:pPr>
        <w:spacing w:after="0" w:line="2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THE ABOVE MENTIONED DOCUMENT IS A DESCRIPTION OF THE “COLD” BUILDING SHELL THAT THE LANDLORD INTENDS TO BUILD. TENANT IMPROVEMENT COMPONENTS (INCLUDING ANY ITEMS DESCRIBED ABOVE AS BEING PART OF THE TENANT IMPROVEMENTS) ARE NOT INCLUDED IN THE BASE BUILDING THAT LANDLORD WILL BE PROVIDING, AND TENANT (AND NOT LANDLORD) SHALL BE RESPONSIBLE FOR PAYING FOR THE SAME, SUBJECT TO LANDLORD’S OBLIGATION TO FUND THE TI ALLOWANCE AND ADDITIONAL TENANT IMPROVEMENT ALLOWANCE AS PROVIDED IN THE WORK LETTER.</w:t>
      </w:r>
    </w:p>
    <w:p>
      <w:pPr>
        <w:sectPr>
          <w:pgSz w:w="11900" w:h="16838" w:orient="portrait"/>
          <w:cols w:equalWidth="0" w:num="1">
            <w:col w:w="11020"/>
          </w:cols>
          <w:pgMar w:left="440" w:top="269" w:right="439" w:bottom="1440" w:gutter="0" w:footer="0" w:header="0"/>
        </w:sectPr>
      </w:pPr>
    </w:p>
    <w:bookmarkStart w:id="751" w:name="page752"/>
    <w:bookmarkEnd w:id="75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 Specifications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3013 Science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Medicines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Below are the minimum levels of specifications for the Tenant Improvement Specifications being constructed by Tenant pursuant to the Work Letter.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IMPROVEMENT SPECIFICATION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Code Compliance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Design and construction shall conform to all Legal Requirements including but not limited to the most current version of the following documents: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 Mechanical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Plumbing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Building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Fire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Local Fire Department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Fire Protection Association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ARCHITECTURAL</w:t>
            </w:r>
          </w:p>
        </w:tc>
        <w:tc>
          <w:tcPr>
            <w:tcW w:w="9100" w:type="dxa"/>
            <w:vAlign w:val="bottom"/>
          </w:tcPr>
          <w:p>
            <w:pPr>
              <w:spacing w:after="0"/>
              <w:rPr>
                <w:sz w:val="17"/>
                <w:szCs w:val="17"/>
                <w:color w:val="auto"/>
              </w:rPr>
            </w:pPr>
          </w:p>
        </w:tc>
      </w:tr>
      <w:tr>
        <w:trPr>
          <w:trHeight w:val="479"/>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Interior Partition</w:t>
            </w:r>
          </w:p>
        </w:tc>
        <w:tc>
          <w:tcPr>
            <w:tcW w:w="260" w:type="dxa"/>
            <w:vAlign w:val="bottom"/>
          </w:tcPr>
          <w:p>
            <w:pPr>
              <w:spacing w:after="0"/>
              <w:rPr>
                <w:sz w:val="24"/>
                <w:szCs w:val="24"/>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3-5/8” studs typical, gauge and spacing as required by code, and Type X, 5/8” drywall</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Standard interior partitions penetrate ceiling grid 6”. Conference rooms to receive full height partitions.</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w w:val="91"/>
              </w:rPr>
              <w:t>Rated control area walls and mechanical requirements to provide the number of Control Zones per floor that are approved</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by the City of San Diego and required for Tenant’s Permitted Use.</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Fire rated assemblies, full height, tunnel and shaft wall construction per code</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w w:val="91"/>
              </w:rPr>
              <w:t>Backing required in any walls where casework, appliances, Tenant equipment or fixtures will be mounted. Backing for any</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seismic restraining systems is excluded from the Tenant Improvement scope of work</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w w:val="93"/>
              </w:rPr>
              <w:t>Coordinate with structural engineer to determine any specialty requirements for heavy loads. Tenant to pay for all costs</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associated with any structural bracing required to support above structural loads as part of TI Fund.</w:t>
            </w:r>
          </w:p>
        </w:tc>
      </w:tr>
      <w:tr>
        <w:trPr>
          <w:trHeight w:val="230"/>
        </w:trPr>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Smooth drywall finish to Level 4 and Level 5 in those areas mutually agreed to in the Construction Documents.</w:t>
            </w:r>
          </w:p>
        </w:tc>
      </w:tr>
    </w:tbl>
    <w:p>
      <w:pPr>
        <w:sectPr>
          <w:pgSz w:w="11900" w:h="16838" w:orient="portrait"/>
          <w:cols w:equalWidth="0" w:num="1">
            <w:col w:w="11020"/>
          </w:cols>
          <w:pgMar w:left="440" w:top="270" w:right="439" w:bottom="1440" w:gutter="0" w:footer="0" w:header="0"/>
        </w:sectPr>
      </w:pPr>
    </w:p>
    <w:bookmarkStart w:id="752" w:name="page753"/>
    <w:bookmarkEnd w:id="752"/>
    <w:p>
      <w:pPr>
        <w:spacing w:after="0"/>
        <w:rPr>
          <w:sz w:val="20"/>
          <w:szCs w:val="20"/>
          <w:color w:val="auto"/>
        </w:rPr>
      </w:pPr>
      <w:r>
        <w:rPr>
          <w:rFonts w:ascii="Arial" w:cs="Arial" w:eastAsia="Arial" w:hAnsi="Arial"/>
          <w:sz w:val="17"/>
          <w:szCs w:val="17"/>
          <w:b w:val="1"/>
          <w:bCs w:val="1"/>
          <w:color w:val="auto"/>
        </w:rPr>
        <w:t>Work Letter – Landlord Build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-198755</wp:posOffset>
            </wp:positionV>
            <wp:extent cx="728916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180" w:space="720"/>
            <w:col w:w="4120"/>
          </w:cols>
          <w:pgMar w:left="440" w:top="271" w:right="439" w:bottom="1440" w:gutter="0" w:footer="0" w:header="0"/>
        </w:sectPr>
      </w:pPr>
    </w:p>
    <w:p>
      <w:pPr>
        <w:spacing w:after="0"/>
        <w:rPr>
          <w:sz w:val="20"/>
          <w:szCs w:val="20"/>
          <w:color w:val="auto"/>
        </w:rPr>
      </w:pPr>
      <w:r>
        <w:rPr>
          <w:rFonts w:ascii="Arial" w:cs="Arial" w:eastAsia="Arial" w:hAnsi="Arial"/>
          <w:sz w:val="16"/>
          <w:szCs w:val="16"/>
          <w:i w:val="1"/>
          <w:iCs w:val="1"/>
          <w:color w:val="auto"/>
        </w:rPr>
        <w:t>Core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All wall, floor and ceiling finishes shall be consistent with a Class A Building in Tenant Constructed lobby, restroom and other core areas.</w:t>
      </w:r>
    </w:p>
    <w:p>
      <w:pPr>
        <w:spacing w:after="0" w:line="76" w:lineRule="exact"/>
        <w:rPr>
          <w:sz w:val="20"/>
          <w:szCs w:val="20"/>
          <w:color w:val="auto"/>
        </w:rPr>
      </w:pPr>
    </w:p>
    <w:p>
      <w:pPr>
        <w:sectPr>
          <w:pgSz w:w="11900" w:h="16838" w:orient="portrait"/>
          <w:cols w:equalWidth="0" w:num="2">
            <w:col w:w="1380" w:space="720"/>
            <w:col w:w="8920"/>
          </w:cols>
          <w:pgMar w:left="440" w:top="271" w:right="4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Insulation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Batt insulation within all wall cavities, unless otherwise directed by the Tenant.</w:t>
      </w:r>
    </w:p>
    <w:p>
      <w:pPr>
        <w:spacing w:after="0" w:line="153" w:lineRule="exact"/>
        <w:rPr>
          <w:sz w:val="20"/>
          <w:szCs w:val="20"/>
          <w:color w:val="auto"/>
        </w:rPr>
      </w:pPr>
    </w:p>
    <w:p>
      <w:pPr>
        <w:sectPr>
          <w:pgSz w:w="11900" w:h="16838" w:orient="portrait"/>
          <w:cols w:equalWidth="0" w:num="2">
            <w:col w:w="1380" w:space="720"/>
            <w:col w:w="8920"/>
          </w:cols>
          <w:pgMar w:left="440" w:top="271" w:right="4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Doors, Frames &amp;</w:t>
      </w:r>
    </w:p>
    <w:p>
      <w:pPr>
        <w:spacing w:after="0" w:line="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i w:val="1"/>
          <w:iCs w:val="1"/>
          <w:color w:val="auto"/>
        </w:rPr>
        <w:t>Hardware</w:t>
      </w:r>
      <w:r>
        <w:rPr>
          <w:sz w:val="20"/>
          <w:szCs w:val="20"/>
          <w:color w:val="auto"/>
        </w:rPr>
        <w:tab/>
      </w:r>
      <w:r>
        <w:rPr>
          <w:rFonts w:ascii="Arial" w:cs="Arial" w:eastAsia="Arial" w:hAnsi="Arial"/>
          <w:sz w:val="18"/>
          <w:szCs w:val="18"/>
          <w:u w:val="single" w:color="auto"/>
          <w:color w:val="auto"/>
        </w:rPr>
        <w:t>Offices/ General Use Areas</w:t>
      </w:r>
    </w:p>
    <w:p>
      <w:pPr>
        <w:spacing w:after="0" w:line="9" w:lineRule="exact"/>
        <w:rPr>
          <w:sz w:val="20"/>
          <w:szCs w:val="20"/>
          <w:color w:val="auto"/>
        </w:rPr>
      </w:pPr>
    </w:p>
    <w:p>
      <w:pPr>
        <w:ind w:left="2100" w:right="60"/>
        <w:spacing w:after="0" w:line="258" w:lineRule="auto"/>
        <w:rPr>
          <w:sz w:val="20"/>
          <w:szCs w:val="20"/>
          <w:color w:val="auto"/>
        </w:rPr>
      </w:pPr>
      <w:r>
        <w:rPr>
          <w:rFonts w:ascii="Arial" w:cs="Arial" w:eastAsia="Arial" w:hAnsi="Arial"/>
          <w:sz w:val="18"/>
          <w:szCs w:val="18"/>
          <w:color w:val="auto"/>
        </w:rPr>
        <w:t>Interior door assemblies to be 3’ x 8’ minimum, solid core, wood veneer, flush face doors with anodized aluminum frames, natural finish, and storefront glazing at offices and conference rooms</w:t>
      </w:r>
    </w:p>
    <w:p>
      <w:pPr>
        <w:spacing w:after="0" w:line="1" w:lineRule="exact"/>
        <w:rPr>
          <w:sz w:val="20"/>
          <w:szCs w:val="20"/>
          <w:color w:val="auto"/>
        </w:rPr>
      </w:pPr>
    </w:p>
    <w:p>
      <w:pPr>
        <w:ind w:right="1220" w:firstLine="2094"/>
        <w:spacing w:after="0" w:line="313" w:lineRule="auto"/>
        <w:rPr>
          <w:sz w:val="20"/>
          <w:szCs w:val="20"/>
          <w:color w:val="auto"/>
        </w:rPr>
      </w:pPr>
      <w:r>
        <w:rPr>
          <w:rFonts w:ascii="Arial" w:cs="Arial" w:eastAsia="Arial" w:hAnsi="Arial"/>
          <w:sz w:val="18"/>
          <w:szCs w:val="18"/>
          <w:color w:val="auto"/>
        </w:rPr>
        <w:t xml:space="preserve">Schlage model C, Lever style, heavy duty, satin aluminum hardware with components and ratings per code </w:t>
      </w:r>
      <w:r>
        <w:rPr>
          <w:rFonts w:ascii="Arial" w:cs="Arial" w:eastAsia="Arial" w:hAnsi="Arial"/>
          <w:sz w:val="18"/>
          <w:szCs w:val="18"/>
          <w:u w:val="single" w:color="auto"/>
          <w:color w:val="auto"/>
        </w:rPr>
        <w:t>Lab, Lab Support, Equipment, &amp; Storage Areas</w:t>
      </w:r>
    </w:p>
    <w:p>
      <w:pPr>
        <w:ind w:left="2100" w:right="320"/>
        <w:spacing w:after="0" w:line="250" w:lineRule="auto"/>
        <w:rPr>
          <w:sz w:val="20"/>
          <w:szCs w:val="20"/>
          <w:color w:val="auto"/>
        </w:rPr>
      </w:pPr>
      <w:r>
        <w:rPr>
          <w:rFonts w:ascii="Arial" w:cs="Arial" w:eastAsia="Arial" w:hAnsi="Arial"/>
          <w:sz w:val="18"/>
          <w:szCs w:val="18"/>
          <w:color w:val="auto"/>
        </w:rPr>
        <w:t>Door Assemblies to be 3’ x 8 ‘or 3’-6” x 8’ minimum stained with aluminum frames to match offices except for hollow metal assemblies as required</w:t>
      </w:r>
    </w:p>
    <w:p>
      <w:pPr>
        <w:spacing w:after="0" w:line="1" w:lineRule="exact"/>
        <w:rPr>
          <w:sz w:val="20"/>
          <w:szCs w:val="20"/>
          <w:color w:val="auto"/>
        </w:rPr>
      </w:pPr>
    </w:p>
    <w:p>
      <w:pPr>
        <w:ind w:left="2100" w:right="1500"/>
        <w:spacing w:after="0" w:line="290" w:lineRule="auto"/>
        <w:rPr>
          <w:sz w:val="20"/>
          <w:szCs w:val="20"/>
          <w:color w:val="auto"/>
        </w:rPr>
      </w:pPr>
      <w:r>
        <w:rPr>
          <w:rFonts w:ascii="Arial" w:cs="Arial" w:eastAsia="Arial" w:hAnsi="Arial"/>
          <w:sz w:val="17"/>
          <w:szCs w:val="17"/>
          <w:color w:val="auto"/>
        </w:rPr>
        <w:t>Lab offices to be 3’ x 8’, 3’-6” x 8’ or 6’ x 8’ minimum stained with aluminum frames to match offices Lever style, heavy duty, satin aluminum hardware with components and ratings per code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i w:val="1"/>
                <w:iCs w:val="1"/>
                <w:color w:val="auto"/>
              </w:rPr>
              <w:t>Windows</w:t>
            </w:r>
          </w:p>
        </w:tc>
        <w:tc>
          <w:tcPr>
            <w:tcW w:w="7840" w:type="dxa"/>
            <w:vAlign w:val="bottom"/>
            <w:gridSpan w:val="2"/>
          </w:tcPr>
          <w:p>
            <w:pPr>
              <w:spacing w:after="0"/>
              <w:rPr>
                <w:sz w:val="20"/>
                <w:szCs w:val="20"/>
                <w:color w:val="auto"/>
              </w:rPr>
            </w:pPr>
            <w:r>
              <w:rPr>
                <w:rFonts w:ascii="Arial" w:cs="Arial" w:eastAsia="Arial" w:hAnsi="Arial"/>
                <w:sz w:val="18"/>
                <w:szCs w:val="18"/>
                <w:color w:val="auto"/>
                <w:w w:val="90"/>
              </w:rPr>
              <w:t>Frames to match aluminum door frames in office areas except for hollow metal frame assemblies as required</w:t>
            </w:r>
          </w:p>
        </w:tc>
      </w:tr>
      <w:tr>
        <w:trPr>
          <w:trHeight w:val="311"/>
        </w:trPr>
        <w:tc>
          <w:tcPr>
            <w:tcW w:w="2100" w:type="dxa"/>
            <w:vAlign w:val="bottom"/>
          </w:tcPr>
          <w:p>
            <w:pPr>
              <w:spacing w:after="0"/>
              <w:rPr>
                <w:sz w:val="20"/>
                <w:szCs w:val="20"/>
                <w:color w:val="auto"/>
              </w:rPr>
            </w:pPr>
            <w:r>
              <w:rPr>
                <w:rFonts w:ascii="Arial" w:cs="Arial" w:eastAsia="Arial" w:hAnsi="Arial"/>
                <w:sz w:val="18"/>
                <w:szCs w:val="18"/>
                <w:i w:val="1"/>
                <w:iCs w:val="1"/>
                <w:color w:val="auto"/>
              </w:rPr>
              <w:t>Ceiling System</w:t>
            </w:r>
          </w:p>
        </w:tc>
        <w:tc>
          <w:tcPr>
            <w:tcW w:w="7840" w:type="dxa"/>
            <w:vAlign w:val="bottom"/>
            <w:gridSpan w:val="2"/>
          </w:tcPr>
          <w:p>
            <w:pPr>
              <w:spacing w:after="0"/>
              <w:rPr>
                <w:sz w:val="20"/>
                <w:szCs w:val="20"/>
                <w:color w:val="auto"/>
              </w:rPr>
            </w:pPr>
            <w:r>
              <w:rPr>
                <w:rFonts w:ascii="Arial" w:cs="Arial" w:eastAsia="Arial" w:hAnsi="Arial"/>
                <w:sz w:val="18"/>
                <w:szCs w:val="18"/>
                <w:color w:val="auto"/>
              </w:rPr>
              <w:t>General</w:t>
            </w:r>
          </w:p>
        </w:tc>
      </w:tr>
      <w:tr>
        <w:trPr>
          <w:trHeight w:val="20"/>
        </w:trPr>
        <w:tc>
          <w:tcPr>
            <w:tcW w:w="2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50"/>
        </w:trPr>
        <w:tc>
          <w:tcPr>
            <w:tcW w:w="210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T-Bar suspension installation per code, utilize BERC clips in lieu of 2” wall angle</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Office Areas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Ceiling height to be 10’0” minimum.</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2’, 15/16” exposed T-Grid, white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2’ acoustic tile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Lab</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Ceiling height to be 10’0” minimum.</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4’, 15/16” exposed T-grid, white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4’ acoustic tile with cleanable surface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Lab Support, Equipment and Storage Areas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Ceiling height to be 10’0”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4’, 15/16” exposed T-grid, white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 x 4’ acoustic tile with cleanable surface</w:t>
      </w:r>
    </w:p>
    <w:p>
      <w:pPr>
        <w:sectPr>
          <w:pgSz w:w="11900" w:h="16838" w:orient="portrait"/>
          <w:cols w:equalWidth="0" w:num="1">
            <w:col w:w="11020"/>
          </w:cols>
          <w:pgMar w:left="440" w:top="271" w:right="439" w:bottom="1440" w:gutter="0" w:footer="0" w:header="0"/>
          <w:type w:val="continuous"/>
        </w:sectPr>
      </w:pPr>
    </w:p>
    <w:bookmarkStart w:id="753" w:name="page754"/>
    <w:bookmarkEnd w:id="75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20</w:t>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Vivarium</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Ceiling to be 9’0” high, 5/8 gyp. Board 1-5/8” hat channel and black iron runners, and dropped ceilings in selected areas:</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hallways, cage wash and offices.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 Office Cabinetry and Fixed Scientific Equipment</w:t>
      </w:r>
    </w:p>
    <w:p>
      <w:pPr>
        <w:spacing w:after="0" w:line="23" w:lineRule="exact"/>
        <w:rPr>
          <w:sz w:val="20"/>
          <w:szCs w:val="20"/>
          <w:color w:val="auto"/>
        </w:rPr>
      </w:pPr>
    </w:p>
    <w:p>
      <w:pPr>
        <w:ind w:left="2100" w:right="300"/>
        <w:spacing w:after="0" w:line="250" w:lineRule="auto"/>
        <w:rPr>
          <w:sz w:val="20"/>
          <w:szCs w:val="20"/>
          <w:color w:val="auto"/>
        </w:rPr>
      </w:pPr>
      <w:r>
        <w:rPr>
          <w:rFonts w:ascii="Arial" w:cs="Arial" w:eastAsia="Arial" w:hAnsi="Arial"/>
          <w:sz w:val="18"/>
          <w:szCs w:val="18"/>
          <w:color w:val="auto"/>
        </w:rPr>
        <w:t>Construction designation APA C-D plugged with exterior glue, 3/4” thick or 3/4” high-pressure particle board for break rooms, copy/work rooms and conference rooms</w:t>
      </w:r>
    </w:p>
    <w:p>
      <w:pPr>
        <w:spacing w:after="0" w:line="1" w:lineRule="exact"/>
        <w:rPr>
          <w:sz w:val="20"/>
          <w:szCs w:val="20"/>
          <w:color w:val="auto"/>
        </w:rPr>
      </w:pPr>
    </w:p>
    <w:p>
      <w:pPr>
        <w:jc w:val="both"/>
        <w:ind w:left="2100" w:right="560"/>
        <w:spacing w:after="0" w:line="250" w:lineRule="auto"/>
        <w:rPr>
          <w:sz w:val="20"/>
          <w:szCs w:val="20"/>
          <w:color w:val="auto"/>
        </w:rPr>
      </w:pPr>
      <w:r>
        <w:rPr>
          <w:rFonts w:ascii="Arial" w:cs="Arial" w:eastAsia="Arial" w:hAnsi="Arial"/>
          <w:sz w:val="18"/>
          <w:szCs w:val="18"/>
          <w:color w:val="auto"/>
        </w:rPr>
        <w:t>Lab casework to be fixed plastic laminate “C frame” modular casework with Trespa or equivalent countertops. Base cabinets to have self closing hinges adjustable shelf standards and shelves, full extension, heavy duty drawer glides Reagent shelves of 2 shelves and seismic lips.</w:t>
      </w:r>
    </w:p>
    <w:p>
      <w:pPr>
        <w:spacing w:after="0" w:line="1" w:lineRule="exact"/>
        <w:rPr>
          <w:sz w:val="20"/>
          <w:szCs w:val="20"/>
          <w:color w:val="auto"/>
        </w:rPr>
      </w:pPr>
    </w:p>
    <w:p>
      <w:pPr>
        <w:ind w:left="2100" w:right="480"/>
        <w:spacing w:after="0" w:line="250" w:lineRule="auto"/>
        <w:rPr>
          <w:sz w:val="20"/>
          <w:szCs w:val="20"/>
          <w:color w:val="auto"/>
        </w:rPr>
      </w:pPr>
      <w:r>
        <w:rPr>
          <w:rFonts w:ascii="Arial" w:cs="Arial" w:eastAsia="Arial" w:hAnsi="Arial"/>
          <w:sz w:val="18"/>
          <w:szCs w:val="18"/>
          <w:color w:val="auto"/>
        </w:rPr>
        <w:t>Fume hoods of the size and locations shown in the TI Construction Documents with flammable, acid or vacuum base cabinets, low flow alarm, utilities and power receptacles specified</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Landlord and Tenant to review and mutually agree on the condition of refurbished equipment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i w:val="1"/>
                <w:iCs w:val="1"/>
                <w:color w:val="auto"/>
              </w:rPr>
              <w:t>Floor Covering</w:t>
            </w:r>
          </w:p>
        </w:tc>
        <w:tc>
          <w:tcPr>
            <w:tcW w:w="5120" w:type="dxa"/>
            <w:vAlign w:val="bottom"/>
            <w:gridSpan w:val="2"/>
          </w:tcPr>
          <w:p>
            <w:pPr>
              <w:spacing w:after="0"/>
              <w:rPr>
                <w:sz w:val="20"/>
                <w:szCs w:val="20"/>
                <w:color w:val="auto"/>
              </w:rPr>
            </w:pPr>
            <w:r>
              <w:rPr>
                <w:rFonts w:ascii="Arial" w:cs="Arial" w:eastAsia="Arial" w:hAnsi="Arial"/>
                <w:sz w:val="18"/>
                <w:szCs w:val="18"/>
                <w:color w:val="auto"/>
              </w:rPr>
              <w:t>Office and Admin Areas</w:t>
            </w:r>
          </w:p>
        </w:tc>
      </w:tr>
      <w:tr>
        <w:trPr>
          <w:trHeight w:val="20"/>
        </w:trPr>
        <w:tc>
          <w:tcPr>
            <w:tcW w:w="2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0"/>
        </w:trPr>
        <w:tc>
          <w:tcPr>
            <w:tcW w:w="210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Broadloom textured loop with 4” rubber base (carpet tile is acceptable)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 Lab Support/ Equipment/ Storage Areas</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Vinyl composition tile, 12”x12” x1/8” with 4”rubber coved 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Vivarium &amp; Glass Wash</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80" w:type="dxa"/>
            <w:vAlign w:val="bottom"/>
            <w:gridSpan w:val="4"/>
          </w:tcPr>
          <w:p>
            <w:pPr>
              <w:spacing w:after="0"/>
              <w:rPr>
                <w:sz w:val="20"/>
                <w:szCs w:val="20"/>
                <w:color w:val="auto"/>
              </w:rPr>
            </w:pPr>
            <w:r>
              <w:rPr>
                <w:rFonts w:ascii="Arial" w:cs="Arial" w:eastAsia="Arial" w:hAnsi="Arial"/>
                <w:sz w:val="18"/>
                <w:szCs w:val="18"/>
                <w:color w:val="auto"/>
              </w:rPr>
              <w:t>Epoxy flooring w/6” integral coved base</w:t>
            </w:r>
          </w:p>
        </w:tc>
      </w:tr>
      <w:tr>
        <w:trPr>
          <w:trHeight w:val="445"/>
        </w:trPr>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Paint</w:t>
            </w:r>
          </w:p>
        </w:tc>
        <w:tc>
          <w:tcPr>
            <w:tcW w:w="9200" w:type="dxa"/>
            <w:vAlign w:val="bottom"/>
            <w:gridSpan w:val="5"/>
          </w:tcPr>
          <w:p>
            <w:pPr>
              <w:ind w:left="420"/>
              <w:spacing w:after="0"/>
              <w:rPr>
                <w:sz w:val="20"/>
                <w:szCs w:val="20"/>
                <w:color w:val="auto"/>
              </w:rPr>
            </w:pPr>
            <w:r>
              <w:rPr>
                <w:rFonts w:ascii="Arial" w:cs="Arial" w:eastAsia="Arial" w:hAnsi="Arial"/>
                <w:sz w:val="18"/>
                <w:szCs w:val="18"/>
                <w:color w:val="auto"/>
              </w:rPr>
              <w:t>Shall not exceed the VOC and chemical components of Green Seals’s Standard GS-11</w:t>
            </w:r>
          </w:p>
        </w:tc>
      </w:tr>
      <w:tr>
        <w:trPr>
          <w:trHeight w:val="446"/>
        </w:trPr>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18"/>
                <w:szCs w:val="18"/>
                <w:color w:val="auto"/>
              </w:rPr>
              <w:t>Epoxy Paint - provide at Vivarium and Glass Wash areas</w:t>
            </w:r>
          </w:p>
        </w:tc>
      </w:tr>
      <w:tr>
        <w:trPr>
          <w:trHeight w:val="419"/>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COLD ROOMS</w:t>
            </w:r>
          </w:p>
        </w:tc>
        <w:tc>
          <w:tcPr>
            <w:tcW w:w="9200" w:type="dxa"/>
            <w:vAlign w:val="bottom"/>
            <w:gridSpan w:val="5"/>
          </w:tcPr>
          <w:p>
            <w:pPr>
              <w:ind w:left="420"/>
              <w:spacing w:after="0"/>
              <w:rPr>
                <w:sz w:val="20"/>
                <w:szCs w:val="20"/>
                <w:color w:val="auto"/>
              </w:rPr>
            </w:pPr>
            <w:r>
              <w:rPr>
                <w:rFonts w:ascii="Arial" w:cs="Arial" w:eastAsia="Arial" w:hAnsi="Arial"/>
                <w:sz w:val="18"/>
                <w:szCs w:val="18"/>
                <w:color w:val="auto"/>
              </w:rPr>
              <w:t>Quantity and number of doors as shown on the TI Construction Drawings</w:t>
            </w:r>
          </w:p>
        </w:tc>
      </w:tr>
      <w:tr>
        <w:trPr>
          <w:trHeight w:val="426"/>
        </w:trPr>
        <w:tc>
          <w:tcPr>
            <w:tcW w:w="1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18"/>
                <w:szCs w:val="18"/>
                <w:color w:val="auto"/>
              </w:rPr>
              <w:t>Wall Panels Withstand live lateral load of 100 lbs point load, 5 psf uniform load</w:t>
            </w: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spacing w:after="0" w:line="196" w:lineRule="exact"/>
              <w:rPr>
                <w:sz w:val="20"/>
                <w:szCs w:val="20"/>
                <w:color w:val="auto"/>
              </w:rPr>
            </w:pPr>
            <w:r>
              <w:rPr>
                <w:rFonts w:ascii="Arial" w:cs="Arial" w:eastAsia="Arial" w:hAnsi="Arial"/>
                <w:sz w:val="18"/>
                <w:szCs w:val="18"/>
                <w:color w:val="auto"/>
                <w:w w:val="97"/>
              </w:rPr>
              <w:t>Ceiling Panels Withstand their own weight, dead loads, and live loads of 25 lbs with maximum deflection of 1:180</w:t>
            </w: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spacing w:after="0" w:line="196" w:lineRule="exact"/>
              <w:rPr>
                <w:sz w:val="20"/>
                <w:szCs w:val="20"/>
                <w:color w:val="auto"/>
              </w:rPr>
            </w:pPr>
            <w:r>
              <w:rPr>
                <w:rFonts w:ascii="Arial" w:cs="Arial" w:eastAsia="Arial" w:hAnsi="Arial"/>
                <w:sz w:val="18"/>
                <w:szCs w:val="18"/>
                <w:color w:val="auto"/>
              </w:rPr>
              <w:t>Cooler Rooms Maintain 4 degrees F; plus or minus 2 F degrees</w:t>
            </w: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spacing w:after="0" w:line="196" w:lineRule="exact"/>
              <w:rPr>
                <w:sz w:val="20"/>
                <w:szCs w:val="20"/>
                <w:color w:val="auto"/>
              </w:rPr>
            </w:pPr>
            <w:r>
              <w:rPr>
                <w:rFonts w:ascii="Arial" w:cs="Arial" w:eastAsia="Arial" w:hAnsi="Arial"/>
                <w:sz w:val="18"/>
                <w:szCs w:val="18"/>
                <w:color w:val="auto"/>
                <w:w w:val="92"/>
              </w:rPr>
              <w:t>Air Tightness of Assembled Unit Limit air infiltration through assembly to 0.06 cu ft/min/sq ft of wall area, measured at a</w:t>
            </w: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0" w:type="dxa"/>
            <w:vAlign w:val="bottom"/>
            <w:tcBorders>
              <w:left w:val="single" w:sz="8" w:color="auto"/>
            </w:tcBorders>
            <w:gridSpan w:val="2"/>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22"/>
        </w:trPr>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80" w:type="dxa"/>
            <w:vAlign w:val="bottom"/>
            <w:gridSpan w:val="4"/>
          </w:tcPr>
          <w:p>
            <w:pPr>
              <w:spacing w:after="0"/>
              <w:rPr>
                <w:sz w:val="20"/>
                <w:szCs w:val="20"/>
                <w:color w:val="auto"/>
              </w:rPr>
            </w:pPr>
            <w:r>
              <w:rPr>
                <w:rFonts w:ascii="Arial" w:cs="Arial" w:eastAsia="Arial" w:hAnsi="Arial"/>
                <w:sz w:val="18"/>
                <w:szCs w:val="18"/>
                <w:color w:val="auto"/>
              </w:rPr>
              <w:t>reference differential pressure across assembly of 1.57 psf as measured in accordance with ASTM E 283</w:t>
            </w:r>
          </w:p>
        </w:tc>
      </w:tr>
      <w:tr>
        <w:trPr>
          <w:trHeight w:val="190"/>
        </w:trPr>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780" w:type="dxa"/>
            <w:vAlign w:val="bottom"/>
            <w:gridSpan w:val="4"/>
          </w:tcPr>
          <w:p>
            <w:pPr>
              <w:spacing w:after="0" w:line="190" w:lineRule="exact"/>
              <w:rPr>
                <w:sz w:val="20"/>
                <w:szCs w:val="20"/>
                <w:color w:val="auto"/>
              </w:rPr>
            </w:pPr>
            <w:r>
              <w:rPr>
                <w:rFonts w:ascii="Arial" w:cs="Arial" w:eastAsia="Arial" w:hAnsi="Arial"/>
                <w:sz w:val="18"/>
                <w:szCs w:val="18"/>
                <w:color w:val="auto"/>
              </w:rPr>
              <w:t>Vapor Seal Interior room atmospheric pressure of 1 inch sp, 72 degrees F, 40 percent RH: No failure</w:t>
            </w:r>
          </w:p>
        </w:tc>
      </w:tr>
      <w:tr>
        <w:trPr>
          <w:trHeight w:val="20"/>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54" w:name="page755"/>
    <w:bookmarkEnd w:id="754"/>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Vapor Tightness Sufficient to eliminate frost accumulation</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20" w:type="dxa"/>
            <w:vAlign w:val="bottom"/>
            <w:gridSpan w:val="8"/>
          </w:tcPr>
          <w:p>
            <w:pPr>
              <w:spacing w:after="0" w:line="196" w:lineRule="exact"/>
              <w:rPr>
                <w:sz w:val="20"/>
                <w:szCs w:val="20"/>
                <w:color w:val="auto"/>
              </w:rPr>
            </w:pPr>
            <w:r>
              <w:rPr>
                <w:rFonts w:ascii="Arial" w:cs="Arial" w:eastAsia="Arial" w:hAnsi="Arial"/>
                <w:sz w:val="18"/>
                <w:szCs w:val="18"/>
                <w:color w:val="auto"/>
              </w:rPr>
              <w:t>Insulation Thickness 4 inches</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20" w:type="dxa"/>
            <w:vAlign w:val="bottom"/>
            <w:gridSpan w:val="8"/>
          </w:tcPr>
          <w:p>
            <w:pPr>
              <w:spacing w:after="0" w:line="196" w:lineRule="exact"/>
              <w:rPr>
                <w:sz w:val="20"/>
                <w:szCs w:val="20"/>
                <w:color w:val="auto"/>
              </w:rPr>
            </w:pPr>
            <w:r>
              <w:rPr>
                <w:rFonts w:ascii="Arial" w:cs="Arial" w:eastAsia="Arial" w:hAnsi="Arial"/>
                <w:sz w:val="18"/>
                <w:szCs w:val="18"/>
                <w:color w:val="auto"/>
                <w:w w:val="93"/>
              </w:rPr>
              <w:t>Doors: Overlap type for 34 x 78 inch opening, construction as for walls but with edges closed; 2-1/2 inch thick insulation;</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w w:val="94"/>
              </w:rPr>
              <w:t>flexible gasket containing magnetic strip on four edges; heated gasket thermostatic control with two way air relief valve.</w:t>
            </w:r>
          </w:p>
        </w:tc>
      </w:tr>
      <w:tr>
        <w:trPr>
          <w:trHeight w:val="216"/>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Configuration and quantity as shown on drawings</w:t>
            </w:r>
          </w:p>
        </w:tc>
      </w:tr>
      <w:tr>
        <w:trPr>
          <w:trHeight w:val="190"/>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gridSpan w:val="8"/>
          </w:tcPr>
          <w:p>
            <w:pPr>
              <w:spacing w:after="0" w:line="190" w:lineRule="exact"/>
              <w:rPr>
                <w:sz w:val="20"/>
                <w:szCs w:val="20"/>
                <w:color w:val="auto"/>
              </w:rPr>
            </w:pPr>
            <w:r>
              <w:rPr>
                <w:rFonts w:ascii="Arial" w:cs="Arial" w:eastAsia="Arial" w:hAnsi="Arial"/>
                <w:sz w:val="18"/>
                <w:szCs w:val="18"/>
                <w:color w:val="auto"/>
              </w:rPr>
              <w:t>View Windows Sealed insulating glass units in doors</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20" w:type="dxa"/>
            <w:vAlign w:val="bottom"/>
            <w:gridSpan w:val="8"/>
          </w:tcPr>
          <w:p>
            <w:pPr>
              <w:spacing w:after="0" w:line="196" w:lineRule="exact"/>
              <w:rPr>
                <w:sz w:val="20"/>
                <w:szCs w:val="20"/>
                <w:color w:val="auto"/>
              </w:rPr>
            </w:pPr>
            <w:r>
              <w:rPr>
                <w:rFonts w:ascii="Arial" w:cs="Arial" w:eastAsia="Arial" w:hAnsi="Arial"/>
                <w:sz w:val="18"/>
                <w:szCs w:val="18"/>
                <w:color w:val="auto"/>
                <w:w w:val="90"/>
              </w:rPr>
              <w:t>Hardware Cast brass, nylon bearing self closing hinges, roller catch latch and keeper; cylinder lock and inside safety release</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mechanism</w:t>
            </w:r>
          </w:p>
        </w:tc>
      </w:tr>
      <w:tr>
        <w:trPr>
          <w:trHeight w:val="190"/>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gridSpan w:val="8"/>
          </w:tcPr>
          <w:p>
            <w:pPr>
              <w:spacing w:after="0" w:line="190" w:lineRule="exact"/>
              <w:rPr>
                <w:sz w:val="20"/>
                <w:szCs w:val="20"/>
                <w:color w:val="auto"/>
              </w:rPr>
            </w:pPr>
            <w:r>
              <w:rPr>
                <w:rFonts w:ascii="Arial" w:cs="Arial" w:eastAsia="Arial" w:hAnsi="Arial"/>
                <w:sz w:val="18"/>
                <w:szCs w:val="18"/>
                <w:color w:val="auto"/>
                <w:w w:val="95"/>
              </w:rPr>
              <w:t>Light Fixtures Vapor tight, incandescent with 150 watt lamp, operating toggle switch on exterior wall of room with pilot</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light, wired in rigid conduit</w:t>
            </w:r>
          </w:p>
        </w:tc>
      </w:tr>
      <w:tr>
        <w:trPr>
          <w:trHeight w:val="190"/>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gridSpan w:val="8"/>
          </w:tcPr>
          <w:p>
            <w:pPr>
              <w:spacing w:after="0" w:line="190" w:lineRule="exact"/>
              <w:rPr>
                <w:sz w:val="20"/>
                <w:szCs w:val="20"/>
                <w:color w:val="auto"/>
              </w:rPr>
            </w:pPr>
            <w:r>
              <w:rPr>
                <w:rFonts w:ascii="Arial" w:cs="Arial" w:eastAsia="Arial" w:hAnsi="Arial"/>
                <w:sz w:val="18"/>
                <w:szCs w:val="18"/>
                <w:color w:val="auto"/>
                <w:w w:val="94"/>
              </w:rPr>
              <w:t>Cooling System Direct expansion refrigerant, remote located condensing unit for all rooms, evaporator, unit cooler, self</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w w:val="93"/>
              </w:rPr>
              <w:t>contained with valves, controls, switches, timers, refrigerant piping, insulated suction lines, and wiring. Size and capacity</w:t>
            </w:r>
          </w:p>
        </w:tc>
      </w:tr>
      <w:tr>
        <w:trPr>
          <w:trHeight w:val="216"/>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w w:val="92"/>
              </w:rPr>
              <w:t>to maintain environment specified; hot gas defrost; electrically heated trace condensate drain; to be placed on emergency</w:t>
            </w:r>
          </w:p>
        </w:tc>
      </w:tr>
      <w:tr>
        <w:trPr>
          <w:trHeight w:val="216"/>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power</w:t>
            </w:r>
          </w:p>
        </w:tc>
      </w:tr>
      <w:tr>
        <w:trPr>
          <w:trHeight w:val="190"/>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gridSpan w:val="8"/>
          </w:tcPr>
          <w:p>
            <w:pPr>
              <w:spacing w:after="0" w:line="190" w:lineRule="exact"/>
              <w:rPr>
                <w:sz w:val="20"/>
                <w:szCs w:val="20"/>
                <w:color w:val="auto"/>
              </w:rPr>
            </w:pPr>
            <w:r>
              <w:rPr>
                <w:rFonts w:ascii="Arial" w:cs="Arial" w:eastAsia="Arial" w:hAnsi="Arial"/>
                <w:sz w:val="18"/>
                <w:szCs w:val="18"/>
                <w:color w:val="auto"/>
              </w:rPr>
              <w:t>Cooling Unit Locate remote from cold storage rooms on the roof. Pipe coolant to cold rooms</w:t>
            </w: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980" w:type="dxa"/>
            <w:vAlign w:val="bottom"/>
            <w:gridSpan w:val="5"/>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Arial" w:cs="Arial" w:eastAsia="Arial" w:hAnsi="Arial"/>
                <w:sz w:val="18"/>
                <w:szCs w:val="18"/>
                <w:color w:val="auto"/>
              </w:rPr>
              <w:t>Low voltage temperature alarm</w:t>
            </w:r>
          </w:p>
        </w:tc>
      </w:tr>
      <w:tr>
        <w:trPr>
          <w:trHeight w:val="392"/>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FIRE PROTECTION</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65"/>
        </w:trPr>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Fire Sprinkler</w:t>
            </w:r>
          </w:p>
        </w:tc>
        <w:tc>
          <w:tcPr>
            <w:tcW w:w="9340" w:type="dxa"/>
            <w:vAlign w:val="bottom"/>
            <w:gridSpan w:val="9"/>
          </w:tcPr>
          <w:p>
            <w:pPr>
              <w:ind w:left="420"/>
              <w:spacing w:after="0"/>
              <w:rPr>
                <w:sz w:val="20"/>
                <w:szCs w:val="20"/>
                <w:color w:val="auto"/>
              </w:rPr>
            </w:pPr>
            <w:r>
              <w:rPr>
                <w:rFonts w:ascii="Arial" w:cs="Arial" w:eastAsia="Arial" w:hAnsi="Arial"/>
                <w:sz w:val="18"/>
                <w:szCs w:val="18"/>
                <w:color w:val="auto"/>
                <w:w w:val="93"/>
              </w:rPr>
              <w:t>Modifications to the Base Building system in compliance with recommendations of NFPA 13 for occupancy type. Server</w:t>
            </w:r>
          </w:p>
        </w:tc>
      </w:tr>
      <w:tr>
        <w:trPr>
          <w:trHeight w:val="230"/>
        </w:trPr>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gridSpan w:val="9"/>
          </w:tcPr>
          <w:p>
            <w:pPr>
              <w:ind w:left="420"/>
              <w:spacing w:after="0"/>
              <w:rPr>
                <w:sz w:val="20"/>
                <w:szCs w:val="20"/>
                <w:color w:val="auto"/>
              </w:rPr>
            </w:pPr>
            <w:r>
              <w:rPr>
                <w:rFonts w:ascii="Arial" w:cs="Arial" w:eastAsia="Arial" w:hAnsi="Arial"/>
                <w:sz w:val="18"/>
                <w:szCs w:val="18"/>
                <w:color w:val="auto"/>
              </w:rPr>
              <w:t>Room may be provided with a mutually agreed to dry suppression or pre-action system at Tenant’s option.</w:t>
            </w:r>
          </w:p>
        </w:tc>
      </w:tr>
      <w:tr>
        <w:trPr>
          <w:trHeight w:val="459"/>
        </w:trPr>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Fire Extinguisher</w:t>
            </w:r>
          </w:p>
        </w:tc>
        <w:tc>
          <w:tcPr>
            <w:tcW w:w="9340" w:type="dxa"/>
            <w:vAlign w:val="bottom"/>
            <w:gridSpan w:val="9"/>
          </w:tcPr>
          <w:p>
            <w:pPr>
              <w:ind w:left="420"/>
              <w:spacing w:after="0"/>
              <w:rPr>
                <w:sz w:val="20"/>
                <w:szCs w:val="20"/>
                <w:color w:val="auto"/>
              </w:rPr>
            </w:pPr>
            <w:r>
              <w:rPr>
                <w:rFonts w:ascii="Arial" w:cs="Arial" w:eastAsia="Arial" w:hAnsi="Arial"/>
                <w:sz w:val="18"/>
                <w:szCs w:val="18"/>
                <w:color w:val="auto"/>
              </w:rPr>
              <w:t>Quantity required by code</w:t>
            </w:r>
          </w:p>
        </w:tc>
      </w:tr>
      <w:tr>
        <w:trPr>
          <w:trHeight w:val="473"/>
        </w:trPr>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Fire Alarm</w:t>
            </w:r>
          </w:p>
        </w:tc>
        <w:tc>
          <w:tcPr>
            <w:tcW w:w="9340" w:type="dxa"/>
            <w:vAlign w:val="bottom"/>
            <w:gridSpan w:val="9"/>
          </w:tcPr>
          <w:p>
            <w:pPr>
              <w:ind w:left="420"/>
              <w:spacing w:after="0"/>
              <w:rPr>
                <w:sz w:val="20"/>
                <w:szCs w:val="20"/>
                <w:color w:val="auto"/>
              </w:rPr>
            </w:pPr>
            <w:r>
              <w:rPr>
                <w:rFonts w:ascii="Arial" w:cs="Arial" w:eastAsia="Arial" w:hAnsi="Arial"/>
                <w:sz w:val="18"/>
                <w:szCs w:val="18"/>
                <w:color w:val="auto"/>
              </w:rPr>
              <w:t>All devices required by code reporting to the addressable system specified in the Base Building scope of work.</w:t>
            </w:r>
          </w:p>
        </w:tc>
      </w:tr>
      <w:tr>
        <w:trPr>
          <w:trHeight w:val="405"/>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PLUMBING</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2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work shall be in strict conformance with the following codes &amp;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 Plumbing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Building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Fire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Local Fire Department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Fire Protection Association</w:t>
      </w:r>
    </w:p>
    <w:p>
      <w:pPr>
        <w:sectPr>
          <w:pgSz w:w="11900" w:h="16838" w:orient="portrait"/>
          <w:cols w:equalWidth="0" w:num="1">
            <w:col w:w="11020"/>
          </w:cols>
          <w:pgMar w:left="440" w:top="270" w:right="439" w:bottom="1440" w:gutter="0" w:footer="0" w:header="0"/>
        </w:sectPr>
      </w:pPr>
    </w:p>
    <w:bookmarkStart w:id="755" w:name="page756"/>
    <w:bookmarkEnd w:id="755"/>
    <w:p>
      <w:pPr>
        <w:spacing w:after="0"/>
        <w:rPr>
          <w:sz w:val="20"/>
          <w:szCs w:val="20"/>
          <w:color w:val="auto"/>
        </w:rPr>
      </w:pPr>
      <w:r>
        <w:rPr>
          <w:rFonts w:ascii="Arial" w:cs="Arial" w:eastAsia="Arial" w:hAnsi="Arial"/>
          <w:sz w:val="17"/>
          <w:szCs w:val="17"/>
          <w:b w:val="1"/>
          <w:bCs w:val="1"/>
          <w:color w:val="auto"/>
        </w:rPr>
        <w:t>Work Letter – Landlord Build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-198755</wp:posOffset>
            </wp:positionV>
            <wp:extent cx="72891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180" w:space="720"/>
            <w:col w:w="4120"/>
          </w:cols>
          <w:pgMar w:left="440" w:top="270" w:right="439" w:bottom="1440" w:gutter="0" w:footer="0" w:header="0"/>
        </w:sectPr>
      </w:pPr>
    </w:p>
    <w:p>
      <w:pPr>
        <w:spacing w:after="0"/>
        <w:rPr>
          <w:sz w:val="20"/>
          <w:szCs w:val="20"/>
          <w:color w:val="auto"/>
        </w:rPr>
      </w:pPr>
      <w:r>
        <w:rPr>
          <w:rFonts w:ascii="Arial" w:cs="Arial" w:eastAsia="Arial" w:hAnsi="Arial"/>
          <w:sz w:val="17"/>
          <w:szCs w:val="17"/>
          <w:i w:val="1"/>
          <w:iCs w:val="1"/>
          <w:color w:val="auto"/>
        </w:rPr>
        <w:t>Materials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Soil, waste and vent above ground: service-weight, no-hub cast-iron pipe and fittings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Soil, waste and vent below ground and to 5’-0” outside of building: PVC Industrial waste and vent piping above ground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plenum rated polypropylene DWV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waste and vent piping below ground to be polypropylene DWV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waste piping to route to a sample port just prior to connection to sanitary system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Water and condensate drain piping above ground: Type ‘L” hard-drawn copper type, ASTM B88, and wrought copper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fittings, ANSI B1 6.22. All hot water supply piping shall be insulated with 1-inch thick fiberglass insulation for sizes up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inch size, 1-1/2 inch thick above 2-inch size piping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Water piping below ground 4-inches and smaller: Type “K” hard-drawn copper tubing, ASTM B88, and wrought copper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fittings ANSI B 16.22, silver brazed joints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piping: buried piping to be Polyethylene per ASTM D2513; above grade to be Schedule 40 black steel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ASTM D2513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Indirect drains: Type “M” copper fittings, ANSI B16.22, solder joint type. Insulate with Manville Micro-Lok 650AP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Specialty gas piping shall be type L copper, silver brazed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Deionized water: Schedule 40 polypropylene with socket fused joints</w:t>
      </w:r>
    </w:p>
    <w:p>
      <w:pPr>
        <w:spacing w:after="0" w:line="200" w:lineRule="exact"/>
        <w:rPr>
          <w:sz w:val="20"/>
          <w:szCs w:val="20"/>
          <w:color w:val="auto"/>
        </w:rPr>
      </w:pPr>
    </w:p>
    <w:p>
      <w:pPr>
        <w:sectPr>
          <w:pgSz w:w="11900" w:h="16838" w:orient="portrait"/>
          <w:cols w:equalWidth="0" w:num="2">
            <w:col w:w="1380" w:space="720"/>
            <w:col w:w="8920"/>
          </w:cols>
          <w:pgMar w:left="440" w:top="270"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Plumbing Fixtures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660"/>
        <w:spacing w:after="0" w:line="307" w:lineRule="auto"/>
        <w:rPr>
          <w:sz w:val="20"/>
          <w:szCs w:val="20"/>
          <w:color w:val="auto"/>
        </w:rPr>
      </w:pPr>
      <w:r>
        <w:rPr>
          <w:rFonts w:ascii="Arial" w:cs="Arial" w:eastAsia="Arial" w:hAnsi="Arial"/>
          <w:sz w:val="16"/>
          <w:szCs w:val="16"/>
          <w:color w:val="auto"/>
        </w:rPr>
        <w:t>Lab sink: approx 25”x 22”x12” deep stainless steel sink bottom mount (rimless) Scullery sinks of the size and locations shown in the TI Construction Documents. Break rooms to have double compartment stainless steel sinks bottom mount (rimless). Emergency Shower/Eyewash: Water Saver Faucet Co. Model SSBF2150 or equivalent</w:t>
      </w:r>
    </w:p>
    <w:p>
      <w:pPr>
        <w:spacing w:after="0" w:line="180" w:lineRule="exact"/>
        <w:rPr>
          <w:sz w:val="20"/>
          <w:szCs w:val="20"/>
          <w:color w:val="auto"/>
        </w:rPr>
      </w:pPr>
    </w:p>
    <w:p>
      <w:pPr>
        <w:sectPr>
          <w:pgSz w:w="11900" w:h="16838" w:orient="portrait"/>
          <w:cols w:equalWidth="0" w:num="2">
            <w:col w:w="1380" w:space="720"/>
            <w:col w:w="892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Drains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Floor Drains: Cast iron body floor drains with nickel bronze top, membrane clamp and adjustable collar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Floor Sinks: Cast iron body receptor with acid-resistant coated interior, bottom dome strainer, seepage flange and grate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Trench drains as mutually agreed to in Fermentation Lab, equipment wash and sterilization areas only</w:t>
      </w:r>
    </w:p>
    <w:p>
      <w:pPr>
        <w:spacing w:after="0" w:line="200" w:lineRule="exact"/>
        <w:rPr>
          <w:sz w:val="20"/>
          <w:szCs w:val="20"/>
          <w:color w:val="auto"/>
        </w:rPr>
      </w:pPr>
    </w:p>
    <w:p>
      <w:pPr>
        <w:sectPr>
          <w:pgSz w:w="11900" w:h="16838" w:orient="portrait"/>
          <w:cols w:equalWidth="0" w:num="2">
            <w:col w:w="1380" w:space="720"/>
            <w:col w:w="8920"/>
          </w:cols>
          <w:pgMar w:left="440" w:top="270"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HVAC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All work shall be in strict conformance with the currently adopted editions of the following codes and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 Mechanical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Plumbing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Building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Fire Code</w:t>
      </w:r>
    </w:p>
    <w:p>
      <w:pPr>
        <w:sectPr>
          <w:pgSz w:w="11900" w:h="16838" w:orient="portrait"/>
          <w:cols w:equalWidth="0" w:num="1">
            <w:col w:w="11020"/>
          </w:cols>
          <w:pgMar w:left="440" w:top="270" w:right="439" w:bottom="1440" w:gutter="0" w:footer="0" w:header="0"/>
          <w:type w:val="continuous"/>
        </w:sectPr>
      </w:pPr>
    </w:p>
    <w:bookmarkStart w:id="756" w:name="page757"/>
    <w:bookmarkEnd w:id="756"/>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Local Fire Department Regulations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Fire Protection Association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Overall building energy performance shall meet or exceed current California Energy Efficiency Standards.</w:t>
      </w:r>
    </w:p>
    <w:p>
      <w:pPr>
        <w:spacing w:after="0" w:line="131"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i w:val="1"/>
          <w:iCs w:val="1"/>
          <w:color w:val="auto"/>
        </w:rPr>
        <w:t>Server/IT Room</w:t>
      </w:r>
      <w:r>
        <w:rPr>
          <w:sz w:val="20"/>
          <w:szCs w:val="20"/>
          <w:color w:val="auto"/>
        </w:rPr>
        <w:tab/>
      </w:r>
      <w:r>
        <w:rPr>
          <w:rFonts w:ascii="Arial" w:cs="Arial" w:eastAsia="Arial" w:hAnsi="Arial"/>
          <w:sz w:val="16"/>
          <w:szCs w:val="16"/>
          <w:color w:val="auto"/>
        </w:rPr>
        <w:t>To be provided by tenant as part of TI Funds.</w:t>
      </w:r>
    </w:p>
    <w:p>
      <w:pPr>
        <w:spacing w:after="0" w:line="144"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i w:val="1"/>
          <w:iCs w:val="1"/>
          <w:color w:val="auto"/>
        </w:rPr>
        <w:t>Environmental Design</w:t>
      </w:r>
      <w:r>
        <w:rPr>
          <w:sz w:val="20"/>
          <w:szCs w:val="20"/>
          <w:color w:val="auto"/>
        </w:rPr>
        <w:tab/>
      </w:r>
      <w:r>
        <w:rPr>
          <w:rFonts w:ascii="Arial" w:cs="Arial" w:eastAsia="Arial" w:hAnsi="Arial"/>
          <w:sz w:val="16"/>
          <w:szCs w:val="16"/>
          <w:color w:val="auto"/>
        </w:rPr>
        <w:t>The following criteria will be used for sizing the heating and cooling systems: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Outdoor Ambient Design Conditions:</w:t>
      </w:r>
    </w:p>
    <w:p>
      <w:pPr>
        <w:spacing w:after="0" w:line="23" w:lineRule="exact"/>
        <w:rPr>
          <w:sz w:val="20"/>
          <w:szCs w:val="20"/>
          <w:color w:val="auto"/>
        </w:rPr>
      </w:pPr>
    </w:p>
    <w:p>
      <w:pPr>
        <w:ind w:left="2100"/>
        <w:spacing w:after="0"/>
        <w:tabs>
          <w:tab w:leader="none" w:pos="3280" w:val="left"/>
        </w:tabs>
        <w:rPr>
          <w:sz w:val="20"/>
          <w:szCs w:val="20"/>
          <w:color w:val="auto"/>
        </w:rPr>
      </w:pPr>
      <w:r>
        <w:rPr>
          <w:rFonts w:ascii="Arial" w:cs="Arial" w:eastAsia="Arial" w:hAnsi="Arial"/>
          <w:sz w:val="18"/>
          <w:szCs w:val="18"/>
          <w:color w:val="auto"/>
        </w:rPr>
        <w:t>Summer:</w:t>
      </w:r>
      <w:r>
        <w:rPr>
          <w:sz w:val="20"/>
          <w:szCs w:val="20"/>
          <w:color w:val="auto"/>
        </w:rPr>
        <w:tab/>
      </w:r>
      <w:r>
        <w:rPr>
          <w:rFonts w:ascii="Arial" w:cs="Arial" w:eastAsia="Arial" w:hAnsi="Arial"/>
          <w:sz w:val="18"/>
          <w:szCs w:val="18"/>
          <w:color w:val="auto"/>
        </w:rPr>
        <w:t>91¥F dB, 72¥F mwB, 13¥F dB outdoor daily range</w:t>
      </w:r>
    </w:p>
    <w:p>
      <w:pPr>
        <w:spacing w:after="0" w:line="9" w:lineRule="exact"/>
        <w:rPr>
          <w:sz w:val="20"/>
          <w:szCs w:val="20"/>
          <w:color w:val="auto"/>
        </w:rPr>
      </w:pPr>
    </w:p>
    <w:p>
      <w:pPr>
        <w:ind w:left="2100"/>
        <w:spacing w:after="0"/>
        <w:tabs>
          <w:tab w:leader="none" w:pos="3740" w:val="left"/>
        </w:tabs>
        <w:rPr>
          <w:sz w:val="20"/>
          <w:szCs w:val="20"/>
          <w:color w:val="auto"/>
        </w:rPr>
      </w:pPr>
      <w:r>
        <w:rPr>
          <w:rFonts w:ascii="Arial" w:cs="Arial" w:eastAsia="Arial" w:hAnsi="Arial"/>
          <w:sz w:val="18"/>
          <w:szCs w:val="18"/>
          <w:color w:val="auto"/>
        </w:rPr>
        <w:t>Winter:</w:t>
      </w:r>
      <w:r>
        <w:rPr>
          <w:sz w:val="20"/>
          <w:szCs w:val="20"/>
          <w:color w:val="auto"/>
        </w:rPr>
        <w:tab/>
      </w:r>
      <w:r>
        <w:rPr>
          <w:rFonts w:ascii="Arial" w:cs="Arial" w:eastAsia="Arial" w:hAnsi="Arial"/>
          <w:sz w:val="18"/>
          <w:szCs w:val="18"/>
          <w:color w:val="auto"/>
        </w:rPr>
        <w:t>38¥F dB</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Indoor Conditions for Air Conditioned Area:</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Offices, Labs 72¥F dB ± 3¥F dB, No Humidity Control</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Electrical, Telecom, Storage Typical of office space unless equipment requires a more specifically controlled environment</w:t>
      </w:r>
    </w:p>
    <w:p>
      <w:pPr>
        <w:spacing w:after="0" w:line="139"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i w:val="1"/>
          <w:iCs w:val="1"/>
          <w:color w:val="auto"/>
        </w:rPr>
        <w:t>Ventilation Air</w:t>
      </w:r>
      <w:r>
        <w:rPr>
          <w:sz w:val="20"/>
          <w:szCs w:val="20"/>
          <w:color w:val="auto"/>
        </w:rPr>
        <w:tab/>
      </w:r>
      <w:r>
        <w:rPr>
          <w:rFonts w:ascii="Arial" w:cs="Arial" w:eastAsia="Arial" w:hAnsi="Arial"/>
          <w:sz w:val="16"/>
          <w:szCs w:val="16"/>
          <w:color w:val="auto"/>
        </w:rPr>
        <w:t>Outdoor air for ventilation per ASHRAE Standard 62-1989</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Lab areas to be 100% outside air with the following minimum air change recommendations, or as required by the TI Construction Documents:</w:t>
      </w:r>
    </w:p>
    <w:p>
      <w:pPr>
        <w:spacing w:after="0" w:line="142" w:lineRule="exact"/>
        <w:rPr>
          <w:sz w:val="20"/>
          <w:szCs w:val="20"/>
          <w:color w:val="auto"/>
        </w:rPr>
      </w:pPr>
    </w:p>
    <w:p>
      <w:pPr>
        <w:ind w:left="860" w:hanging="424"/>
        <w:spacing w:after="0"/>
        <w:tabs>
          <w:tab w:leader="none" w:pos="86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Non-chemistry areas 8 AC/ Hr</w:t>
      </w:r>
    </w:p>
    <w:p>
      <w:pPr>
        <w:spacing w:after="0" w:line="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1520" w:type="dxa"/>
            <w:vAlign w:val="bottom"/>
          </w:tcPr>
          <w:p>
            <w:pPr>
              <w:ind w:left="140"/>
              <w:spacing w:after="0"/>
              <w:rPr>
                <w:sz w:val="20"/>
                <w:szCs w:val="20"/>
                <w:color w:val="auto"/>
              </w:rPr>
            </w:pPr>
            <w:r>
              <w:rPr>
                <w:rFonts w:ascii="Arial" w:cs="Arial" w:eastAsia="Arial" w:hAnsi="Arial"/>
                <w:sz w:val="18"/>
                <w:szCs w:val="18"/>
                <w:color w:val="auto"/>
              </w:rPr>
              <w:t>Chemistry areas</w:t>
            </w:r>
          </w:p>
        </w:tc>
        <w:tc>
          <w:tcPr>
            <w:tcW w:w="5440" w:type="dxa"/>
            <w:vAlign w:val="bottom"/>
          </w:tcPr>
          <w:p>
            <w:pPr>
              <w:ind w:left="200"/>
              <w:spacing w:after="0"/>
              <w:rPr>
                <w:sz w:val="20"/>
                <w:szCs w:val="20"/>
                <w:color w:val="auto"/>
              </w:rPr>
            </w:pPr>
            <w:r>
              <w:rPr>
                <w:rFonts w:ascii="Arial" w:cs="Arial" w:eastAsia="Arial" w:hAnsi="Arial"/>
                <w:sz w:val="18"/>
                <w:szCs w:val="18"/>
                <w:color w:val="auto"/>
              </w:rPr>
              <w:t>10 AC/Hr</w:t>
            </w:r>
          </w:p>
        </w:tc>
      </w:t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1520" w:type="dxa"/>
            <w:vAlign w:val="bottom"/>
          </w:tcPr>
          <w:p>
            <w:pPr>
              <w:ind w:left="140"/>
              <w:spacing w:after="0"/>
              <w:rPr>
                <w:sz w:val="20"/>
                <w:szCs w:val="20"/>
                <w:color w:val="auto"/>
              </w:rPr>
            </w:pPr>
            <w:r>
              <w:rPr>
                <w:rFonts w:ascii="Arial" w:cs="Arial" w:eastAsia="Arial" w:hAnsi="Arial"/>
                <w:sz w:val="18"/>
                <w:szCs w:val="18"/>
                <w:color w:val="auto"/>
              </w:rPr>
              <w:t>Vivarium areas</w:t>
            </w:r>
          </w:p>
        </w:tc>
        <w:tc>
          <w:tcPr>
            <w:tcW w:w="5440" w:type="dxa"/>
            <w:vAlign w:val="bottom"/>
          </w:tcPr>
          <w:p>
            <w:pPr>
              <w:ind w:left="440"/>
              <w:spacing w:after="0"/>
              <w:rPr>
                <w:sz w:val="20"/>
                <w:szCs w:val="20"/>
                <w:color w:val="auto"/>
              </w:rPr>
            </w:pPr>
            <w:r>
              <w:rPr>
                <w:rFonts w:ascii="Arial" w:cs="Arial" w:eastAsia="Arial" w:hAnsi="Arial"/>
                <w:sz w:val="18"/>
                <w:szCs w:val="18"/>
                <w:color w:val="auto"/>
                <w:w w:val="92"/>
              </w:rPr>
              <w:t>15 AC/Hr (rooms with ventilated racks to be engineered or qualified)</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Energy Use &amp; Conservation </w:t>
      </w:r>
      <w:r>
        <w:rPr>
          <w:rFonts w:ascii="Arial" w:cs="Arial" w:eastAsia="Arial" w:hAnsi="Arial"/>
          <w:sz w:val="17"/>
          <w:szCs w:val="17"/>
          <w:color w:val="auto"/>
        </w:rPr>
        <w:t>The Energy Efficiency Standard, Title 24, to be used to set the minimum performance requirements of the installation</w:t>
      </w:r>
    </w:p>
    <w:p>
      <w:pPr>
        <w:sectPr>
          <w:pgSz w:w="11900" w:h="16838" w:orient="portrait"/>
          <w:cols w:equalWidth="0" w:num="1">
            <w:col w:w="11020"/>
          </w:cols>
          <w:pgMar w:left="440" w:top="270" w:right="439" w:bottom="1440" w:gutter="0" w:footer="0" w:header="0"/>
        </w:sectPr>
      </w:pPr>
    </w:p>
    <w:p>
      <w:pPr>
        <w:spacing w:after="0" w:line="156" w:lineRule="exact"/>
        <w:rPr>
          <w:sz w:val="20"/>
          <w:szCs w:val="20"/>
          <w:color w:val="auto"/>
        </w:rPr>
      </w:pPr>
    </w:p>
    <w:p>
      <w:pPr>
        <w:ind w:right="140"/>
        <w:spacing w:after="0" w:line="360" w:lineRule="auto"/>
        <w:rPr>
          <w:sz w:val="20"/>
          <w:szCs w:val="20"/>
          <w:color w:val="auto"/>
        </w:rPr>
      </w:pPr>
      <w:r>
        <w:rPr>
          <w:rFonts w:ascii="Arial" w:cs="Arial" w:eastAsia="Arial" w:hAnsi="Arial"/>
          <w:sz w:val="16"/>
          <w:szCs w:val="16"/>
          <w:i w:val="1"/>
          <w:iCs w:val="1"/>
          <w:color w:val="auto"/>
        </w:rPr>
        <w:t>Ceiling Registers &amp; Diffusers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Ceiling diffusers with perforated face with frame style compatible with the type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ceiling used. Surface mounted diffusers require gaskets to prevent leakage Supply diffusers, Titus-PMC or equal,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snorkels of a quantity and quality to match the existing Tenant facility</w:t>
      </w:r>
    </w:p>
    <w:p>
      <w:pPr>
        <w:spacing w:after="0" w:line="116" w:lineRule="exact"/>
        <w:rPr>
          <w:sz w:val="20"/>
          <w:szCs w:val="20"/>
          <w:color w:val="auto"/>
        </w:rPr>
      </w:pPr>
    </w:p>
    <w:p>
      <w:pPr>
        <w:sectPr>
          <w:pgSz w:w="11900" w:h="16838" w:orient="portrait"/>
          <w:cols w:equalWidth="0" w:num="2">
            <w:col w:w="1380" w:space="720"/>
            <w:col w:w="89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Duct Work</w:t>
      </w:r>
    </w:p>
    <w:p>
      <w:pPr>
        <w:spacing w:after="0" w:line="20" w:lineRule="exact"/>
        <w:rPr>
          <w:sz w:val="20"/>
          <w:szCs w:val="20"/>
          <w:color w:val="auto"/>
        </w:rPr>
      </w:pPr>
      <w:r>
        <w:rPr>
          <w:sz w:val="20"/>
          <w:szCs w:val="20"/>
          <w:color w:val="auto"/>
        </w:rPr>
        <w:br w:type="column"/>
      </w:r>
    </w:p>
    <w:p>
      <w:pPr>
        <w:ind w:right="540"/>
        <w:spacing w:after="0" w:line="342" w:lineRule="auto"/>
        <w:rPr>
          <w:sz w:val="20"/>
          <w:szCs w:val="20"/>
          <w:color w:val="auto"/>
        </w:rPr>
      </w:pPr>
      <w:r>
        <w:rPr>
          <w:rFonts w:ascii="Arial" w:cs="Arial" w:eastAsia="Arial" w:hAnsi="Arial"/>
          <w:sz w:val="16"/>
          <w:szCs w:val="16"/>
          <w:color w:val="auto"/>
        </w:rPr>
        <w:t>Supply ducts, return ducts, and exhaust ducts plenum chambers, housing, and panels fabricated from zinc-coated (galvanized) steel sheets conforming to the latest ASTM Specs A-525. Zinc-coating to be of the “Commercial” class</w:t>
      </w:r>
    </w:p>
    <w:p>
      <w:pPr>
        <w:sectPr>
          <w:pgSz w:w="11900" w:h="16838" w:orient="portrait"/>
          <w:cols w:equalWidth="0" w:num="2">
            <w:col w:w="1380" w:space="720"/>
            <w:col w:w="8920"/>
          </w:cols>
          <w:pgMar w:left="440" w:top="270" w:right="439" w:bottom="1440" w:gutter="0" w:footer="0" w:header="0"/>
          <w:type w:val="continuous"/>
        </w:sectPr>
      </w:pPr>
    </w:p>
    <w:bookmarkStart w:id="757" w:name="page758"/>
    <w:bookmarkEnd w:id="757"/>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24</w:t>
      </w:r>
    </w:p>
    <w:p>
      <w:pPr>
        <w:spacing w:after="0" w:line="16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Exhaust duct from fume hoods shall be PVC coated galvanized to the main.</w:t>
      </w:r>
    </w:p>
    <w:p>
      <w:pPr>
        <w:spacing w:after="0" w:line="23" w:lineRule="exact"/>
        <w:rPr>
          <w:sz w:val="20"/>
          <w:szCs w:val="20"/>
          <w:color w:val="auto"/>
        </w:rPr>
      </w:pPr>
    </w:p>
    <w:p>
      <w:pPr>
        <w:ind w:left="2100" w:right="20"/>
        <w:spacing w:after="0" w:line="250" w:lineRule="auto"/>
        <w:rPr>
          <w:sz w:val="20"/>
          <w:szCs w:val="20"/>
          <w:color w:val="auto"/>
        </w:rPr>
      </w:pPr>
      <w:r>
        <w:rPr>
          <w:rFonts w:ascii="Arial" w:cs="Arial" w:eastAsia="Arial" w:hAnsi="Arial"/>
          <w:sz w:val="18"/>
          <w:szCs w:val="18"/>
          <w:color w:val="auto"/>
        </w:rPr>
        <w:t>Ductwork shall be installed in strict accordance with the latest SMACNA guidelines and shall also adhere to the latest State and Federal seismic requirements</w:t>
      </w:r>
    </w:p>
    <w:p>
      <w:pPr>
        <w:spacing w:after="0" w:line="1" w:lineRule="exact"/>
        <w:rPr>
          <w:sz w:val="20"/>
          <w:szCs w:val="20"/>
          <w:color w:val="auto"/>
        </w:rPr>
      </w:pPr>
    </w:p>
    <w:p>
      <w:pPr>
        <w:ind w:left="2100" w:right="20"/>
        <w:spacing w:after="0" w:line="271" w:lineRule="auto"/>
        <w:rPr>
          <w:sz w:val="20"/>
          <w:szCs w:val="20"/>
          <w:color w:val="auto"/>
        </w:rPr>
      </w:pPr>
      <w:r>
        <w:rPr>
          <w:rFonts w:ascii="Arial" w:cs="Arial" w:eastAsia="Arial" w:hAnsi="Arial"/>
          <w:sz w:val="17"/>
          <w:szCs w:val="17"/>
          <w:color w:val="auto"/>
        </w:rPr>
        <w:t>Install flexible ducts in a fully extended condition free of sags and kinks, using minimum length (5’ maximum) required for connection. Flexible duct suspended on 36” centers with a min 3/4” wide flat banding material where horizontal support is required. Joints and connections to be made in accordance with Underwriters Laboratories, Inc. Connect to rigid sheet metal with min 1/2” wide collar positively clamped and secured with screws or other approved fastening. All exposed ductwork to be treated to be aesthetically coordinated to blend with the bldg. theme.</w:t>
      </w:r>
    </w:p>
    <w:p>
      <w:pPr>
        <w:sectPr>
          <w:pgSz w:w="11900" w:h="16838" w:orient="portrait"/>
          <w:cols w:equalWidth="0" w:num="1">
            <w:col w:w="11020"/>
          </w:cols>
          <w:pgMar w:left="440" w:top="270" w:right="4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Controls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Purchase and installation of all DDC Controls and utility monitoring devices within the tenant space are part of Tenant Improvement scope of work.</w:t>
      </w:r>
    </w:p>
    <w:p>
      <w:pPr>
        <w:spacing w:after="0" w:line="200" w:lineRule="exact"/>
        <w:rPr>
          <w:sz w:val="20"/>
          <w:szCs w:val="20"/>
          <w:color w:val="auto"/>
        </w:rPr>
      </w:pPr>
    </w:p>
    <w:p>
      <w:pPr>
        <w:sectPr>
          <w:pgSz w:w="11900" w:h="16838" w:orient="portrait"/>
          <w:cols w:equalWidth="0" w:num="2">
            <w:col w:w="1380" w:space="720"/>
            <w:col w:w="8920"/>
          </w:cols>
          <w:pgMar w:left="440" w:top="270"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work shall be in strict conformance with the following codes and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NFPA 70 National Electrical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NFPA 101 Life Safety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Building Codes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IES - Illuminating Engineering Society of North America</w:t>
      </w:r>
    </w:p>
    <w:p>
      <w:pPr>
        <w:spacing w:after="0" w:line="238"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i w:val="1"/>
          <w:iCs w:val="1"/>
          <w:color w:val="auto"/>
        </w:rPr>
        <w:t>Distribution</w:t>
      </w:r>
      <w:r>
        <w:rPr>
          <w:sz w:val="20"/>
          <w:szCs w:val="20"/>
          <w:color w:val="auto"/>
        </w:rPr>
        <w:tab/>
      </w:r>
      <w:r>
        <w:rPr>
          <w:rFonts w:ascii="Arial" w:cs="Arial" w:eastAsia="Arial" w:hAnsi="Arial"/>
          <w:sz w:val="18"/>
          <w:szCs w:val="18"/>
          <w:color w:val="auto"/>
        </w:rPr>
        <w:t>Building metering section and distribution from the main SDG&amp;E electrical room.</w:t>
      </w:r>
    </w:p>
    <w:p>
      <w:pPr>
        <w:spacing w:after="0" w:line="239"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Feeders shall be copper conductors (Type THHN or THW) routed in electro metallic tubing (EMT), polyvinylchloride (PVC) conduit, or rigid galvanized steel (RGS) conduit. EMT shall be used in all indoor, concealed locations where the feeder is protected from damage or weather Feeders shall be sized according to the single line diagram in the construction documents Feeders shall be rack-mounted in accessible ceiling spaces or routed below grade under the slab</w:t>
      </w:r>
    </w:p>
    <w:p>
      <w:pPr>
        <w:spacing w:after="0" w:line="92" w:lineRule="exact"/>
        <w:rPr>
          <w:sz w:val="20"/>
          <w:szCs w:val="20"/>
          <w:color w:val="auto"/>
        </w:rPr>
      </w:pPr>
    </w:p>
    <w:p>
      <w:pPr>
        <w:ind w:left="2640" w:hanging="543"/>
        <w:spacing w:after="0"/>
        <w:tabs>
          <w:tab w:leader="none" w:pos="264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Conduit and Wire</w:t>
      </w:r>
    </w:p>
    <w:p>
      <w:pPr>
        <w:spacing w:after="0" w:line="23" w:lineRule="exact"/>
        <w:rPr>
          <w:rFonts w:ascii="Arial" w:cs="Arial" w:eastAsia="Arial" w:hAnsi="Arial"/>
          <w:sz w:val="18"/>
          <w:szCs w:val="18"/>
          <w:color w:val="auto"/>
        </w:rPr>
      </w:pPr>
    </w:p>
    <w:p>
      <w:pPr>
        <w:ind w:left="3300" w:right="440" w:hanging="433"/>
        <w:spacing w:after="0" w:line="250" w:lineRule="auto"/>
        <w:tabs>
          <w:tab w:leader="none" w:pos="33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Branch circuits for all power circuits serving office and convenience outlets, control power, etc. to be nominally sized as 120V 20A</w:t>
      </w:r>
    </w:p>
    <w:p>
      <w:pPr>
        <w:ind w:left="3300" w:hanging="433"/>
        <w:spacing w:after="0"/>
        <w:tabs>
          <w:tab w:leader="none" w:pos="33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Branch circuits for lighting circuits to be either 277V 20A unless specifically indicated otherwise</w:t>
      </w:r>
    </w:p>
    <w:p>
      <w:pPr>
        <w:spacing w:after="0" w:line="9" w:lineRule="exact"/>
        <w:rPr>
          <w:rFonts w:ascii="Arial" w:cs="Arial" w:eastAsia="Arial" w:hAnsi="Arial"/>
          <w:sz w:val="18"/>
          <w:szCs w:val="18"/>
          <w:color w:val="auto"/>
        </w:rPr>
      </w:pPr>
    </w:p>
    <w:p>
      <w:pPr>
        <w:ind w:left="3300" w:hanging="433"/>
        <w:spacing w:after="0"/>
        <w:tabs>
          <w:tab w:leader="none" w:pos="33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All area branch circuit conductors to be copper and routed in metal conduit</w:t>
      </w:r>
    </w:p>
    <w:p>
      <w:pPr>
        <w:spacing w:after="0" w:line="9" w:lineRule="exact"/>
        <w:rPr>
          <w:rFonts w:ascii="Arial" w:cs="Arial" w:eastAsia="Arial" w:hAnsi="Arial"/>
          <w:sz w:val="18"/>
          <w:szCs w:val="18"/>
          <w:color w:val="auto"/>
        </w:rPr>
      </w:pPr>
    </w:p>
    <w:p>
      <w:pPr>
        <w:ind w:left="3300" w:right="40" w:hanging="433"/>
        <w:spacing w:after="0" w:line="261" w:lineRule="auto"/>
        <w:tabs>
          <w:tab w:leader="none" w:pos="33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Branch circuiting to individual offices shall be (3) #12AWG (two ‘hot’ and one neutral) plus (1) #12 green ground wire forming a two dedicated 120V 20A 3- wire circuits</w:t>
      </w:r>
    </w:p>
    <w:p>
      <w:pPr>
        <w:sectPr>
          <w:pgSz w:w="11900" w:h="16838" w:orient="portrait"/>
          <w:cols w:equalWidth="0" w:num="1">
            <w:col w:w="11020"/>
          </w:cols>
          <w:pgMar w:left="440" w:top="270" w:right="439" w:bottom="1440" w:gutter="0" w:footer="0" w:header="0"/>
          <w:type w:val="continuous"/>
        </w:sectPr>
      </w:pPr>
    </w:p>
    <w:bookmarkStart w:id="758" w:name="page759"/>
    <w:bookmarkEnd w:id="758"/>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25</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ind w:left="3300" w:hanging="433"/>
        <w:spacing w:after="0"/>
        <w:tabs>
          <w:tab w:leader="none" w:pos="33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Each private office to include (3) duplex receptacles, and (2) ring and string location</w:t>
      </w:r>
    </w:p>
    <w:p>
      <w:pPr>
        <w:spacing w:after="0" w:line="23" w:lineRule="exact"/>
        <w:rPr>
          <w:rFonts w:ascii="Arial" w:cs="Arial" w:eastAsia="Arial" w:hAnsi="Arial"/>
          <w:sz w:val="18"/>
          <w:szCs w:val="18"/>
          <w:color w:val="auto"/>
        </w:rPr>
      </w:pPr>
    </w:p>
    <w:p>
      <w:pPr>
        <w:ind w:left="3300" w:right="180" w:hanging="433"/>
        <w:spacing w:after="0" w:line="250" w:lineRule="auto"/>
        <w:tabs>
          <w:tab w:leader="none" w:pos="33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Open office system cubicles to be fed with power feeders determined in the TI Construction Documents, but estimated at 2 cubes per dedicated 110 volt, 20 amp circuit.</w:t>
      </w:r>
    </w:p>
    <w:p>
      <w:pPr>
        <w:ind w:left="3300" w:right="120" w:hanging="433"/>
        <w:spacing w:after="0" w:line="261" w:lineRule="auto"/>
        <w:tabs>
          <w:tab w:leader="none" w:pos="33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MC cable to be provided as for concealed office wall wiring and concealed lighting only. Homeruns to be provided in EMT conduit</w:t>
      </w:r>
    </w:p>
    <w:p>
      <w:pPr>
        <w:spacing w:after="0" w:line="89" w:lineRule="exact"/>
        <w:rPr>
          <w:rFonts w:ascii="Arial" w:cs="Arial" w:eastAsia="Arial" w:hAnsi="Arial"/>
          <w:sz w:val="18"/>
          <w:szCs w:val="18"/>
          <w:color w:val="auto"/>
        </w:rPr>
      </w:pPr>
    </w:p>
    <w:p>
      <w:pPr>
        <w:ind w:left="2640" w:hanging="543"/>
        <w:spacing w:after="0"/>
        <w:tabs>
          <w:tab w:leader="none" w:pos="26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Electrical Devices</w:t>
      </w:r>
    </w:p>
    <w:p>
      <w:pPr>
        <w:spacing w:after="0" w:line="23" w:lineRule="exact"/>
        <w:rPr>
          <w:rFonts w:ascii="Arial" w:cs="Arial" w:eastAsia="Arial" w:hAnsi="Arial"/>
          <w:sz w:val="18"/>
          <w:szCs w:val="18"/>
          <w:color w:val="auto"/>
        </w:rPr>
      </w:pPr>
    </w:p>
    <w:p>
      <w:pPr>
        <w:ind w:left="3300" w:hanging="433"/>
        <w:spacing w:after="0"/>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Electrical devices including receptacles and switches shall be rated according to the load served</w:t>
      </w:r>
    </w:p>
    <w:p>
      <w:pPr>
        <w:spacing w:after="0" w:line="9" w:lineRule="exact"/>
        <w:rPr>
          <w:rFonts w:ascii="Arial" w:cs="Arial" w:eastAsia="Arial" w:hAnsi="Arial"/>
          <w:sz w:val="18"/>
          <w:szCs w:val="18"/>
          <w:color w:val="auto"/>
        </w:rPr>
      </w:pPr>
    </w:p>
    <w:p>
      <w:pPr>
        <w:ind w:left="3300" w:hanging="433"/>
        <w:spacing w:after="0"/>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Electrical devices shall be white with white thermoplastic cover plates</w:t>
      </w:r>
    </w:p>
    <w:p>
      <w:pPr>
        <w:spacing w:after="0" w:line="9" w:lineRule="exact"/>
        <w:rPr>
          <w:rFonts w:ascii="Arial" w:cs="Arial" w:eastAsia="Arial" w:hAnsi="Arial"/>
          <w:sz w:val="18"/>
          <w:szCs w:val="18"/>
          <w:color w:val="auto"/>
        </w:rPr>
      </w:pPr>
    </w:p>
    <w:p>
      <w:pPr>
        <w:ind w:left="3300" w:right="20" w:hanging="433"/>
        <w:spacing w:after="0" w:line="250"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Cover plates for receptacles and junction boxes shall be labeled indicating the circuit and panel board from which the device is fed</w:t>
      </w:r>
    </w:p>
    <w:p>
      <w:pPr>
        <w:ind w:left="3300" w:right="160" w:hanging="433"/>
        <w:spacing w:after="0" w:line="281" w:lineRule="auto"/>
        <w:tabs>
          <w:tab w:leader="none" w:pos="3300" w:val="left"/>
        </w:tabs>
        <w:numPr>
          <w:ilvl w:val="1"/>
          <w:numId w:val="667"/>
        </w:numPr>
        <w:rPr>
          <w:rFonts w:ascii="Arial" w:cs="Arial" w:eastAsia="Arial" w:hAnsi="Arial"/>
          <w:sz w:val="16"/>
          <w:szCs w:val="16"/>
          <w:color w:val="auto"/>
        </w:rPr>
      </w:pPr>
      <w:r>
        <w:rPr>
          <w:rFonts w:ascii="Arial" w:cs="Arial" w:eastAsia="Arial" w:hAnsi="Arial"/>
          <w:sz w:val="16"/>
          <w:szCs w:val="16"/>
          <w:color w:val="auto"/>
        </w:rPr>
        <w:t>Plug strips at each side of the reagent shelves and above benches on the walls and equipment areas of the power, amperage and emergency power requirements outlined in the TI Construction Documents.</w:t>
      </w:r>
    </w:p>
    <w:p>
      <w:pPr>
        <w:spacing w:after="0" w:line="1" w:lineRule="exact"/>
        <w:rPr>
          <w:rFonts w:ascii="Arial" w:cs="Arial" w:eastAsia="Arial" w:hAnsi="Arial"/>
          <w:sz w:val="16"/>
          <w:szCs w:val="16"/>
          <w:color w:val="auto"/>
        </w:rPr>
      </w:pPr>
    </w:p>
    <w:p>
      <w:pPr>
        <w:ind w:left="3300" w:right="80" w:hanging="433"/>
        <w:spacing w:after="0" w:line="255"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Conference rooms with capacity of 8 people of more to be provided with a flush floor feed for both power and data to the conference room table and conduits to projection wall and top of wall for projection or video monitor equipment connections.</w:t>
      </w:r>
    </w:p>
    <w:p>
      <w:pPr>
        <w:spacing w:after="0" w:line="95" w:lineRule="exact"/>
        <w:rPr>
          <w:rFonts w:ascii="Arial" w:cs="Arial" w:eastAsia="Arial" w:hAnsi="Arial"/>
          <w:sz w:val="18"/>
          <w:szCs w:val="18"/>
          <w:color w:val="auto"/>
        </w:rPr>
      </w:pPr>
    </w:p>
    <w:p>
      <w:pPr>
        <w:ind w:left="2640" w:hanging="543"/>
        <w:spacing w:after="0"/>
        <w:tabs>
          <w:tab w:leader="none" w:pos="26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Lighting Systems</w:t>
      </w:r>
    </w:p>
    <w:p>
      <w:pPr>
        <w:spacing w:after="0" w:line="23" w:lineRule="exact"/>
        <w:rPr>
          <w:rFonts w:ascii="Arial" w:cs="Arial" w:eastAsia="Arial" w:hAnsi="Arial"/>
          <w:sz w:val="18"/>
          <w:szCs w:val="18"/>
          <w:color w:val="auto"/>
        </w:rPr>
      </w:pPr>
    </w:p>
    <w:p>
      <w:pPr>
        <w:ind w:left="3300" w:right="380" w:hanging="433"/>
        <w:spacing w:after="0" w:line="250"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Fixtures shall be suitable for the application including the ability to provide egress illumination where required</w:t>
      </w:r>
    </w:p>
    <w:p>
      <w:pPr>
        <w:ind w:left="3300" w:right="360" w:hanging="433"/>
        <w:spacing w:after="0" w:line="250"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Fixtures shall meet U.L. requirements and selection and placement of fixtures shall comply with ADA requirements</w:t>
      </w:r>
    </w:p>
    <w:p>
      <w:pPr>
        <w:ind w:left="3300" w:hanging="433"/>
        <w:spacing w:after="0"/>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All lighting fixtures shall operate at 277V unless specifically noted otherwise</w:t>
      </w:r>
    </w:p>
    <w:p>
      <w:pPr>
        <w:spacing w:after="0" w:line="9" w:lineRule="exact"/>
        <w:rPr>
          <w:rFonts w:ascii="Arial" w:cs="Arial" w:eastAsia="Arial" w:hAnsi="Arial"/>
          <w:sz w:val="18"/>
          <w:szCs w:val="18"/>
          <w:color w:val="auto"/>
        </w:rPr>
      </w:pPr>
    </w:p>
    <w:p>
      <w:pPr>
        <w:ind w:left="3300" w:right="20" w:hanging="433"/>
        <w:spacing w:after="0" w:line="250"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Lab and office area to consist of direct/indirect linear pendant style fixtures or recessed direct/indirect light fixtures.</w:t>
      </w:r>
    </w:p>
    <w:p>
      <w:pPr>
        <w:ind w:left="3300" w:hanging="433"/>
        <w:spacing w:after="0"/>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Exit Lights – Lithonia LRP, Green on clear, 120/277, EL N</w:t>
      </w:r>
    </w:p>
    <w:p>
      <w:pPr>
        <w:spacing w:after="0" w:line="116" w:lineRule="exact"/>
        <w:rPr>
          <w:rFonts w:ascii="Arial" w:cs="Arial" w:eastAsia="Arial" w:hAnsi="Arial"/>
          <w:sz w:val="18"/>
          <w:szCs w:val="18"/>
          <w:color w:val="auto"/>
        </w:rPr>
      </w:pPr>
    </w:p>
    <w:p>
      <w:pPr>
        <w:ind w:left="2640" w:hanging="543"/>
        <w:spacing w:after="0"/>
        <w:tabs>
          <w:tab w:leader="none" w:pos="26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Lighting Control Systems</w:t>
      </w:r>
    </w:p>
    <w:p>
      <w:pPr>
        <w:spacing w:after="0" w:line="23" w:lineRule="exact"/>
        <w:rPr>
          <w:rFonts w:ascii="Arial" w:cs="Arial" w:eastAsia="Arial" w:hAnsi="Arial"/>
          <w:sz w:val="18"/>
          <w:szCs w:val="18"/>
          <w:color w:val="auto"/>
        </w:rPr>
      </w:pPr>
    </w:p>
    <w:p>
      <w:pPr>
        <w:ind w:left="3300" w:right="560" w:hanging="433"/>
        <w:spacing w:after="0" w:line="250" w:lineRule="auto"/>
        <w:tabs>
          <w:tab w:leader="none" w:pos="33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Lighting control compliant with Title 24 requirements including over-ride control for automatically shutting the lights off at prescribed periods of time</w:t>
      </w:r>
    </w:p>
    <w:p>
      <w:pPr>
        <w:jc w:val="both"/>
        <w:ind w:left="3300" w:right="180" w:hanging="433"/>
        <w:spacing w:after="0" w:line="302" w:lineRule="auto"/>
        <w:tabs>
          <w:tab w:leader="none" w:pos="3300" w:val="left"/>
        </w:tabs>
        <w:numPr>
          <w:ilvl w:val="1"/>
          <w:numId w:val="667"/>
        </w:numPr>
        <w:rPr>
          <w:rFonts w:ascii="Arial" w:cs="Arial" w:eastAsia="Arial" w:hAnsi="Arial"/>
          <w:sz w:val="16"/>
          <w:szCs w:val="16"/>
          <w:color w:val="auto"/>
        </w:rPr>
      </w:pPr>
      <w:r>
        <w:rPr>
          <w:rFonts w:ascii="Arial" w:cs="Arial" w:eastAsia="Arial" w:hAnsi="Arial"/>
          <w:sz w:val="16"/>
          <w:szCs w:val="16"/>
          <w:color w:val="auto"/>
        </w:rPr>
        <w:t>Lighting controls shall be coordinated with the shell building system and the purchase and installation of all DDC Controls and utility monitoring devices within the tenant space are part of Tenant Improvement scope of workighting control equipment to include a programmable lighting control panel,</w:t>
      </w:r>
    </w:p>
    <w:p>
      <w:pPr>
        <w:sectPr>
          <w:pgSz w:w="11900" w:h="16838" w:orient="portrait"/>
          <w:cols w:equalWidth="0" w:num="1">
            <w:col w:w="11020"/>
          </w:cols>
          <w:pgMar w:left="440" w:top="270" w:right="439" w:bottom="1440" w:gutter="0" w:footer="0" w:header="0"/>
          <w:type w:val="continuous"/>
        </w:sectPr>
      </w:pPr>
    </w:p>
    <w:bookmarkStart w:id="759" w:name="page760"/>
    <w:bookmarkEnd w:id="759"/>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26</w:t>
      </w:r>
    </w:p>
    <w:p>
      <w:pPr>
        <w:sectPr>
          <w:pgSz w:w="11900" w:h="16838" w:orient="portrait"/>
          <w:cols w:equalWidth="0" w:num="1">
            <w:col w:w="11020"/>
          </w:cols>
          <w:pgMar w:left="440" w:top="271" w:right="439" w:bottom="1440" w:gutter="0" w:footer="0" w:header="0"/>
        </w:sectPr>
      </w:pPr>
    </w:p>
    <w:p>
      <w:pPr>
        <w:spacing w:after="0" w:line="162" w:lineRule="exact"/>
        <w:rPr>
          <w:sz w:val="20"/>
          <w:szCs w:val="20"/>
          <w:color w:val="auto"/>
        </w:rPr>
      </w:pPr>
    </w:p>
    <w:p>
      <w:pPr>
        <w:ind w:left="3300" w:right="920"/>
        <w:spacing w:after="0" w:line="258" w:lineRule="auto"/>
        <w:rPr>
          <w:sz w:val="20"/>
          <w:szCs w:val="20"/>
          <w:color w:val="auto"/>
        </w:rPr>
      </w:pPr>
      <w:r>
        <w:rPr>
          <w:rFonts w:ascii="Arial" w:cs="Arial" w:eastAsia="Arial" w:hAnsi="Arial"/>
          <w:sz w:val="18"/>
          <w:szCs w:val="18"/>
          <w:color w:val="auto"/>
        </w:rPr>
        <w:t>relay panels (quantity as necessary), over-ride switches (distributed throughout the space), and interconnecting conductors.</w:t>
      </w:r>
    </w:p>
    <w:p>
      <w:pPr>
        <w:spacing w:after="0" w:line="1" w:lineRule="exact"/>
        <w:rPr>
          <w:sz w:val="20"/>
          <w:szCs w:val="20"/>
          <w:color w:val="auto"/>
        </w:rPr>
      </w:pPr>
    </w:p>
    <w:p>
      <w:pPr>
        <w:ind w:left="3300" w:hanging="433"/>
        <w:spacing w:after="0"/>
        <w:tabs>
          <w:tab w:leader="none" w:pos="3300" w:val="left"/>
        </w:tabs>
        <w:numPr>
          <w:ilvl w:val="0"/>
          <w:numId w:val="668"/>
        </w:numPr>
        <w:rPr>
          <w:rFonts w:ascii="Arial" w:cs="Arial" w:eastAsia="Arial" w:hAnsi="Arial"/>
          <w:sz w:val="16"/>
          <w:szCs w:val="16"/>
          <w:color w:val="auto"/>
        </w:rPr>
      </w:pPr>
      <w:r>
        <w:rPr>
          <w:rFonts w:ascii="Arial" w:cs="Arial" w:eastAsia="Arial" w:hAnsi="Arial"/>
          <w:sz w:val="16"/>
          <w:szCs w:val="16"/>
          <w:color w:val="auto"/>
        </w:rPr>
        <w:t>Control zones to include perimeter areas for daylit spaces, skylit areas, and interior areas under 5,000SF.</w:t>
      </w:r>
    </w:p>
    <w:p>
      <w:pPr>
        <w:spacing w:after="0" w:line="32" w:lineRule="exact"/>
        <w:rPr>
          <w:rFonts w:ascii="Arial" w:cs="Arial" w:eastAsia="Arial" w:hAnsi="Arial"/>
          <w:sz w:val="16"/>
          <w:szCs w:val="16"/>
          <w:color w:val="auto"/>
        </w:rPr>
      </w:pPr>
    </w:p>
    <w:p>
      <w:pPr>
        <w:ind w:left="3300" w:hanging="433"/>
        <w:spacing w:after="0"/>
        <w:tabs>
          <w:tab w:leader="none" w:pos="3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Lighting over-ride switches to be located in corridors.</w:t>
      </w:r>
    </w:p>
    <w:p>
      <w:pPr>
        <w:spacing w:after="0" w:line="9" w:lineRule="exact"/>
        <w:rPr>
          <w:rFonts w:ascii="Arial" w:cs="Arial" w:eastAsia="Arial" w:hAnsi="Arial"/>
          <w:sz w:val="18"/>
          <w:szCs w:val="18"/>
          <w:color w:val="auto"/>
        </w:rPr>
      </w:pPr>
    </w:p>
    <w:p>
      <w:pPr>
        <w:ind w:left="3300" w:hanging="433"/>
        <w:spacing w:after="0"/>
        <w:tabs>
          <w:tab w:leader="none" w:pos="3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Mutually agreed to dual-level switching for local control.</w:t>
      </w:r>
    </w:p>
    <w:p>
      <w:pPr>
        <w:spacing w:after="0" w:line="9" w:lineRule="exact"/>
        <w:rPr>
          <w:rFonts w:ascii="Arial" w:cs="Arial" w:eastAsia="Arial" w:hAnsi="Arial"/>
          <w:sz w:val="18"/>
          <w:szCs w:val="18"/>
          <w:color w:val="auto"/>
        </w:rPr>
      </w:pPr>
    </w:p>
    <w:p>
      <w:pPr>
        <w:ind w:left="3300" w:hanging="433"/>
        <w:spacing w:after="0"/>
        <w:tabs>
          <w:tab w:leader="none" w:pos="33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Vivarium lighting may be on timer per Tenant’s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&amp; Data</w:t>
      </w:r>
    </w:p>
    <w:p>
      <w:pPr>
        <w:spacing w:after="0" w:line="131" w:lineRule="exact"/>
        <w:rPr>
          <w:sz w:val="20"/>
          <w:szCs w:val="20"/>
          <w:color w:val="auto"/>
        </w:rPr>
      </w:pPr>
    </w:p>
    <w:p>
      <w:pPr>
        <w:jc w:val="both"/>
        <w:ind w:left="2100" w:right="140"/>
        <w:spacing w:after="0" w:line="264" w:lineRule="auto"/>
        <w:rPr>
          <w:sz w:val="20"/>
          <w:szCs w:val="20"/>
          <w:color w:val="auto"/>
        </w:rPr>
      </w:pPr>
      <w:r>
        <w:rPr>
          <w:rFonts w:ascii="Arial" w:cs="Arial" w:eastAsia="Arial" w:hAnsi="Arial"/>
          <w:sz w:val="18"/>
          <w:szCs w:val="18"/>
          <w:color w:val="auto"/>
        </w:rPr>
        <w:t>Conduit or Cabling for any tenant use will be the sole responsibility of the tenant even if these run through building areas. Any approved modification to base building areas to support wiring will also be the sole cost of the tenant. Landlord will provide space in first floor MPOE for tenant connection.</w:t>
      </w:r>
    </w:p>
    <w:p>
      <w:pPr>
        <w:sectPr>
          <w:pgSz w:w="11900" w:h="16838" w:orient="portrait"/>
          <w:cols w:equalWidth="0" w:num="1">
            <w:col w:w="11020"/>
          </w:cols>
          <w:pgMar w:left="440" w:top="271" w:right="439" w:bottom="1440" w:gutter="0" w:footer="0" w:header="0"/>
          <w:type w:val="continuous"/>
        </w:sectPr>
      </w:pPr>
    </w:p>
    <w:bookmarkStart w:id="760" w:name="page761"/>
    <w:bookmarkEnd w:id="760"/>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27</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193675</wp:posOffset>
            </wp:positionV>
            <wp:extent cx="4502150" cy="720344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4502150" cy="720344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761" w:name="page762"/>
    <w:bookmarkEnd w:id="761"/>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111760</wp:posOffset>
            </wp:positionV>
            <wp:extent cx="4519295" cy="720344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519295" cy="720344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762" w:name="page763"/>
    <w:bookmarkEnd w:id="762"/>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29</w:t>
      </w:r>
    </w:p>
    <w:p>
      <w:pPr>
        <w:sectPr>
          <w:pgSz w:w="11900" w:h="16838" w:orient="portrait"/>
          <w:cols w:equalWidth="0" w:num="1">
            <w:col w:w="11020"/>
          </w:cols>
          <w:pgMar w:left="440" w:top="271" w:right="4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Landlord’s Work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186690</wp:posOffset>
            </wp:positionV>
            <wp:extent cx="4613910" cy="72034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4613910" cy="7203440"/>
                    </a:xfrm>
                    <a:prstGeom prst="rect">
                      <a:avLst/>
                    </a:prstGeom>
                    <a:noFill/>
                  </pic:spPr>
                </pic:pic>
              </a:graphicData>
            </a:graphic>
          </wp:anchor>
        </w:drawing>
      </w:r>
    </w:p>
    <w:p>
      <w:pPr>
        <w:sectPr>
          <w:pgSz w:w="11900" w:h="16838" w:orient="portrait"/>
          <w:cols w:equalWidth="0" w:num="1">
            <w:col w:w="11020"/>
          </w:cols>
          <w:pgMar w:left="440" w:top="271" w:right="439" w:bottom="1440" w:gutter="0" w:footer="0" w:header="0"/>
          <w:type w:val="continuous"/>
        </w:sectPr>
      </w:pPr>
    </w:p>
    <w:bookmarkStart w:id="763" w:name="page764"/>
    <w:bookmarkEnd w:id="763"/>
    <w:p>
      <w:pPr>
        <w:spacing w:after="0"/>
        <w:tabs>
          <w:tab w:leader="none" w:pos="6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Letter – Landlord Build</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112395</wp:posOffset>
            </wp:positionV>
            <wp:extent cx="4613910" cy="720344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613910" cy="720344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764" w:name="page765"/>
    <w:bookmarkEnd w:id="764"/>
    <w:tbl>
      <w:tblPr>
        <w:tblLayout w:type="fixed"/>
        <w:tblInd w:w="4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8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 xml:space="preserve">3013 Science Park/The Medicines Company - Page </w:t>
            </w:r>
            <w:r>
              <w:rPr>
                <w:rFonts w:ascii="Arial" w:cs="Arial" w:eastAsia="Arial" w:hAnsi="Arial"/>
                <w:sz w:val="18"/>
                <w:szCs w:val="18"/>
                <w:color w:val="auto"/>
                <w:w w:val="89"/>
              </w:rPr>
              <w:t>1</w:t>
            </w:r>
          </w:p>
        </w:tc>
      </w:tr>
      <w:tr>
        <w:trPr>
          <w:trHeight w:val="365"/>
        </w:trPr>
        <w:tc>
          <w:tcPr>
            <w:tcW w:w="2860" w:type="dxa"/>
            <w:vAlign w:val="bottom"/>
          </w:tcPr>
          <w:p>
            <w:pPr>
              <w:spacing w:after="0"/>
              <w:rPr>
                <w:sz w:val="24"/>
                <w:szCs w:val="24"/>
                <w:color w:val="auto"/>
              </w:rPr>
            </w:pPr>
          </w:p>
        </w:tc>
        <w:tc>
          <w:tcPr>
            <w:tcW w:w="3640" w:type="dxa"/>
            <w:vAlign w:val="bottom"/>
          </w:tcPr>
          <w:p>
            <w:pPr>
              <w:jc w:val="center"/>
              <w:ind w:left="710"/>
              <w:spacing w:after="0"/>
              <w:rPr>
                <w:sz w:val="20"/>
                <w:szCs w:val="20"/>
                <w:color w:val="auto"/>
              </w:rPr>
            </w:pPr>
            <w:r>
              <w:rPr>
                <w:rFonts w:ascii="Arial" w:cs="Arial" w:eastAsia="Arial" w:hAnsi="Arial"/>
                <w:sz w:val="18"/>
                <w:szCs w:val="18"/>
                <w:b w:val="1"/>
                <w:bCs w:val="1"/>
                <w:color w:val="auto"/>
              </w:rPr>
              <w:t>EXHIBIT D TO LEASE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92"/>
        </w:trPr>
        <w:tc>
          <w:tcPr>
            <w:tcW w:w="2860" w:type="dxa"/>
            <w:vAlign w:val="bottom"/>
          </w:tcPr>
          <w:p>
            <w:pPr>
              <w:spacing w:after="0"/>
              <w:rPr>
                <w:sz w:val="24"/>
                <w:szCs w:val="24"/>
                <w:color w:val="auto"/>
              </w:rPr>
            </w:pPr>
          </w:p>
        </w:tc>
        <w:tc>
          <w:tcPr>
            <w:tcW w:w="48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ACKNOWLEDGMENT OF COMMENCEMENT DATE</w:t>
            </w:r>
          </w:p>
        </w:tc>
        <w:tc>
          <w:tcPr>
            <w:tcW w:w="2880" w:type="dxa"/>
            <w:vAlign w:val="bottom"/>
          </w:tcPr>
          <w:p>
            <w:pPr>
              <w:spacing w:after="0"/>
              <w:rPr>
                <w:sz w:val="24"/>
                <w:szCs w:val="24"/>
                <w:color w:val="auto"/>
              </w:rPr>
            </w:pPr>
          </w:p>
        </w:tc>
      </w:tr>
      <w:tr>
        <w:trPr>
          <w:trHeight w:val="20"/>
        </w:trPr>
        <w:tc>
          <w:tcPr>
            <w:tcW w:w="28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53"/>
        </w:trPr>
        <w:tc>
          <w:tcPr>
            <w:tcW w:w="6500" w:type="dxa"/>
            <w:vAlign w:val="bottom"/>
            <w:gridSpan w:val="2"/>
          </w:tcPr>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this   day of</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80" w:type="dxa"/>
            <w:vAlign w:val="bottom"/>
          </w:tcPr>
          <w:p>
            <w:pPr>
              <w:ind w:left="300"/>
              <w:spacing w:after="0"/>
              <w:rPr>
                <w:sz w:val="20"/>
                <w:szCs w:val="20"/>
                <w:color w:val="auto"/>
              </w:rPr>
            </w:pPr>
            <w:r>
              <w:rPr>
                <w:rFonts w:ascii="Arial" w:cs="Arial" w:eastAsia="Arial" w:hAnsi="Arial"/>
                <w:sz w:val="18"/>
                <w:szCs w:val="18"/>
                <w:color w:val="auto"/>
              </w:rPr>
              <w:t xml:space="preserve">, between </w:t>
            </w:r>
            <w:r>
              <w:rPr>
                <w:rFonts w:ascii="Arial" w:cs="Arial" w:eastAsia="Arial" w:hAnsi="Arial"/>
                <w:sz w:val="18"/>
                <w:szCs w:val="18"/>
                <w:b w:val="1"/>
                <w:bCs w:val="1"/>
                <w:color w:val="auto"/>
              </w:rPr>
              <w:t>ARE-SD REGION</w:t>
            </w:r>
          </w:p>
        </w:tc>
      </w:tr>
    </w:tbl>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35,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THE MEDICINES COMPANY</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and is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attached to and made a part of the Lease dated ,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p>
    <w:p>
      <w:pPr>
        <w:spacing w:after="0" w:line="46" w:lineRule="exact"/>
        <w:rPr>
          <w:sz w:val="20"/>
          <w:szCs w:val="20"/>
          <w:color w:val="auto"/>
        </w:rPr>
      </w:pPr>
    </w:p>
    <w:p>
      <w:pPr>
        <w:ind w:right="160" w:firstLine="900"/>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Rent Commencement Date is , and the termination date of the Base Term of the Lease shall be midnight on , . In case of a conflict between the terms of the Lease and the terms of this Acknowledgment of Commencement Date, this Acknowledgment of Commencement Date shall control for all purposes.</w:t>
      </w:r>
    </w:p>
    <w:p>
      <w:pPr>
        <w:spacing w:after="0" w:line="19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MEDICINES COMPANY</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ARE-SD REGION NO. 35,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ALEXANDRIA REAL ESTATE EQUITIES, L.P.</w:t>
      </w:r>
      <w:r>
        <w:rPr>
          <w:rFonts w:ascii="Arial" w:cs="Arial" w:eastAsia="Arial" w:hAnsi="Arial"/>
          <w:sz w:val="18"/>
          <w:szCs w:val="18"/>
          <w:color w:val="auto"/>
        </w:rPr>
        <w:t>,</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 Delaware limited partnership, managing member</w:t>
      </w:r>
    </w:p>
    <w:p>
      <w:pPr>
        <w:spacing w:after="0" w:line="207"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By: ARE-QRS CORP.</w:t>
      </w:r>
      <w:r>
        <w:rPr>
          <w:rFonts w:ascii="Arial" w:cs="Arial" w:eastAsia="Arial" w:hAnsi="Arial"/>
          <w:sz w:val="18"/>
          <w:szCs w:val="18"/>
          <w:color w:val="auto"/>
        </w:rPr>
        <w:t>,</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-10160</wp:posOffset>
            </wp:positionV>
            <wp:extent cx="197167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4862195</wp:posOffset>
            </wp:positionH>
            <wp:positionV relativeFrom="paragraph">
              <wp:posOffset>-19050</wp:posOffset>
            </wp:positionV>
            <wp:extent cx="197167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765" w:name="page766"/>
    <w:bookmarkEnd w:id="765"/>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right="240" w:firstLine="444"/>
        <w:spacing w:after="0" w:line="277" w:lineRule="auto"/>
        <w:tabs>
          <w:tab w:leader="none" w:pos="752"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170" w:lineRule="exact"/>
        <w:rPr>
          <w:rFonts w:ascii="Arial" w:cs="Arial" w:eastAsia="Arial" w:hAnsi="Arial"/>
          <w:sz w:val="18"/>
          <w:szCs w:val="18"/>
          <w:color w:val="auto"/>
        </w:rPr>
      </w:pPr>
    </w:p>
    <w:p>
      <w:pPr>
        <w:ind w:right="120" w:firstLine="444"/>
        <w:spacing w:after="0" w:line="277" w:lineRule="auto"/>
        <w:tabs>
          <w:tab w:leader="none" w:pos="752"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w:t>
      </w:r>
    </w:p>
    <w:p>
      <w:pPr>
        <w:spacing w:after="0" w:line="170" w:lineRule="exact"/>
        <w:rPr>
          <w:rFonts w:ascii="Arial" w:cs="Arial" w:eastAsia="Arial" w:hAnsi="Arial"/>
          <w:sz w:val="18"/>
          <w:szCs w:val="18"/>
          <w:color w:val="auto"/>
        </w:rPr>
      </w:pPr>
    </w:p>
    <w:p>
      <w:pPr>
        <w:ind w:right="100" w:firstLine="444"/>
        <w:spacing w:after="0" w:line="277" w:lineRule="auto"/>
        <w:tabs>
          <w:tab w:leader="none" w:pos="756" w:val="left"/>
        </w:tabs>
        <w:numPr>
          <w:ilvl w:val="0"/>
          <w:numId w:val="669"/>
        </w:numPr>
        <w:rPr>
          <w:rFonts w:ascii="Arial" w:cs="Arial" w:eastAsia="Arial" w:hAnsi="Arial"/>
          <w:sz w:val="18"/>
          <w:szCs w:val="18"/>
          <w:color w:val="auto"/>
        </w:rPr>
      </w:pPr>
      <w:r>
        <w:rPr>
          <w:rFonts w:ascii="Arial" w:cs="Arial" w:eastAsia="Arial" w:hAnsi="Arial"/>
          <w:sz w:val="18"/>
          <w:szCs w:val="18"/>
          <w:color w:val="auto"/>
        </w:rPr>
        <w:t>Except for animals assisting the disabled or as otherwise permitted by Landlord, no animals shall be allowed in the offices, halls, or corridors in the Project.</w:t>
      </w:r>
    </w:p>
    <w:p>
      <w:pPr>
        <w:spacing w:after="0" w:line="170" w:lineRule="exact"/>
        <w:rPr>
          <w:rFonts w:ascii="Arial" w:cs="Arial" w:eastAsia="Arial" w:hAnsi="Arial"/>
          <w:sz w:val="18"/>
          <w:szCs w:val="18"/>
          <w:color w:val="auto"/>
        </w:rPr>
      </w:pPr>
    </w:p>
    <w:p>
      <w:pPr>
        <w:ind w:right="120" w:firstLine="444"/>
        <w:spacing w:after="0" w:line="277" w:lineRule="auto"/>
        <w:tabs>
          <w:tab w:leader="none" w:pos="752"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170" w:lineRule="exact"/>
        <w:rPr>
          <w:rFonts w:ascii="Arial" w:cs="Arial" w:eastAsia="Arial" w:hAnsi="Arial"/>
          <w:sz w:val="18"/>
          <w:szCs w:val="18"/>
          <w:color w:val="auto"/>
        </w:rPr>
      </w:pPr>
    </w:p>
    <w:p>
      <w:pPr>
        <w:ind w:right="340" w:firstLine="444"/>
        <w:spacing w:after="0" w:line="264" w:lineRule="auto"/>
        <w:tabs>
          <w:tab w:leader="none" w:pos="756" w:val="left"/>
        </w:tabs>
        <w:numPr>
          <w:ilvl w:val="0"/>
          <w:numId w:val="669"/>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81" w:lineRule="exact"/>
        <w:rPr>
          <w:rFonts w:ascii="Arial" w:cs="Arial" w:eastAsia="Arial" w:hAnsi="Arial"/>
          <w:sz w:val="18"/>
          <w:szCs w:val="18"/>
          <w:color w:val="auto"/>
        </w:rPr>
      </w:pPr>
    </w:p>
    <w:p>
      <w:pPr>
        <w:ind w:right="260" w:firstLine="444"/>
        <w:spacing w:after="0" w:line="286" w:lineRule="auto"/>
        <w:tabs>
          <w:tab w:leader="none" w:pos="752" w:val="left"/>
        </w:tabs>
        <w:numPr>
          <w:ilvl w:val="0"/>
          <w:numId w:val="669"/>
        </w:numPr>
        <w:rPr>
          <w:rFonts w:ascii="Arial" w:cs="Arial" w:eastAsia="Arial" w:hAnsi="Arial"/>
          <w:sz w:val="17"/>
          <w:szCs w:val="17"/>
          <w:color w:val="auto"/>
        </w:rPr>
      </w:pPr>
      <w:r>
        <w:rPr>
          <w:rFonts w:ascii="Arial" w:cs="Arial" w:eastAsia="Arial" w:hAnsi="Arial"/>
          <w:sz w:val="17"/>
          <w:szCs w:val="17"/>
          <w:color w:val="auto"/>
        </w:rPr>
        <w:t>Tenant shall not install or operate any steam or gas engine or boiler, or other mechanical apparatus in the Premises, except as specifically approved in the Lease or used in connection with Tenant’s Permitted Use. The use of oil, gas or inflammable liquids for heating, lighting or any other purpose is expressly prohibited. Explosives or other articles deemed extra hazardous shall not be brought into the Project.</w:t>
      </w:r>
    </w:p>
    <w:p>
      <w:pPr>
        <w:spacing w:after="0" w:line="165" w:lineRule="exact"/>
        <w:rPr>
          <w:rFonts w:ascii="Arial" w:cs="Arial" w:eastAsia="Arial" w:hAnsi="Arial"/>
          <w:sz w:val="17"/>
          <w:szCs w:val="17"/>
          <w:color w:val="auto"/>
        </w:rPr>
      </w:pPr>
    </w:p>
    <w:p>
      <w:pPr>
        <w:ind w:right="160" w:firstLine="444"/>
        <w:spacing w:after="0" w:line="255" w:lineRule="auto"/>
        <w:tabs>
          <w:tab w:leader="none" w:pos="756" w:val="left"/>
        </w:tabs>
        <w:numPr>
          <w:ilvl w:val="0"/>
          <w:numId w:val="669"/>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provided that temporary short-term overnight parking by Tenant’s employees whiles travelling for business purposes shall be permitted.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93" w:lineRule="exact"/>
        <w:rPr>
          <w:rFonts w:ascii="Arial" w:cs="Arial" w:eastAsia="Arial" w:hAnsi="Arial"/>
          <w:sz w:val="18"/>
          <w:szCs w:val="18"/>
          <w:color w:val="auto"/>
        </w:rPr>
      </w:pPr>
    </w:p>
    <w:p>
      <w:pPr>
        <w:ind w:left="760" w:hanging="316"/>
        <w:spacing w:after="0"/>
        <w:tabs>
          <w:tab w:leader="none" w:pos="76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225" w:lineRule="exact"/>
        <w:rPr>
          <w:rFonts w:ascii="Arial" w:cs="Arial" w:eastAsia="Arial" w:hAnsi="Arial"/>
          <w:sz w:val="18"/>
          <w:szCs w:val="18"/>
          <w:color w:val="auto"/>
        </w:rPr>
      </w:pPr>
    </w:p>
    <w:p>
      <w:pPr>
        <w:ind w:right="400" w:firstLine="444"/>
        <w:spacing w:after="0" w:line="308" w:lineRule="auto"/>
        <w:tabs>
          <w:tab w:leader="none" w:pos="756" w:val="left"/>
        </w:tabs>
        <w:numPr>
          <w:ilvl w:val="0"/>
          <w:numId w:val="669"/>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46" w:lineRule="exact"/>
        <w:rPr>
          <w:rFonts w:ascii="Arial" w:cs="Arial" w:eastAsia="Arial" w:hAnsi="Arial"/>
          <w:sz w:val="17"/>
          <w:szCs w:val="17"/>
          <w:color w:val="auto"/>
        </w:rPr>
      </w:pPr>
    </w:p>
    <w:p>
      <w:pPr>
        <w:ind w:right="400" w:firstLine="444"/>
        <w:spacing w:after="0" w:line="264" w:lineRule="auto"/>
        <w:tabs>
          <w:tab w:leader="none" w:pos="842"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81" w:lineRule="exact"/>
        <w:rPr>
          <w:rFonts w:ascii="Arial" w:cs="Arial" w:eastAsia="Arial" w:hAnsi="Arial"/>
          <w:sz w:val="18"/>
          <w:szCs w:val="18"/>
          <w:color w:val="auto"/>
        </w:rPr>
      </w:pPr>
    </w:p>
    <w:p>
      <w:pPr>
        <w:ind w:right="60" w:firstLine="444"/>
        <w:spacing w:after="0" w:line="277" w:lineRule="auto"/>
        <w:tabs>
          <w:tab w:leader="none" w:pos="836"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170" w:lineRule="exact"/>
        <w:rPr>
          <w:rFonts w:ascii="Arial" w:cs="Arial" w:eastAsia="Arial" w:hAnsi="Arial"/>
          <w:sz w:val="18"/>
          <w:szCs w:val="18"/>
          <w:color w:val="auto"/>
        </w:rPr>
      </w:pPr>
    </w:p>
    <w:p>
      <w:pPr>
        <w:ind w:right="180" w:firstLine="444"/>
        <w:spacing w:after="0" w:line="308" w:lineRule="auto"/>
        <w:tabs>
          <w:tab w:leader="none" w:pos="842" w:val="left"/>
        </w:tabs>
        <w:numPr>
          <w:ilvl w:val="0"/>
          <w:numId w:val="669"/>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ectPr>
          <w:pgSz w:w="11900" w:h="16838" w:orient="portrait"/>
          <w:cols w:equalWidth="0" w:num="1">
            <w:col w:w="11020"/>
          </w:cols>
          <w:pgMar w:left="440" w:top="270" w:right="439" w:bottom="1440" w:gutter="0" w:footer="0" w:header="0"/>
        </w:sectPr>
      </w:pPr>
    </w:p>
    <w:bookmarkStart w:id="766" w:name="page767"/>
    <w:bookmarkEnd w:id="766"/>
    <w:p>
      <w:pPr>
        <w:spacing w:after="0"/>
        <w:tabs>
          <w:tab w:leader="none" w:pos="6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w:t>
      </w:r>
      <w:r>
        <w:rPr>
          <w:sz w:val="20"/>
          <w:szCs w:val="20"/>
          <w:color w:val="auto"/>
        </w:rPr>
        <w:tab/>
      </w:r>
      <w:r>
        <w:rPr>
          <w:rFonts w:ascii="Arial" w:cs="Arial" w:eastAsia="Arial" w:hAnsi="Arial"/>
          <w:sz w:val="16"/>
          <w:szCs w:val="16"/>
          <w:b w:val="1"/>
          <w:bCs w:val="1"/>
          <w:color w:val="auto"/>
        </w:rPr>
        <w:t xml:space="preserve">3013 Science Park/The Medicines Company - Page </w:t>
      </w:r>
      <w:r>
        <w:rPr>
          <w:rFonts w:ascii="Arial" w:cs="Arial" w:eastAsia="Arial" w:hAnsi="Arial"/>
          <w:sz w:val="16"/>
          <w:szCs w:val="16"/>
          <w:color w:val="auto"/>
        </w:rPr>
        <w:t>2</w:t>
      </w:r>
    </w:p>
    <w:p>
      <w:pPr>
        <w:spacing w:after="0" w:line="162" w:lineRule="exact"/>
        <w:rPr>
          <w:sz w:val="20"/>
          <w:szCs w:val="20"/>
          <w:color w:val="auto"/>
        </w:rPr>
      </w:pPr>
    </w:p>
    <w:p>
      <w:pPr>
        <w:ind w:right="20" w:firstLine="444"/>
        <w:spacing w:after="0" w:line="277" w:lineRule="auto"/>
        <w:tabs>
          <w:tab w:leader="none" w:pos="836" w:val="left"/>
        </w:tabs>
        <w:numPr>
          <w:ilvl w:val="0"/>
          <w:numId w:val="670"/>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225" w:lineRule="exact"/>
        <w:rPr>
          <w:rFonts w:ascii="Arial" w:cs="Arial" w:eastAsia="Arial" w:hAnsi="Arial"/>
          <w:sz w:val="18"/>
          <w:szCs w:val="18"/>
          <w:color w:val="auto"/>
        </w:rPr>
      </w:pPr>
    </w:p>
    <w:p>
      <w:pPr>
        <w:jc w:val="both"/>
        <w:ind w:right="280" w:firstLine="444"/>
        <w:spacing w:after="0" w:line="264" w:lineRule="auto"/>
        <w:tabs>
          <w:tab w:leader="none" w:pos="84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(except with the use of toasters or microwave ovens located in kitchen or breakroom areas of the Premises) or for any immoral or illegal purposes or for any purpose other than that specified in the Lease. No gaming devices shall be operated in the Premises.</w:t>
      </w:r>
    </w:p>
    <w:p>
      <w:pPr>
        <w:spacing w:after="0" w:line="181" w:lineRule="exact"/>
        <w:rPr>
          <w:rFonts w:ascii="Arial" w:cs="Arial" w:eastAsia="Arial" w:hAnsi="Arial"/>
          <w:sz w:val="18"/>
          <w:szCs w:val="18"/>
          <w:color w:val="auto"/>
        </w:rPr>
      </w:pPr>
    </w:p>
    <w:p>
      <w:pPr>
        <w:jc w:val="both"/>
        <w:ind w:right="280" w:firstLine="444"/>
        <w:spacing w:after="0" w:line="259" w:lineRule="auto"/>
        <w:tabs>
          <w:tab w:leader="none" w:pos="84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86" w:lineRule="exact"/>
        <w:rPr>
          <w:rFonts w:ascii="Arial" w:cs="Arial" w:eastAsia="Arial" w:hAnsi="Arial"/>
          <w:sz w:val="18"/>
          <w:szCs w:val="18"/>
          <w:color w:val="auto"/>
        </w:rPr>
      </w:pPr>
    </w:p>
    <w:p>
      <w:pPr>
        <w:ind w:left="840" w:hanging="396"/>
        <w:spacing w:after="0"/>
        <w:tabs>
          <w:tab w:leader="none" w:pos="84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25" w:lineRule="exact"/>
        <w:rPr>
          <w:rFonts w:ascii="Arial" w:cs="Arial" w:eastAsia="Arial" w:hAnsi="Arial"/>
          <w:sz w:val="18"/>
          <w:szCs w:val="18"/>
          <w:color w:val="auto"/>
        </w:rPr>
      </w:pPr>
    </w:p>
    <w:p>
      <w:pPr>
        <w:ind w:right="120" w:firstLine="444"/>
        <w:spacing w:after="0" w:line="342" w:lineRule="auto"/>
        <w:tabs>
          <w:tab w:leader="none" w:pos="842" w:val="left"/>
        </w:tabs>
        <w:numPr>
          <w:ilvl w:val="0"/>
          <w:numId w:val="670"/>
        </w:numPr>
        <w:rPr>
          <w:rFonts w:ascii="Arial" w:cs="Arial" w:eastAsia="Arial" w:hAnsi="Arial"/>
          <w:sz w:val="16"/>
          <w:szCs w:val="16"/>
          <w:color w:val="auto"/>
        </w:rPr>
      </w:pPr>
      <w:r>
        <w:rPr>
          <w:rFonts w:ascii="Arial" w:cs="Arial" w:eastAsia="Arial" w:hAnsi="Arial"/>
          <w:sz w:val="16"/>
          <w:szCs w:val="16"/>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ectPr>
          <w:pgSz w:w="11900" w:h="16838" w:orient="portrait"/>
          <w:cols w:equalWidth="0" w:num="1">
            <w:col w:w="11020"/>
          </w:cols>
          <w:pgMar w:left="440" w:top="270" w:right="439" w:bottom="1440" w:gutter="0" w:footer="0" w:header="0"/>
        </w:sectPr>
      </w:pPr>
    </w:p>
    <w:bookmarkStart w:id="767" w:name="page768"/>
    <w:bookmarkEnd w:id="767"/>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89"/>
              </w:rPr>
              <w:t xml:space="preserve">3013 Science Park/The Medicines Company - Page </w:t>
            </w:r>
            <w:r>
              <w:rPr>
                <w:rFonts w:ascii="Arial" w:cs="Arial" w:eastAsia="Arial" w:hAnsi="Arial"/>
                <w:sz w:val="18"/>
                <w:szCs w:val="18"/>
                <w:color w:val="auto"/>
                <w:w w:val="89"/>
              </w:rPr>
              <w:t>1</w:t>
            </w:r>
          </w:p>
        </w:tc>
      </w:tr>
      <w:tr>
        <w:trPr>
          <w:trHeight w:val="365"/>
        </w:trPr>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rPr>
              <w:t>EXHIBIT F TO LEASE</w:t>
            </w:r>
          </w:p>
        </w:tc>
        <w:tc>
          <w:tcPr>
            <w:tcW w:w="2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636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8"/>
              </w:rPr>
              <w:t>TENANT’S PERSONAL PROPERTY</w:t>
            </w:r>
          </w:p>
        </w:tc>
        <w:tc>
          <w:tcPr>
            <w:tcW w:w="2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4"/>
                <w:szCs w:val="14"/>
                <w:color w:val="auto"/>
              </w:rPr>
              <w:t>Equipment</w:t>
            </w:r>
          </w:p>
        </w:tc>
        <w:tc>
          <w:tcPr>
            <w:tcW w:w="296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760" w:type="dxa"/>
            <w:vAlign w:val="bottom"/>
          </w:tcPr>
          <w:p>
            <w:pPr>
              <w:ind w:left="500"/>
              <w:spacing w:after="0"/>
              <w:rPr>
                <w:sz w:val="20"/>
                <w:szCs w:val="20"/>
                <w:color w:val="auto"/>
              </w:rPr>
            </w:pPr>
            <w:r>
              <w:rPr>
                <w:rFonts w:ascii="Arial" w:cs="Arial" w:eastAsia="Arial" w:hAnsi="Arial"/>
                <w:sz w:val="14"/>
                <w:szCs w:val="14"/>
                <w:color w:val="auto"/>
              </w:rPr>
              <w:t>Location/use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0"/>
              </w:rPr>
              <w:t>Analytical</w:t>
            </w:r>
          </w:p>
        </w:tc>
        <w:tc>
          <w:tcPr>
            <w:tcW w:w="63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HPLC</w:t>
            </w:r>
          </w:p>
        </w:tc>
        <w:tc>
          <w:tcPr>
            <w:tcW w:w="228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MS Detector for HPLC</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Prep module for HPLC</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Automated melting point apparatus</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Microwave apparatus</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Rotary evaporator (replacement)</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Vacuum pump (replacement)</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Chemical Inventory software</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NMR Spectrometer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Autosampler for NMR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Gel imager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Turbovap 96 evaporator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Sciex 5500Q system with HPLC</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Beckman J2-21 centrifuge</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Agilent G1312A binary gradient pump</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accuSpin</w:t>
            </w:r>
            <w:r>
              <w:rPr>
                <w:rFonts w:ascii="Arial" w:cs="Arial" w:eastAsia="Arial" w:hAnsi="Arial"/>
                <w:sz w:val="15"/>
                <w:szCs w:val="15"/>
                <w:color w:val="auto"/>
              </w:rPr>
              <w:t>™</w:t>
            </w:r>
            <w:r>
              <w:rPr>
                <w:rFonts w:ascii="Arial" w:cs="Arial" w:eastAsia="Arial" w:hAnsi="Arial"/>
                <w:sz w:val="18"/>
                <w:szCs w:val="18"/>
                <w:color w:val="auto"/>
              </w:rPr>
              <w:t xml:space="preserve"> Micro 17/Micro 17R Microcentrifuges</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HD 22/2000 Syringe Pump Infusion Only 2-Syringe Rack Standard Pressure (2 total)</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w w:val="95"/>
              </w:rPr>
              <w:t>Thermo Scientific Heratherm General Protocol 26.4 cuft Gravity Convection Incubator, 120V</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Mobile anesthesia machine V10</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Rack, s/s, 12 cages 3600/3700/3701 vertical type, mm - 2 total</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Isotemp-General purpose-Refrigerator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Metabolic cage, rats 150&gt;300g all included, stand excepted - 24 total</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lic urine collection Chiller complete with tubes - 24 total</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Pharmacology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High Volume Personal Pipettor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LCMS-210EV Detector Unit</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Dionex used HPLC with CAD and PDA Detectors</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Preparative LC-MS System</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OT Initiator &amp; Microwave System</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Dionex used HPLC w/ CAD and PDA Detectors</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Combi-Flash Rf-200 Automated Flash Chromatography System</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CombiFlash Companion Separation System</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Chemistry 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ABI 7000 Real time PCR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Biology</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Sanyo Scientific Upright Model MDF-U76VC</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Lab</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Refurbished Gemini EM Fluorescent Plate Reader</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BioLab</w:t>
            </w: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GC-2014 gas chromatograph</w:t>
            </w:r>
          </w:p>
        </w:tc>
        <w:tc>
          <w:tcPr>
            <w:tcW w:w="4040" w:type="dxa"/>
            <w:vAlign w:val="bottom"/>
            <w:gridSpan w:val="2"/>
          </w:tcPr>
          <w:p>
            <w:pPr>
              <w:ind w:left="2260"/>
              <w:spacing w:after="0"/>
              <w:rPr>
                <w:sz w:val="20"/>
                <w:szCs w:val="20"/>
                <w:color w:val="auto"/>
              </w:rPr>
            </w:pPr>
            <w:r>
              <w:rPr>
                <w:rFonts w:ascii="Arial" w:cs="Arial" w:eastAsia="Arial" w:hAnsi="Arial"/>
                <w:sz w:val="18"/>
                <w:szCs w:val="18"/>
                <w:color w:val="auto"/>
              </w:rPr>
              <w:t>Lab Room</w:t>
            </w:r>
          </w:p>
        </w:tc>
      </w:tr>
    </w:tbl>
    <w:p>
      <w:pPr>
        <w:ind w:left="2260"/>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68" w:name="page769"/>
    <w:bookmarkEnd w:id="768"/>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b w:val="1"/>
                <w:bCs w:val="1"/>
                <w:color w:val="auto"/>
                <w:w w:val="89"/>
              </w:rPr>
              <w:t xml:space="preserve">3013 Science Park/The Medicines Company - Page </w:t>
            </w:r>
            <w:r>
              <w:rPr>
                <w:rFonts w:ascii="Arial" w:cs="Arial" w:eastAsia="Arial" w:hAnsi="Arial"/>
                <w:sz w:val="18"/>
                <w:szCs w:val="18"/>
                <w:color w:val="auto"/>
                <w:w w:val="89"/>
              </w:rPr>
              <w:t>2</w:t>
            </w:r>
          </w:p>
        </w:tc>
      </w:tr>
      <w:tr>
        <w:trPr>
          <w:trHeight w:val="317"/>
        </w:trPr>
        <w:tc>
          <w:tcPr>
            <w:tcW w:w="6640" w:type="dxa"/>
            <w:vAlign w:val="bottom"/>
            <w:gridSpan w:val="2"/>
          </w:tcPr>
          <w:p>
            <w:pPr>
              <w:spacing w:after="0"/>
              <w:rPr>
                <w:sz w:val="20"/>
                <w:szCs w:val="20"/>
                <w:color w:val="auto"/>
              </w:rPr>
            </w:pPr>
            <w:r>
              <w:rPr>
                <w:rFonts w:ascii="Arial" w:cs="Arial" w:eastAsia="Arial" w:hAnsi="Arial"/>
                <w:sz w:val="14"/>
                <w:szCs w:val="14"/>
                <w:color w:val="auto"/>
              </w:rPr>
              <w:t>Equipment</w:t>
            </w:r>
          </w:p>
        </w:tc>
        <w:tc>
          <w:tcPr>
            <w:tcW w:w="2640" w:type="dxa"/>
            <w:vAlign w:val="bottom"/>
          </w:tcPr>
          <w:p>
            <w:pPr>
              <w:spacing w:after="0"/>
              <w:rPr>
                <w:sz w:val="24"/>
                <w:szCs w:val="24"/>
                <w:color w:val="auto"/>
              </w:rPr>
            </w:pPr>
          </w:p>
        </w:tc>
        <w:tc>
          <w:tcPr>
            <w:tcW w:w="1760" w:type="dxa"/>
            <w:vAlign w:val="bottom"/>
          </w:tcPr>
          <w:p>
            <w:pPr>
              <w:ind w:left="500"/>
              <w:spacing w:after="0"/>
              <w:rPr>
                <w:sz w:val="20"/>
                <w:szCs w:val="20"/>
                <w:color w:val="auto"/>
              </w:rPr>
            </w:pPr>
            <w:r>
              <w:rPr>
                <w:rFonts w:ascii="Arial" w:cs="Arial" w:eastAsia="Arial" w:hAnsi="Arial"/>
                <w:sz w:val="14"/>
                <w:szCs w:val="14"/>
                <w:color w:val="auto"/>
              </w:rPr>
              <w:t>Location/use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Sanyo</w:t>
            </w:r>
          </w:p>
        </w:tc>
        <w:tc>
          <w:tcPr>
            <w:tcW w:w="6000" w:type="dxa"/>
            <w:vAlign w:val="bottom"/>
          </w:tcPr>
          <w:p>
            <w:pPr>
              <w:spacing w:after="0" w:line="189" w:lineRule="exact"/>
              <w:rPr>
                <w:sz w:val="20"/>
                <w:szCs w:val="20"/>
                <w:color w:val="auto"/>
              </w:rPr>
            </w:pPr>
            <w:r>
              <w:rPr>
                <w:rFonts w:ascii="Arial" w:cs="Arial" w:eastAsia="Arial" w:hAnsi="Arial"/>
                <w:sz w:val="18"/>
                <w:szCs w:val="18"/>
                <w:color w:val="auto"/>
              </w:rPr>
              <w:t>Scientific Upright Model MDF-U76VC</w:t>
            </w:r>
          </w:p>
        </w:tc>
        <w:tc>
          <w:tcPr>
            <w:tcW w:w="264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Lab Room</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Molecular Devices Spectramax Plus 384</w:t>
            </w: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A&amp;D BM-22 Micro Balance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Combiflash Companion Automated Flash Chromatography System</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Lyophilizer - Labconoco FreezeZone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Multimek 96 liquid handler head (purchased rebuilt)</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HPLC Titan Column</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Labconco 44204-00 Flaskscrubber Glass Washer Item #201-0942</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Repair and Rebuilder of Freezer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80 Freezer - Kendro (Harris/Revco) Model DLT-25V-85D39</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Countess Cell Counter Starter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TC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Melting point apparatus (MPA100) and printer (0100P)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Rotavapor and Vacuum Pump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Rotavapor and Vacuum Pump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Rotavapor and Vacuum Pump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Agilent G1312A Binary gradient pump (use) serial # DE23911600</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Ice Machine (paid with May Amex LS Corp Card)</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Fisher Scientific Accuspin Micro 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Jamie Ruff</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Optimizer Microwave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Syringe Pump Harvard apparatus PhD2000</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SAI 3D Programmable Syringe Pump with Pole Clamp and AC Charger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Pharmacology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Genevac HT4</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Welch 1402B Vacuum Pump (replaced fixed asset #124)</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Food Service Inc - Ice Machine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Yamato Sterilizer SN510</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Media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LC-MS w/ Computer/Printer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Syringe Pump Harvard apparatus PhD2000</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Vivarium</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Analytical Balance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2 Temperature Controller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Vacuum Oven</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Vacumm Pump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Refrigerator/Freezer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w w:val="94"/>
              </w:rPr>
              <w:t>Pump Replacement - Labconco 44204-00 Flaskscrubber Glass Washer Item #201-0942</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Biology</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Vacumm Pump</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2 Safety Cabinets</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Used Sanyo -MCO-18AIC-CO2 Incubator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TC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Precision 19 Vacuum Oven</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Rotary Evaporator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Rotavapor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Beckman type 42.2 rotor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Mpex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Circulating Chiller and Cart</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Eppendorf 5415D Microcentrifug &amp; 24 Place Rotor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Mpex Lab</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Lyopholizer</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Vacuum Pump-belt Drive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Chemistry Lab</w:t>
            </w:r>
          </w:p>
        </w:tc>
      </w:tr>
    </w:tbl>
    <w:p>
      <w:pPr>
        <w:ind w:left="2620"/>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69" w:name="page770"/>
    <w:bookmarkEnd w:id="7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 TO LEASE</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179070</wp:posOffset>
            </wp:positionV>
            <wp:extent cx="4219575" cy="612330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4219575" cy="61233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0" w:name="page771"/>
    <w:bookmarkEnd w:id="7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84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89165" cy="668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1" w:name="page772"/>
    <w:bookmarkEnd w:id="7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4591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89165" cy="6645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2" w:name="page773"/>
    <w:bookmarkEnd w:id="7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66636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89165" cy="666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3" w:name="page774"/>
    <w:bookmarkEnd w:id="7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LEASE</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THIS FIRST AMENDMENT TO LEASE (this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dated as of December ___, 2016, but made effective as of October 1, 2016, by and between </w:t>
      </w:r>
      <w:r>
        <w:rPr>
          <w:rFonts w:ascii="Arial" w:cs="Arial" w:eastAsia="Arial" w:hAnsi="Arial"/>
          <w:sz w:val="18"/>
          <w:szCs w:val="18"/>
          <w:b w:val="1"/>
          <w:bCs w:val="1"/>
          <w:color w:val="auto"/>
        </w:rPr>
        <w:t>ARE-SD REGION NO. 35,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THE MEDICINES COMPANY</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80" w:firstLine="441"/>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are parties to that certain Lease Agreement dated as of October 1, 2014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lease from Landlord certain “</w:t>
      </w:r>
      <w:r>
        <w:rPr>
          <w:rFonts w:ascii="Arial" w:cs="Arial" w:eastAsia="Arial" w:hAnsi="Arial"/>
          <w:sz w:val="18"/>
          <w:szCs w:val="18"/>
          <w:b w:val="1"/>
          <w:bCs w:val="1"/>
          <w:color w:val="auto"/>
        </w:rPr>
        <w:t>Premises</w:t>
      </w:r>
      <w:r>
        <w:rPr>
          <w:rFonts w:ascii="Arial" w:cs="Arial" w:eastAsia="Arial" w:hAnsi="Arial"/>
          <w:sz w:val="18"/>
          <w:szCs w:val="18"/>
          <w:color w:val="auto"/>
        </w:rPr>
        <w:t>” containing approximately 63,000 rentable square feet of space in that certain to be constructed building to be known as 3013 Science Park Road, San Diego, California. The Premises are more particularly described in the Lease. Capitalized terms used herein without definition shall have the meanings defined for such terms in the Lease.</w:t>
      </w:r>
    </w:p>
    <w:p>
      <w:pPr>
        <w:spacing w:after="0" w:line="180"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Landlord and Tenant desire, subject to the terms and conditions set forth herein, to stipulate to the Commencement Date and to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modify the Lease as set forth herein.</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Delivery; Commencement Date</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Lease is hereby deleted in it entirety and replaced with the following:</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deliver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w:t>
      </w:r>
    </w:p>
    <w:p>
      <w:pPr>
        <w:spacing w:after="0" w:line="50" w:lineRule="exact"/>
        <w:rPr>
          <w:sz w:val="20"/>
          <w:szCs w:val="20"/>
          <w:color w:val="auto"/>
        </w:rPr>
      </w:pPr>
    </w:p>
    <w:p>
      <w:pPr>
        <w:ind w:left="660" w:hanging="216"/>
        <w:spacing w:after="0"/>
        <w:tabs>
          <w:tab w:leader="none" w:pos="66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the first floor of the Premises (the “</w:t>
      </w:r>
      <w:r>
        <w:rPr>
          <w:rFonts w:ascii="Arial" w:cs="Arial" w:eastAsia="Arial" w:hAnsi="Arial"/>
          <w:sz w:val="16"/>
          <w:szCs w:val="16"/>
          <w:b w:val="1"/>
          <w:bCs w:val="1"/>
          <w:color w:val="auto"/>
        </w:rPr>
        <w:t>First Floor Premises</w:t>
      </w:r>
      <w:r>
        <w:rPr>
          <w:rFonts w:ascii="Arial" w:cs="Arial" w:eastAsia="Arial" w:hAnsi="Arial"/>
          <w:sz w:val="16"/>
          <w:szCs w:val="16"/>
          <w:color w:val="auto"/>
        </w:rPr>
        <w:t>”) to Tenant on or before the First Floor Target Delivery Date (as defined below), and</w:t>
      </w:r>
    </w:p>
    <w:p>
      <w:pPr>
        <w:spacing w:after="0" w:line="32" w:lineRule="exact"/>
        <w:rPr>
          <w:rFonts w:ascii="Arial" w:cs="Arial" w:eastAsia="Arial" w:hAnsi="Arial"/>
          <w:sz w:val="16"/>
          <w:szCs w:val="16"/>
          <w:color w:val="auto"/>
        </w:rPr>
      </w:pPr>
    </w:p>
    <w:p>
      <w:pPr>
        <w:ind w:left="440" w:firstLine="4"/>
        <w:spacing w:after="0" w:line="286" w:lineRule="auto"/>
        <w:tabs>
          <w:tab w:leader="none" w:pos="705" w:val="left"/>
        </w:tabs>
        <w:numPr>
          <w:ilvl w:val="0"/>
          <w:numId w:val="671"/>
        </w:numPr>
        <w:rPr>
          <w:rFonts w:ascii="Arial" w:cs="Arial" w:eastAsia="Arial" w:hAnsi="Arial"/>
          <w:sz w:val="16"/>
          <w:szCs w:val="16"/>
          <w:color w:val="auto"/>
        </w:rPr>
      </w:pPr>
      <w:r>
        <w:rPr>
          <w:rFonts w:ascii="Arial" w:cs="Arial" w:eastAsia="Arial" w:hAnsi="Arial"/>
          <w:sz w:val="16"/>
          <w:szCs w:val="16"/>
          <w:color w:val="auto"/>
        </w:rPr>
        <w:t>the second floor of the Premises (the “</w:t>
      </w:r>
      <w:r>
        <w:rPr>
          <w:rFonts w:ascii="Arial" w:cs="Arial" w:eastAsia="Arial" w:hAnsi="Arial"/>
          <w:sz w:val="16"/>
          <w:szCs w:val="16"/>
          <w:b w:val="1"/>
          <w:bCs w:val="1"/>
          <w:color w:val="auto"/>
        </w:rPr>
        <w:t>Second Floor Premises</w:t>
      </w:r>
      <w:r>
        <w:rPr>
          <w:rFonts w:ascii="Arial" w:cs="Arial" w:eastAsia="Arial" w:hAnsi="Arial"/>
          <w:sz w:val="16"/>
          <w:szCs w:val="16"/>
          <w:color w:val="auto"/>
        </w:rPr>
        <w:t>”) to Tenant on or before the Second Floor Target Delivery Date (as defined below). Upon Delivery to Tenant of the First Floor Premises (the date on which such Delivery occurs shall be the “</w:t>
      </w:r>
      <w:r>
        <w:rPr>
          <w:rFonts w:ascii="Arial" w:cs="Arial" w:eastAsia="Arial" w:hAnsi="Arial"/>
          <w:sz w:val="16"/>
          <w:szCs w:val="16"/>
          <w:b w:val="1"/>
          <w:bCs w:val="1"/>
          <w:color w:val="auto"/>
        </w:rPr>
        <w:t>First Floor Delivery Date</w:t>
      </w:r>
      <w:r>
        <w:rPr>
          <w:rFonts w:ascii="Arial" w:cs="Arial" w:eastAsia="Arial" w:hAnsi="Arial"/>
          <w:sz w:val="16"/>
          <w:szCs w:val="16"/>
          <w:color w:val="auto"/>
        </w:rPr>
        <w:t xml:space="preserve">”), Landlord’s Work in the First Floor Premises shall be Substantially Completed and the parking structure serving the Project in the location shown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will be substantially complete and available for Tenant’s use. Upon Delivery to Tenant of the Second Floor Premises (the date on which such Delivery occurs shall be the “</w:t>
      </w:r>
      <w:r>
        <w:rPr>
          <w:rFonts w:ascii="Arial" w:cs="Arial" w:eastAsia="Arial" w:hAnsi="Arial"/>
          <w:sz w:val="16"/>
          <w:szCs w:val="16"/>
          <w:b w:val="1"/>
          <w:bCs w:val="1"/>
          <w:color w:val="auto"/>
        </w:rPr>
        <w:t>Second Floor Delivery Date</w:t>
      </w:r>
      <w:r>
        <w:rPr>
          <w:rFonts w:ascii="Arial" w:cs="Arial" w:eastAsia="Arial" w:hAnsi="Arial"/>
          <w:sz w:val="16"/>
          <w:szCs w:val="16"/>
          <w:color w:val="auto"/>
        </w:rPr>
        <w:t>”), Landlord’s Work in the Second Floor Premises shall be Substantially Completed. As of the date hereof, Landlord’s Work in the First Floor Premises is scheduled to be Substantially Completed on or before January 31, 2017 (the “</w:t>
      </w:r>
      <w:r>
        <w:rPr>
          <w:rFonts w:ascii="Arial" w:cs="Arial" w:eastAsia="Arial" w:hAnsi="Arial"/>
          <w:sz w:val="16"/>
          <w:szCs w:val="16"/>
          <w:b w:val="1"/>
          <w:bCs w:val="1"/>
          <w:color w:val="auto"/>
        </w:rPr>
        <w:t>First Floor Target Delivery Date</w:t>
      </w:r>
      <w:r>
        <w:rPr>
          <w:rFonts w:ascii="Arial" w:cs="Arial" w:eastAsia="Arial" w:hAnsi="Arial"/>
          <w:sz w:val="16"/>
          <w:szCs w:val="16"/>
          <w:color w:val="auto"/>
        </w:rPr>
        <w:t>”) and Landlord’s Work in the Second Floor Premises is scheduled to be Substantially Completed on or before March 17, 2017 (the “</w:t>
      </w:r>
      <w:r>
        <w:rPr>
          <w:rFonts w:ascii="Arial" w:cs="Arial" w:eastAsia="Arial" w:hAnsi="Arial"/>
          <w:sz w:val="16"/>
          <w:szCs w:val="16"/>
          <w:b w:val="1"/>
          <w:bCs w:val="1"/>
          <w:color w:val="auto"/>
        </w:rPr>
        <w:t>Second Floor Target Delivery Date</w:t>
      </w:r>
      <w:r>
        <w:rPr>
          <w:rFonts w:ascii="Arial" w:cs="Arial" w:eastAsia="Arial" w:hAnsi="Arial"/>
          <w:sz w:val="16"/>
          <w:szCs w:val="16"/>
          <w:color w:val="auto"/>
        </w:rPr>
        <w:t>”). If Landlord fails to timely Deliver the First Floor Premises or the Second Floor Premises, Landlord shall not be liable to Tenant for any loss or damage resulting therefrom, and this Lease shall not be void or voidable except as provided herein. If Landlord does not Deliver the First Floor Premises within 270 days of the First Floor Target Delivery Date or Landlord does not Deliver the Second Floor Premises within 270 days of the Second Floor Target Delivery Date, in either and/or both cases for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774" w:name="page775"/>
    <w:bookmarkEnd w:id="7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reason other than Force Majeure delays and Tenant Delays occurring after the date of the First Amendment, this Lease may be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Tenant by written notice to Landlord, and if so terminated by Tenant, neither Landlord nor Tenant shall have any further rights, duties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obligations under this Lease, except with respect to provisions which expressly survive termination of this Lease and Landlord will return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paid to Landlord by Tenant pursuant to the terms of this Lease. As used herein, the terms “</w:t>
      </w:r>
      <w:r>
        <w:rPr>
          <w:rFonts w:ascii="Arial" w:cs="Arial" w:eastAsia="Arial" w:hAnsi="Arial"/>
          <w:sz w:val="16"/>
          <w:szCs w:val="16"/>
          <w:b w:val="1"/>
          <w:bCs w:val="1"/>
          <w:color w:val="auto"/>
        </w:rPr>
        <w:t>Landlord’s Work</w:t>
      </w:r>
      <w:r>
        <w:rPr>
          <w:rFonts w:ascii="Arial" w:cs="Arial" w:eastAsia="Arial" w:hAnsi="Arial"/>
          <w:sz w:val="16"/>
          <w:szCs w:val="16"/>
          <w:color w:val="auto"/>
        </w:rPr>
        <w:t>,” “</w:t>
      </w:r>
      <w:r>
        <w:rPr>
          <w:rFonts w:ascii="Arial" w:cs="Arial" w:eastAsia="Arial" w:hAnsi="Arial"/>
          <w:sz w:val="16"/>
          <w:szCs w:val="16"/>
          <w:b w:val="1"/>
          <w:bCs w:val="1"/>
          <w:color w:val="auto"/>
        </w:rPr>
        <w:t>Tenant Delays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Substantially Completed</w:t>
      </w:r>
      <w:r>
        <w:rPr>
          <w:rFonts w:ascii="Arial" w:cs="Arial" w:eastAsia="Arial" w:hAnsi="Arial"/>
          <w:sz w:val="16"/>
          <w:szCs w:val="16"/>
          <w:color w:val="auto"/>
        </w:rPr>
        <w:t>” shall have the meanings set forth for such terms in the Work Letter. If Tenant does not elect to void this Lease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business days of the lapse of the applicable 270 day period, such right to void this Lease shall be waived and this Lease shall remain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force and effect; provided that Tenant will have a second right to terminate this Lease in the event Landlord has still not Delivered the First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Premises within 365 days of the First Floor Target Delivery Date for any reason other than Force Majeure delays and Tenant Delays occurring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date of the First Amendment, which right will be exercisable for a period of 10 business days after such 365 day period.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Notwithstanding the fact that the Premises will not be Delivered to Tenant by such date, Landlord and Tenant hereby agree that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Commencement Date</w:t>
      </w:r>
      <w:r>
        <w:rPr>
          <w:rFonts w:ascii="Arial" w:cs="Arial" w:eastAsia="Arial" w:hAnsi="Arial"/>
          <w:sz w:val="16"/>
          <w:szCs w:val="16"/>
          <w:color w:val="auto"/>
        </w:rPr>
        <w:t>” of the Lease shall be October 1, 2016, which date shall be subject to day for day extension for Force Majeure delays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Delays (as defined below). Notwithstanding anything to the contrary contained in this Lease, but provided Tenant is not in Default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Landlord hereby grants Tenant an abatement of the Base Rent payable during the period beginning on the Commencement Date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ending 10 months after the Commencement Date (“</w:t>
      </w:r>
      <w:r>
        <w:rPr>
          <w:rFonts w:ascii="Arial" w:cs="Arial" w:eastAsia="Arial" w:hAnsi="Arial"/>
          <w:sz w:val="17"/>
          <w:szCs w:val="17"/>
          <w:b w:val="1"/>
          <w:bCs w:val="1"/>
          <w:color w:val="auto"/>
        </w:rPr>
        <w:t>Base Rent Abatement</w:t>
      </w:r>
      <w:r>
        <w:rPr>
          <w:rFonts w:ascii="Arial" w:cs="Arial" w:eastAsia="Arial" w:hAnsi="Arial"/>
          <w:sz w:val="17"/>
          <w:szCs w:val="17"/>
          <w:color w:val="auto"/>
        </w:rPr>
        <w:t>”). For the avoidance of any doubt, there is a single Base 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Abatement period for the entire Premises that commences on Commencement Date (and not separate Base Rent Abatement periods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Floor Premises and the Second Floor Premises.) Subject to the terms of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the first day of the 11</w:t>
      </w:r>
      <w:r>
        <w:rPr>
          <w:rFonts w:ascii="Arial" w:cs="Arial" w:eastAsia="Arial" w:hAnsi="Arial"/>
          <w:sz w:val="15"/>
          <w:szCs w:val="15"/>
          <w:color w:val="auto"/>
        </w:rPr>
        <w:t>th</w:t>
      </w:r>
      <w:r>
        <w:rPr>
          <w:rFonts w:ascii="Arial" w:cs="Arial" w:eastAsia="Arial" w:hAnsi="Arial"/>
          <w:sz w:val="18"/>
          <w:szCs w:val="18"/>
          <w:color w:val="auto"/>
        </w:rPr>
        <w:t xml:space="preserve"> month after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shall be the “</w:t>
      </w:r>
      <w:r>
        <w:rPr>
          <w:rFonts w:ascii="Arial" w:cs="Arial" w:eastAsia="Arial" w:hAnsi="Arial"/>
          <w:sz w:val="16"/>
          <w:szCs w:val="16"/>
          <w:b w:val="1"/>
          <w:bCs w:val="1"/>
          <w:color w:val="auto"/>
        </w:rPr>
        <w:t>Rent Commencement Date</w:t>
      </w:r>
      <w:r>
        <w:rPr>
          <w:rFonts w:ascii="Arial" w:cs="Arial" w:eastAsia="Arial" w:hAnsi="Arial"/>
          <w:sz w:val="16"/>
          <w:szCs w:val="16"/>
          <w:color w:val="auto"/>
        </w:rPr>
        <w:t>.” In the event Landlord Delivers the First Floor Premises to Tenant more than 180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after the First Floor Target Delivery Date (other than as a result of Force Majeure delays and Tenant Delays), the Base Rent Abatement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extended and the Rent Commencement Date shall be delayed 1 day for each day after the First Floor Target Delivery Date (as extended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for day basis as a result of Force Majeure delays and Tenant Delays) that Landlord fails to Deliver the First Floor Premises to Tenant.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Landlord Delivers the Second Floor Premises to Tenant more than 15 days after the Second Floor Target Delivery Date (other than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Force Majeure delays and Tenant Delays), the Rent Commencement Date but only as it applies to Tenant’s obligation to pay Base 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Floor Premises portion of the Premises shall be delayed 1 day for each day after the Second Floor Target Delivery Date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extended on a day for day basis as a result of Force Majeure delays and Tenant Delays) that Landlord fails to Deliver the Second Floor Premises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103" w:lineRule="exact"/>
        <w:rPr>
          <w:sz w:val="20"/>
          <w:szCs w:val="20"/>
          <w:color w:val="auto"/>
        </w:rPr>
      </w:pPr>
    </w:p>
    <w:p>
      <w:pPr>
        <w:ind w:right="20" w:firstLine="423"/>
        <w:spacing w:after="0" w:line="297" w:lineRule="auto"/>
        <w:rPr>
          <w:sz w:val="20"/>
          <w:szCs w:val="20"/>
          <w:color w:val="auto"/>
        </w:rPr>
      </w:pPr>
      <w:r>
        <w:rPr>
          <w:rFonts w:ascii="Arial" w:cs="Arial" w:eastAsia="Arial" w:hAnsi="Arial"/>
          <w:sz w:val="16"/>
          <w:szCs w:val="16"/>
          <w:color w:val="auto"/>
        </w:rPr>
        <w:t xml:space="preserve">Upon request of Landlord, Tenant shall execute and deliver a written acknowledgment of the Commencement Date, the First Floor Delivery Date, the Second Floor Delivery Date, the Rent Commencement Date and the expiration date of the Term when such are established in the form of the “Acknowledgement of Commencement Date”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on the first page of this Lease and any Extension Terms which Tenant may elect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w:t>
      </w:r>
    </w:p>
    <w:p>
      <w:pPr>
        <w:spacing w:after="0" w:line="50" w:lineRule="exact"/>
        <w:rPr>
          <w:sz w:val="20"/>
          <w:szCs w:val="20"/>
          <w:color w:val="auto"/>
        </w:rPr>
      </w:pPr>
    </w:p>
    <w:p>
      <w:pPr>
        <w:jc w:val="both"/>
        <w:ind w:right="100" w:firstLine="423"/>
        <w:spacing w:after="0" w:line="264" w:lineRule="auto"/>
        <w:rPr>
          <w:sz w:val="20"/>
          <w:szCs w:val="20"/>
          <w:color w:val="auto"/>
        </w:rPr>
      </w:pPr>
      <w:r>
        <w:rPr>
          <w:rFonts w:ascii="Arial" w:cs="Arial" w:eastAsia="Arial" w:hAnsi="Arial"/>
          <w:sz w:val="18"/>
          <w:szCs w:val="18"/>
          <w:color w:val="auto"/>
        </w:rPr>
        <w:t>Except as set forth in the Work Letter or otherwise expressly set forth in this Lease: (i) Tenant shall accept the First Floor Premises in their condition as of the First Floor Delivery Date with all Landlord’s Work in the First Floor Premises Substantially Complete; (ii) Tenant shall accept the Second Floor Premises in their condition as of the Second Floor Delivery Date with all</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775" w:name="page776"/>
    <w:bookmarkEnd w:id="775"/>
    <w:p>
      <w:pPr>
        <w:ind w:left="44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Work in the Second Floor Premises Substantially Complete; (iii) Landlord shall have no liability for any defects in the Premises, except as set forth herein or in the Work Letter; and (iv) Tenant’s taking possession of the First Floor Premises and the Second Floor Premises, respectively, shall be conclusive evidence that Tenant accepts the First Floor Premises and the Second Floor Premises, respectively, and that the First Floor Premises and the Second Floor Premises, respectively, were in good condition at the time possession was taken. Tenant will not be permitted occupancy of the First Floor Premises prior to the date upon which the First Floor Premises are Delivered to Tenant with Landlord’s Work in the First Floor Premises Substantially Completed nor shall Tenant be permitted occupancy of the Second Floor Premises prior to the date upon which the Second Floor Premises are Delivered to Tenant with Landlord’s Work in the Second Floor Premises Substantially Completed.</w:t>
      </w:r>
    </w:p>
    <w:p>
      <w:pPr>
        <w:spacing w:after="0" w:line="59" w:lineRule="exact"/>
        <w:rPr>
          <w:sz w:val="20"/>
          <w:szCs w:val="20"/>
          <w:color w:val="auto"/>
        </w:rPr>
      </w:pPr>
    </w:p>
    <w:p>
      <w:pPr>
        <w:ind w:left="440" w:firstLine="423"/>
        <w:spacing w:after="0" w:line="288" w:lineRule="auto"/>
        <w:rPr>
          <w:sz w:val="20"/>
          <w:szCs w:val="20"/>
          <w:color w:val="auto"/>
        </w:rPr>
      </w:pPr>
      <w:r>
        <w:rPr>
          <w:rFonts w:ascii="Arial" w:cs="Arial" w:eastAsia="Arial" w:hAnsi="Arial"/>
          <w:sz w:val="16"/>
          <w:szCs w:val="16"/>
          <w:color w:val="auto"/>
        </w:rPr>
        <w:t>Except as otherwise expressly set forth in this Lease (including the Work Letter),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(including all exhibits attached hereto and any side letters entered into by and between Landlord and Tenant in connection with this Lease) constitutes the complete agreement of Landlord and Tenant with respect to the subject matter hereof and supersedes any and all prior representations, inducements, promises, agreements, understandings and negotiations which are not contained herein.” Landlord and Tenant hereby agree and acknowledge that the stipulated Commencement Date of October 1, 2016, is being agreed upon by the parties to account for certain delays (including, without limitation, Tenant Delays) which have occurred up to the date of this First Amendment and such Commencement Date takes into account all such delays and will not be altered for any other delays which may have occurred or are claimed to have occurred up to and including the date of this First Amendment.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 Delays, Construction Period and Excess TI Costs</w:t>
      </w:r>
      <w:r>
        <w:rPr>
          <w:rFonts w:ascii="Arial" w:cs="Arial" w:eastAsia="Arial" w:hAnsi="Arial"/>
          <w:sz w:val="18"/>
          <w:szCs w:val="18"/>
          <w:color w:val="auto"/>
        </w:rPr>
        <w:t>.</w:t>
      </w:r>
    </w:p>
    <w:p>
      <w:pPr>
        <w:spacing w:after="0" w:line="117"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As used in the Lease, the term “</w:t>
      </w:r>
      <w:r>
        <w:rPr>
          <w:rFonts w:ascii="Arial" w:cs="Arial" w:eastAsia="Arial" w:hAnsi="Arial"/>
          <w:sz w:val="17"/>
          <w:szCs w:val="17"/>
          <w:b w:val="1"/>
          <w:bCs w:val="1"/>
          <w:color w:val="auto"/>
        </w:rPr>
        <w:t>Landlord Delay</w:t>
      </w:r>
      <w:r>
        <w:rPr>
          <w:rFonts w:ascii="Arial" w:cs="Arial" w:eastAsia="Arial" w:hAnsi="Arial"/>
          <w:sz w:val="17"/>
          <w:szCs w:val="17"/>
          <w:color w:val="auto"/>
        </w:rPr>
        <w:t>” shall mean (x) any actual delay resulting directly from Landlord’s failure to approve or</w:t>
      </w:r>
      <w:r>
        <w:rPr>
          <w:rFonts w:ascii="Arial" w:cs="Arial" w:eastAsia="Arial" w:hAnsi="Arial"/>
          <w:sz w:val="17"/>
          <w:szCs w:val="17"/>
          <w:b w:val="1"/>
          <w:bCs w:val="1"/>
          <w:color w:val="auto"/>
        </w:rPr>
        <w:t xml:space="preserve"> </w:t>
      </w:r>
      <w:r>
        <w:rPr>
          <w:rFonts w:ascii="Arial" w:cs="Arial" w:eastAsia="Arial" w:hAnsi="Arial"/>
          <w:sz w:val="17"/>
          <w:szCs w:val="17"/>
          <w:color w:val="auto"/>
        </w:rPr>
        <w:t>disapprove (pursuant to the terms of the Work Letter) any item requiring Landlord’s approval or disapproval within the time period provided for such approval or disapproval in the Work Letter, or if no period is provided within a reasonable period (not to exceed 5 business days unless more than 5 business days is reasonably required for Landlord to obtain the information reasonably determined by Landlord to be necessary to grant its approval or disapproval), (y) any actual delay in the design and/or construction of Landlord’s Work caused by Landlord’s employees, agents, contractors or Landlord Representatives; provided, however, that if Tenant or any of Tenant’s Representatives have knowledge of the Landlord Delay it shall only be a Landlord Delay if the delay is not cured within one (1) business day after Landlord’s receipt of written notice thereof from Tenant, or (z) other than as a result of Force Majeure delays, the failure to substantially complete the parking structure serving the Project and make such structure available for Tenant’s use by the First Floor Delivery Date. In no event shall any Landlord Delay be attributed to any period prior to the date of this First Amendment.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u w:val="single" w:color="auto"/>
          <w:color w:val="auto"/>
        </w:rPr>
        <w:t>Section 7(b)(i)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Work Letter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Lease is hereby amended and restated as follows:</w:t>
      </w:r>
    </w:p>
    <w:p>
      <w:pPr>
        <w:spacing w:after="0" w:line="117" w:lineRule="exact"/>
        <w:rPr>
          <w:sz w:val="20"/>
          <w:szCs w:val="20"/>
          <w:color w:val="auto"/>
        </w:rPr>
      </w:pPr>
    </w:p>
    <w:p>
      <w:pPr>
        <w:ind w:left="440" w:right="280" w:firstLine="423"/>
        <w:spacing w:after="0" w:line="266"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Construction Period</w:t>
      </w:r>
      <w:r>
        <w:rPr>
          <w:rFonts w:ascii="Arial" w:cs="Arial" w:eastAsia="Arial" w:hAnsi="Arial"/>
          <w:sz w:val="18"/>
          <w:szCs w:val="18"/>
          <w:color w:val="auto"/>
        </w:rPr>
        <w:t>” shall mean the period from the date of the Lease until the date of Delivery of the Premises to Tenant with Landlord’s Work Substantially Complete (regardless of any Tenant Delays); provided, however, that, if there are more than 120 days of Tenant Delay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76" w:name="page777"/>
    <w:bookmarkEnd w:id="776"/>
    <w:p>
      <w:pPr>
        <w:ind w:left="44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occur after the date of this First Amendment, Landlord may if it so elects, notwithstanding anything to the contrary contained in the Lease (and/or this Work Letter), (x) terminate this Lease, upon written notice to Tenant, in which case the Construction Period shall terminate and Landlord may pursue all of its rights and remedies under the Lease (and this Work Letter) or (y) construct and Deliver (i) the First Floor Premises (as defined in the First Amendment) with Tenant Improvements shown in the space plan attached to the First Amendment as </w:t>
      </w:r>
      <w:r>
        <w:rPr>
          <w:rFonts w:ascii="Arial" w:cs="Arial" w:eastAsia="Arial" w:hAnsi="Arial"/>
          <w:sz w:val="16"/>
          <w:szCs w:val="16"/>
          <w:u w:val="single" w:color="auto"/>
          <w:color w:val="auto"/>
        </w:rPr>
        <w:t>Annex 3</w:t>
      </w:r>
      <w:r>
        <w:rPr>
          <w:rFonts w:ascii="Arial" w:cs="Arial" w:eastAsia="Arial" w:hAnsi="Arial"/>
          <w:sz w:val="16"/>
          <w:szCs w:val="16"/>
          <w:color w:val="auto"/>
        </w:rPr>
        <w:t xml:space="preserve"> and (ii) the Second Floor Premises (as defined in the First Amendment) with Tenant Improvements as determined by Landlord, in its sole and absolute discretion including, without limitation, changing the TI Construction Drawings so that the Tenant Improvements are consistent with a so-called spec build-out for one or more tenants and without any further input required or permitted by Tenant, but Tenant shall not be responsible for Excess TI Costs with respect to the Tenant Improvements in excess of the remaining Tenant Improvement Allowance (plus any Additional Tenant Improvement Allowance elected to be used by Tenant) unless Tenant has approved such Excess TI Costs (in Tenant’s sole discretion), and Tenant agrees to accept the Second Floor Premises in their as is condition upon Delivery.”</w:t>
      </w:r>
    </w:p>
    <w:p>
      <w:pPr>
        <w:spacing w:after="0" w:line="57"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Attached hereto as</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is the current Budget for the Tenant Improvements. Tenant acknowledges and agrees that, as of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First Amendment, Tenant approves Excess TI Costs in the amount of $1,130,784. Tenant hereby elects, and Landlord agrees, to apply the entire Additional Tenant Improvement Allowance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the Work Letter toward the cost of the Tenant Improvements. The Excess TI Costs remaining after application of the Additional Tenant Improvement Allowance will, subject to the terms of the Work Letter, initially be paid by Tenant in two installments, the first no later than December 9, 2016 and the second on January 16, 2017, subject to Tenant’s receipt of supporting documentation reflecting the amount owed at least five (5) business days prior to each payment date (and each such payment date shall be extended on a day for day basis if Tenant has not received the supporting documentation at least five (5) business days prior to such payment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first 2 paragraphs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 are hereby deleted in their entirety and replaced with the following:</w:t>
      </w:r>
    </w:p>
    <w:p>
      <w:pPr>
        <w:spacing w:after="0" w:line="113" w:lineRule="exact"/>
        <w:rPr>
          <w:sz w:val="20"/>
          <w:szCs w:val="20"/>
          <w:color w:val="auto"/>
        </w:rPr>
      </w:pPr>
    </w:p>
    <w:p>
      <w:pPr>
        <w:ind w:left="440" w:firstLine="423"/>
        <w:spacing w:after="0" w:line="255"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(i) with respect to the First Floor Premises, the earlier to occur of the First Floor Delivery Date or the date that Landlord could have Delivered the First Floor Premises to Tenant but for Tenant Delays occurring after the date of the First Amendment, and (ii) with respect to the Second Floor Premises, the earlier to occur of the Second Floor Delivery Date or the date that Landlord could have Delivered the Second Floor Premises to Tenant but for Tenant Delays occurring after the date of the First Amendment, and continuing thereafter on the first day of each month during the Term, Tenant shall pay Landlord an amount equal to 1/12th of Tenant’s Share of the Annual Estimate. Payments for any fractional calendar month shall be prorated.</w:t>
      </w:r>
    </w:p>
    <w:p>
      <w:pPr>
        <w:spacing w:after="0" w:line="81" w:lineRule="exact"/>
        <w:rPr>
          <w:sz w:val="20"/>
          <w:szCs w:val="20"/>
          <w:color w:val="auto"/>
        </w:rPr>
      </w:pPr>
    </w:p>
    <w:p>
      <w:pPr>
        <w:jc w:val="both"/>
        <w:ind w:left="440" w:right="160" w:firstLine="423"/>
        <w:spacing w:after="0" w:line="288" w:lineRule="auto"/>
        <w:rPr>
          <w:sz w:val="20"/>
          <w:szCs w:val="20"/>
          <w:color w:val="auto"/>
        </w:rPr>
      </w:pPr>
      <w:r>
        <w:rPr>
          <w:rFonts w:ascii="Arial" w:cs="Arial" w:eastAsia="Arial" w:hAnsi="Arial"/>
          <w:sz w:val="16"/>
          <w:szCs w:val="16"/>
          <w:color w:val="auto"/>
        </w:rPr>
        <w:t>Notwithstanding anything to the contrary contained in this Lease, for the period commencing on the First Floor Delivery Date through the Second Floor Delivery Date, Tenant shall only be required to pay Operating Expenses with respect to the First Floor Premises (and during such period Tenant’s Share of Operating Expenses of the Building shall be 49.53% and Tenant’s Share of Operating Expenses of Project shall be</w:t>
      </w:r>
    </w:p>
    <w:p>
      <w:pPr>
        <w:ind w:left="440" w:right="420"/>
        <w:spacing w:after="0" w:line="261" w:lineRule="auto"/>
        <w:rPr>
          <w:sz w:val="20"/>
          <w:szCs w:val="20"/>
          <w:color w:val="auto"/>
        </w:rPr>
      </w:pPr>
      <w:r>
        <w:rPr>
          <w:rFonts w:ascii="Arial" w:cs="Arial" w:eastAsia="Arial" w:hAnsi="Arial"/>
          <w:sz w:val="18"/>
          <w:szCs w:val="18"/>
          <w:color w:val="auto"/>
        </w:rPr>
        <w:t>18.81%). Tenant shall commence paying Operating Expenses with respect to the Second Floor Premises on the Second Floor Delivery Date; provided, however, that for the period commencing on the Second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777" w:name="page778"/>
    <w:bookmarkEnd w:id="777"/>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Floor Delivery Date through the last day of the 18</w:t>
      </w:r>
      <w:r>
        <w:rPr>
          <w:rFonts w:ascii="Arial" w:cs="Arial" w:eastAsia="Arial" w:hAnsi="Arial"/>
          <w:sz w:val="14"/>
          <w:szCs w:val="14"/>
          <w:color w:val="auto"/>
        </w:rPr>
        <w:t>th</w:t>
      </w:r>
      <w:r>
        <w:rPr>
          <w:rFonts w:ascii="Arial" w:cs="Arial" w:eastAsia="Arial" w:hAnsi="Arial"/>
          <w:sz w:val="17"/>
          <w:szCs w:val="17"/>
          <w:color w:val="auto"/>
        </w:rPr>
        <w:t xml:space="preserve"> month after the First Floor Delivery Date, Tenant shall be required to pay Operating Expenses with respect to only 50,000 rentable square feet of the Premises. During such period, Tenant’s Share of Operating Expenses of Building shall be 79.37% and Tenant’s Share of Operating Expenses of Project shall be 30.13%. Tenant shall commence paying Operating Expenses with respect to the entire Premises on the first day of the 19</w:t>
      </w:r>
      <w:r>
        <w:rPr>
          <w:rFonts w:ascii="Arial" w:cs="Arial" w:eastAsia="Arial" w:hAnsi="Arial"/>
          <w:sz w:val="14"/>
          <w:szCs w:val="14"/>
          <w:color w:val="auto"/>
        </w:rPr>
        <w:t>th</w:t>
      </w:r>
      <w:r>
        <w:rPr>
          <w:rFonts w:ascii="Arial" w:cs="Arial" w:eastAsia="Arial" w:hAnsi="Arial"/>
          <w:sz w:val="17"/>
          <w:szCs w:val="17"/>
          <w:color w:val="auto"/>
        </w:rPr>
        <w:t xml:space="preserve"> month after the First Floor Delivery Date.”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the Lease is hereby deleted in its entirety and replaced with the following:</w:t>
      </w:r>
    </w:p>
    <w:p>
      <w:pPr>
        <w:spacing w:after="0" w:line="103" w:lineRule="exact"/>
        <w:rPr>
          <w:sz w:val="20"/>
          <w:szCs w:val="20"/>
          <w:color w:val="auto"/>
        </w:rPr>
      </w:pPr>
    </w:p>
    <w:p>
      <w:pPr>
        <w:ind w:left="440" w:firstLine="423"/>
        <w:spacing w:after="0" w:line="258" w:lineRule="auto"/>
        <w:rPr>
          <w:sz w:val="20"/>
          <w:szCs w:val="20"/>
          <w:color w:val="auto"/>
        </w:rPr>
      </w:pPr>
      <w:r>
        <w:rPr>
          <w:rFonts w:ascii="Arial" w:cs="Arial" w:eastAsia="Arial" w:hAnsi="Arial"/>
          <w:sz w:val="18"/>
          <w:szCs w:val="18"/>
          <w:color w:val="auto"/>
        </w:rPr>
        <w:t>“(a) the original construction costs of the Project and renovation prior to the First Floor Delivery Date (and the original construction costs of the parking structure) and costs of correcting defects in all such original construction or renovation;”</w:t>
      </w:r>
    </w:p>
    <w:p>
      <w:pPr>
        <w:spacing w:after="0" w:line="1" w:lineRule="exact"/>
        <w:rPr>
          <w:sz w:val="20"/>
          <w:szCs w:val="20"/>
          <w:color w:val="auto"/>
        </w:rPr>
      </w:pPr>
    </w:p>
    <w:p>
      <w:pPr>
        <w:ind w:left="440" w:right="180" w:hanging="422"/>
        <w:spacing w:after="0" w:line="261" w:lineRule="auto"/>
        <w:rPr>
          <w:sz w:val="20"/>
          <w:szCs w:val="20"/>
          <w:color w:val="auto"/>
        </w:rPr>
      </w:pPr>
      <w:r>
        <w:rPr>
          <w:rFonts w:ascii="Arial" w:cs="Arial" w:eastAsia="Arial" w:hAnsi="Arial"/>
          <w:sz w:val="18"/>
          <w:szCs w:val="18"/>
          <w:b w:val="1"/>
          <w:bCs w:val="1"/>
          <w:u w:val="single" w:color="auto"/>
          <w:color w:val="auto"/>
        </w:rPr>
        <w:t>First Floor Delivery Date</w:t>
      </w:r>
      <w:r>
        <w:rPr>
          <w:rFonts w:ascii="Arial" w:cs="Arial" w:eastAsia="Arial" w:hAnsi="Arial"/>
          <w:sz w:val="18"/>
          <w:szCs w:val="18"/>
          <w:color w:val="auto"/>
        </w:rPr>
        <w:t>. The reference to “Commencement Date” is changed to “First Floor Delivery Date” in all instances where it appears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locations: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w:t>
      </w:r>
      <w:r>
        <w:rPr>
          <w:rFonts w:ascii="Arial" w:cs="Arial" w:eastAsia="Arial" w:hAnsi="Arial"/>
          <w:sz w:val="18"/>
          <w:szCs w:val="18"/>
          <w:color w:val="auto"/>
        </w:rPr>
        <w:t>.</w:t>
      </w:r>
    </w:p>
    <w:p>
      <w:pPr>
        <w:spacing w:after="0" w:line="288" w:lineRule="exact"/>
        <w:rPr>
          <w:sz w:val="20"/>
          <w:szCs w:val="20"/>
          <w:color w:val="auto"/>
        </w:rPr>
      </w:pPr>
    </w:p>
    <w:p>
      <w:pPr>
        <w:ind w:left="440" w:right="40" w:hanging="422"/>
        <w:spacing w:after="0" w:line="277" w:lineRule="auto"/>
        <w:rPr>
          <w:sz w:val="20"/>
          <w:szCs w:val="20"/>
          <w:color w:val="auto"/>
        </w:rPr>
      </w:pPr>
      <w:r>
        <w:rPr>
          <w:rFonts w:ascii="Arial" w:cs="Arial" w:eastAsia="Arial" w:hAnsi="Arial"/>
          <w:sz w:val="17"/>
          <w:szCs w:val="17"/>
          <w:b w:val="1"/>
          <w:bCs w:val="1"/>
          <w:u w:val="single" w:color="auto"/>
          <w:color w:val="auto"/>
        </w:rPr>
        <w:t>Community Center Amenities</w:t>
      </w:r>
      <w:r>
        <w:rPr>
          <w:rFonts w:ascii="Arial" w:cs="Arial" w:eastAsia="Arial" w:hAnsi="Arial"/>
          <w:sz w:val="17"/>
          <w:szCs w:val="17"/>
          <w:color w:val="auto"/>
        </w:rPr>
        <w:t>. Notwithstanding anything to the contrary contained in the Lease, the Amenities Commencement Date shall occur on</w:t>
      </w:r>
      <w:r>
        <w:rPr>
          <w:rFonts w:ascii="Arial" w:cs="Arial" w:eastAsia="Arial" w:hAnsi="Arial"/>
          <w:sz w:val="17"/>
          <w:szCs w:val="17"/>
          <w:b w:val="1"/>
          <w:bCs w:val="1"/>
          <w:color w:val="auto"/>
        </w:rPr>
        <w:t xml:space="preserve"> </w:t>
      </w:r>
      <w:r>
        <w:rPr>
          <w:rFonts w:ascii="Arial" w:cs="Arial" w:eastAsia="Arial" w:hAnsi="Arial"/>
          <w:sz w:val="17"/>
          <w:szCs w:val="17"/>
          <w:color w:val="auto"/>
        </w:rPr>
        <w:t>the earlier to occur of the First Floor Premises Delivery Date and the date that Landlord could have Delivered the First Floor Premises but for Tenant Delays and Tenant shall commence paying the Amenities Fee for the First Floor Premises portion of the Premises. Tenant shall commence paying the Amenities Fee for the Second Floor Premises portion of the Premises on the earlier to occur of the Second Floor Premises Delivery Date and the date that Landlord could have Delivered the Second Floor Premises but for Tenant Delays.</w:t>
      </w:r>
    </w:p>
    <w:p>
      <w:pPr>
        <w:spacing w:after="0" w:line="276" w:lineRule="exact"/>
        <w:rPr>
          <w:sz w:val="20"/>
          <w:szCs w:val="20"/>
          <w:color w:val="auto"/>
        </w:rPr>
      </w:pPr>
    </w:p>
    <w:p>
      <w:pPr>
        <w:ind w:left="440" w:right="600" w:hanging="422"/>
        <w:spacing w:after="0" w:line="282" w:lineRule="auto"/>
        <w:rPr>
          <w:sz w:val="20"/>
          <w:szCs w:val="20"/>
          <w:color w:val="auto"/>
        </w:rPr>
      </w:pPr>
      <w:r>
        <w:rPr>
          <w:rFonts w:ascii="Arial" w:cs="Arial" w:eastAsia="Arial" w:hAnsi="Arial"/>
          <w:sz w:val="18"/>
          <w:szCs w:val="18"/>
          <w:b w:val="1"/>
          <w:bCs w:val="1"/>
          <w:u w:val="single" w:color="auto"/>
          <w:color w:val="auto"/>
        </w:rPr>
        <w:t>Discontinued Use</w:t>
      </w:r>
      <w:r>
        <w:rPr>
          <w:rFonts w:ascii="Arial" w:cs="Arial" w:eastAsia="Arial" w:hAnsi="Arial"/>
          <w:sz w:val="18"/>
          <w:szCs w:val="18"/>
          <w:color w:val="auto"/>
        </w:rPr>
        <w:t>. The reference to “Rent Commencement Date”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44(p)</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deleted and replaced with “First Floor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Date.”</w:t>
      </w:r>
    </w:p>
    <w:p>
      <w:pPr>
        <w:spacing w:after="0" w:line="270" w:lineRule="exact"/>
        <w:rPr>
          <w:sz w:val="20"/>
          <w:szCs w:val="20"/>
          <w:color w:val="auto"/>
        </w:rPr>
      </w:pPr>
    </w:p>
    <w:p>
      <w:pPr>
        <w:ind w:left="440" w:right="200" w:hanging="422"/>
        <w:spacing w:after="0" w:line="266" w:lineRule="auto"/>
        <w:rPr>
          <w:sz w:val="20"/>
          <w:szCs w:val="20"/>
          <w:color w:val="auto"/>
        </w:rPr>
      </w:pPr>
      <w:r>
        <w:rPr>
          <w:rFonts w:ascii="Arial" w:cs="Arial" w:eastAsia="Arial" w:hAnsi="Arial"/>
          <w:sz w:val="18"/>
          <w:szCs w:val="18"/>
          <w:b w:val="1"/>
          <w:bCs w:val="1"/>
          <w:u w:val="single" w:color="auto"/>
          <w:color w:val="auto"/>
        </w:rPr>
        <w:t>Utilities/Repair and Maintenance</w:t>
      </w:r>
      <w:r>
        <w:rPr>
          <w:rFonts w:ascii="Arial" w:cs="Arial" w:eastAsia="Arial" w:hAnsi="Arial"/>
          <w:sz w:val="18"/>
          <w:szCs w:val="18"/>
          <w:color w:val="auto"/>
        </w:rPr>
        <w:t>. Tenant’s obligation to pay for Utilities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Tenant’s repair and maintenance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will not commence until the First Floor Delivery Date with respect to the First Floor Premises and with respect to the Second Floor Deliver Date with respect to the Second Floor Premises.</w:t>
      </w:r>
    </w:p>
    <w:p>
      <w:pPr>
        <w:spacing w:after="0" w:line="284" w:lineRule="exact"/>
        <w:rPr>
          <w:sz w:val="20"/>
          <w:szCs w:val="20"/>
          <w:color w:val="auto"/>
        </w:rPr>
      </w:pPr>
    </w:p>
    <w:p>
      <w:pPr>
        <w:ind w:left="440" w:right="180" w:hanging="422"/>
        <w:spacing w:after="0" w:line="266" w:lineRule="auto"/>
        <w:rPr>
          <w:sz w:val="20"/>
          <w:szCs w:val="20"/>
          <w:color w:val="auto"/>
        </w:rPr>
      </w:pPr>
      <w:r>
        <w:rPr>
          <w:rFonts w:ascii="Arial" w:cs="Arial" w:eastAsia="Arial" w:hAnsi="Arial"/>
          <w:sz w:val="18"/>
          <w:szCs w:val="18"/>
          <w:b w:val="1"/>
          <w:bCs w:val="1"/>
          <w:u w:val="single" w:color="auto"/>
          <w:color w:val="auto"/>
        </w:rPr>
        <w:t>Space Plan/Schedule</w:t>
      </w:r>
      <w:r>
        <w:rPr>
          <w:rFonts w:ascii="Arial" w:cs="Arial" w:eastAsia="Arial" w:hAnsi="Arial"/>
          <w:sz w:val="18"/>
          <w:szCs w:val="18"/>
          <w:color w:val="auto"/>
        </w:rPr>
        <w:t>. Landlord and Tenant have approved a revised space plan for the Tenant Improvements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3</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replaced with </w:t>
      </w:r>
      <w:r>
        <w:rPr>
          <w:rFonts w:ascii="Arial" w:cs="Arial" w:eastAsia="Arial" w:hAnsi="Arial"/>
          <w:sz w:val="18"/>
          <w:szCs w:val="18"/>
          <w:u w:val="single" w:color="auto"/>
          <w:color w:val="auto"/>
        </w:rPr>
        <w:t>Annex 3</w:t>
      </w:r>
      <w:r>
        <w:rPr>
          <w:rFonts w:ascii="Arial" w:cs="Arial" w:eastAsia="Arial" w:hAnsi="Arial"/>
          <w:sz w:val="18"/>
          <w:szCs w:val="18"/>
          <w:color w:val="auto"/>
        </w:rPr>
        <w:t xml:space="preserve"> attached to this First Amendment. The current schedule for completion of the Tenant Improvements is attached hereto as </w:t>
      </w:r>
      <w:r>
        <w:rPr>
          <w:rFonts w:ascii="Arial" w:cs="Arial" w:eastAsia="Arial" w:hAnsi="Arial"/>
          <w:sz w:val="18"/>
          <w:szCs w:val="18"/>
          <w:u w:val="single" w:color="auto"/>
          <w:color w:val="auto"/>
        </w:rPr>
        <w:t>Annex 4</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Work Letter Changes</w:t>
      </w:r>
      <w:r>
        <w:rPr>
          <w:rFonts w:ascii="Arial" w:cs="Arial" w:eastAsia="Arial" w:hAnsi="Arial"/>
          <w:sz w:val="18"/>
          <w:szCs w:val="18"/>
          <w:color w:val="auto"/>
        </w:rPr>
        <w:t>.</w:t>
      </w:r>
    </w:p>
    <w:p>
      <w:pPr>
        <w:spacing w:after="0" w:line="117" w:lineRule="exact"/>
        <w:rPr>
          <w:sz w:val="20"/>
          <w:szCs w:val="20"/>
          <w:color w:val="auto"/>
        </w:rPr>
      </w:pPr>
    </w:p>
    <w:p>
      <w:pPr>
        <w:ind w:left="440" w:right="2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Landlord will insure (or cause the applicable contractor(s) to insure) the Landlord’s Work with respect to the First Floor Premises until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Floor Delivery Date and any damage to Landlord’s Work in the First Floor Premises prior to such date shall be repaired by Landlord. Landlord will insure (or cause the applicable contractor(s) to insure) the Landlord’s Work with respect to the Second Floor Premises until the Second Floor Delivery Date and any damage to Landlord’s Work in the Second Floor Premises prior to such date shall be repaired by Landlord.</w:t>
      </w:r>
    </w:p>
    <w:p>
      <w:pPr>
        <w:spacing w:after="0" w:line="43" w:lineRule="exact"/>
        <w:rPr>
          <w:sz w:val="20"/>
          <w:szCs w:val="20"/>
          <w:color w:val="auto"/>
        </w:rPr>
      </w:pPr>
    </w:p>
    <w:p>
      <w:pPr>
        <w:ind w:left="440" w:right="340"/>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Tenant shall not have the right to request any Changes to the First Floor Premises which may delay the delivery of the First Floor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beyond February 14, 2017.</w:t>
      </w:r>
    </w:p>
    <w:p>
      <w:pPr>
        <w:spacing w:after="0" w:line="270" w:lineRule="exact"/>
        <w:rPr>
          <w:sz w:val="20"/>
          <w:szCs w:val="20"/>
          <w:color w:val="auto"/>
        </w:rPr>
      </w:pPr>
    </w:p>
    <w:p>
      <w:pPr>
        <w:ind w:left="440" w:right="160" w:hanging="422"/>
        <w:spacing w:after="0" w:line="282" w:lineRule="auto"/>
        <w:rPr>
          <w:sz w:val="20"/>
          <w:szCs w:val="20"/>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is currently (a) in compliance with and shall at all times during the Term of the Lease remain in compliance with the regulations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78" w:name="page779"/>
    <w:bookmarkEnd w:id="778"/>
    <w:p>
      <w:pPr>
        <w:ind w:left="440" w:right="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sz w:val="20"/>
          <w:szCs w:val="20"/>
          <w:color w:val="auto"/>
        </w:rPr>
      </w:pPr>
    </w:p>
    <w:p>
      <w:pPr>
        <w:ind w:left="440" w:right="120"/>
        <w:spacing w:after="0" w:line="264" w:lineRule="auto"/>
        <w:rPr>
          <w:sz w:val="20"/>
          <w:szCs w:val="20"/>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First Amendment is binding upon and shall inure to the benefit of the parties hereto and their respective agents and assigns.</w:t>
      </w:r>
    </w:p>
    <w:p>
      <w:pPr>
        <w:spacing w:after="0" w:line="117"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63"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0" w:right="519" w:bottom="1440" w:gutter="0" w:footer="0" w:header="0"/>
        </w:sectPr>
      </w:pPr>
    </w:p>
    <w:bookmarkStart w:id="779" w:name="page780"/>
    <w:bookmarkEnd w:id="7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First Amendment as of the day and year first above written.</w:t>
      </w:r>
    </w:p>
    <w:p>
      <w:pPr>
        <w:spacing w:after="0" w:line="37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MEDICINES COMPANY</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-1905</wp:posOffset>
            </wp:positionV>
            <wp:extent cx="256413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ARE-SD REGION NO. 35, LLC</w:t>
      </w:r>
      <w:r>
        <w:rPr>
          <w:rFonts w:ascii="Arial" w:cs="Arial" w:eastAsia="Arial" w:hAnsi="Arial"/>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ALEXANDRIA REAL ESTATE EQUITIES, L.P.,</w:t>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Delaware limited partnership,</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ARE-QRS CORP.,</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general partner</w:t>
      </w:r>
    </w:p>
    <w:p>
      <w:pPr>
        <w:spacing w:after="0" w:line="3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5361940</wp:posOffset>
            </wp:positionH>
            <wp:positionV relativeFrom="paragraph">
              <wp:posOffset>-1905</wp:posOffset>
            </wp:positionV>
            <wp:extent cx="136334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5361940</wp:posOffset>
            </wp:positionH>
            <wp:positionV relativeFrom="paragraph">
              <wp:posOffset>-1905</wp:posOffset>
            </wp:positionV>
            <wp:extent cx="136334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40"/>
          </w:cols>
          <w:pgMar w:left="880" w:top="271" w:right="879" w:bottom="1440" w:gutter="0" w:footer="0" w:header="0"/>
        </w:sectPr>
      </w:pPr>
    </w:p>
    <w:bookmarkStart w:id="780" w:name="page781"/>
    <w:bookmarkEnd w:id="78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193675</wp:posOffset>
            </wp:positionV>
            <wp:extent cx="5196840" cy="674941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5196840" cy="674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1" w:name="page782"/>
    <w:bookmarkEnd w:id="7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29845</wp:posOffset>
            </wp:positionV>
            <wp:extent cx="4467860" cy="69037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4467860" cy="690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3-1</w:t>
      </w:r>
    </w:p>
    <w:p>
      <w:pPr>
        <w:sectPr>
          <w:pgSz w:w="11900" w:h="16838" w:orient="portrait"/>
          <w:cols w:equalWidth="0" w:num="1">
            <w:col w:w="9019"/>
          </w:cols>
          <w:pgMar w:left="1440" w:top="273" w:right="1440" w:bottom="1440" w:gutter="0" w:footer="0" w:header="0"/>
        </w:sectPr>
      </w:pPr>
    </w:p>
    <w:bookmarkStart w:id="782" w:name="page783"/>
    <w:bookmarkEnd w:id="7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73920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89165" cy="739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Annex 3-2</w:t>
      </w:r>
    </w:p>
    <w:p>
      <w:pPr>
        <w:sectPr>
          <w:pgSz w:w="11900" w:h="16838" w:orient="portrait"/>
          <w:cols w:equalWidth="0" w:num="1">
            <w:col w:w="9019"/>
          </w:cols>
          <w:pgMar w:left="1440" w:top="1440" w:right="1440" w:bottom="1440" w:gutter="0" w:footer="0" w:header="0"/>
        </w:sectPr>
      </w:pPr>
    </w:p>
    <w:bookmarkStart w:id="783" w:name="page784"/>
    <w:bookmarkEnd w:id="7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CONSTRUCTION SCHEDULE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3-1</w:t>
      </w:r>
    </w:p>
    <w:p>
      <w:pPr>
        <w:sectPr>
          <w:pgSz w:w="11900" w:h="16838" w:orient="portrait"/>
          <w:cols w:equalWidth="0" w:num="1">
            <w:col w:w="9019"/>
          </w:cols>
          <w:pgMar w:left="1440" w:top="274" w:right="1440" w:bottom="1440" w:gutter="0" w:footer="0" w:header="0"/>
        </w:sectPr>
      </w:pPr>
    </w:p>
    <w:bookmarkStart w:id="784" w:name="page785"/>
    <w:bookmarkEnd w:id="7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805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8916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Annex 3-2</w:t>
      </w:r>
    </w:p>
    <w:p>
      <w:pPr>
        <w:sectPr>
          <w:pgSz w:w="11900" w:h="16838" w:orient="portrait"/>
          <w:cols w:equalWidth="0" w:num="1">
            <w:col w:w="9019"/>
          </w:cols>
          <w:pgMar w:left="1440" w:top="1440" w:right="1440" w:bottom="1440" w:gutter="0" w:footer="0" w:header="0"/>
        </w:sectPr>
      </w:pPr>
    </w:p>
    <w:bookmarkStart w:id="785" w:name="page786"/>
    <w:bookmarkEnd w:id="7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Medicines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Sylvan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 07054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-19050</wp:posOffset>
            </wp:positionV>
            <wp:extent cx="105727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191"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RE: Irrevocable Letter of Credit No.</w:t>
      </w:r>
      <w:r>
        <w:rPr>
          <w:sz w:val="20"/>
          <w:szCs w:val="20"/>
          <w:color w:val="auto"/>
        </w:rPr>
        <w:tab/>
      </w:r>
      <w:r>
        <w:rPr>
          <w:rFonts w:ascii="Arial" w:cs="Arial" w:eastAsia="Arial" w:hAnsi="Arial"/>
          <w:sz w:val="16"/>
          <w:szCs w:val="16"/>
          <w:color w:val="auto"/>
        </w:rPr>
        <w:t>for U.S. $424,644.28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-10160</wp:posOffset>
            </wp:positionV>
            <wp:extent cx="1028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020"/>
          </w:cols>
          <w:pgMar w:left="440" w:top="271" w:right="439" w:bottom="1440" w:gutter="0" w:footer="0" w:header="0"/>
        </w:sectPr>
      </w:pP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hereby issue our irrevocable Letter of Credit No. (“Beneficiary”), for the account of GOSSAMER BIO,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-197485</wp:posOffset>
            </wp:positionV>
            <wp:extent cx="1028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-60325</wp:posOffset>
            </wp:positionV>
            <wp:extent cx="5715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60" w:firstLine="30"/>
        <w:spacing w:after="0" w:line="277" w:lineRule="auto"/>
        <w:rPr>
          <w:sz w:val="20"/>
          <w:szCs w:val="20"/>
          <w:color w:val="auto"/>
        </w:rPr>
      </w:pPr>
      <w:r>
        <w:rPr>
          <w:rFonts w:ascii="Arial" w:cs="Arial" w:eastAsia="Arial" w:hAnsi="Arial"/>
          <w:sz w:val="18"/>
          <w:szCs w:val="18"/>
          <w:color w:val="auto"/>
        </w:rPr>
        <w:t>in favor of THE MEDICINES COMPANY, a Delaware corporation corporation (“Applicant”)</w:t>
      </w:r>
    </w:p>
    <w:p>
      <w:pPr>
        <w:spacing w:after="0" w:line="170" w:lineRule="exact"/>
        <w:rPr>
          <w:sz w:val="20"/>
          <w:szCs w:val="20"/>
          <w:color w:val="auto"/>
        </w:rPr>
      </w:pPr>
    </w:p>
    <w:p>
      <w:pPr>
        <w:sectPr>
          <w:pgSz w:w="11900" w:h="16838" w:orient="portrait"/>
          <w:cols w:equalWidth="0" w:num="2">
            <w:col w:w="4760" w:space="720"/>
            <w:col w:w="5540"/>
          </w:cols>
          <w:pgMar w:left="440" w:top="271" w:right="439" w:bottom="1440" w:gutter="0" w:footer="0" w:header="0"/>
          <w:type w:val="continuous"/>
        </w:sectPr>
      </w:pPr>
    </w:p>
    <w:p>
      <w:pPr>
        <w:ind w:right="200"/>
        <w:spacing w:after="0" w:line="291" w:lineRule="auto"/>
        <w:rPr>
          <w:sz w:val="20"/>
          <w:szCs w:val="20"/>
          <w:color w:val="auto"/>
        </w:rPr>
      </w:pPr>
      <w:r>
        <w:rPr>
          <w:rFonts w:ascii="Arial" w:cs="Arial" w:eastAsia="Arial" w:hAnsi="Arial"/>
          <w:sz w:val="16"/>
          <w:szCs w:val="16"/>
          <w:color w:val="auto"/>
        </w:rPr>
        <w:t>We undertake to honor from time to time your draft or drafts at sight on us not exceeding in the aggregate Four Hundred Twenty-Four Thousand Six Hundred Forty-Four and 28/100 U.S. Dollars (U.S. $424,644.28). All drafts hereunder must be marked “Drawn under Irrevocable Letter of Credit No.</w:t>
      </w:r>
    </w:p>
    <w:p>
      <w:pPr>
        <w:ind w:left="900"/>
        <w:spacing w:after="0"/>
        <w:tabs>
          <w:tab w:leader="none" w:pos="2660" w:val="left"/>
          <w:tab w:leader="none" w:pos="3480" w:val="left"/>
        </w:tabs>
        <w:rPr>
          <w:sz w:val="20"/>
          <w:szCs w:val="20"/>
          <w:color w:val="auto"/>
        </w:rPr>
      </w:pP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2186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2186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Presentation of drafts drawn hereunder may be made at any time on or before the expiration date hereof at our offices located at</w:t>
      </w:r>
    </w:p>
    <w:p>
      <w:pPr>
        <w:spacing w:after="0" w:line="23" w:lineRule="exact"/>
        <w:rPr>
          <w:sz w:val="20"/>
          <w:szCs w:val="20"/>
          <w:color w:val="auto"/>
        </w:rPr>
      </w:pPr>
    </w:p>
    <w:p>
      <w:pPr>
        <w:ind w:left="5400" w:hanging="86"/>
        <w:spacing w:after="0"/>
        <w:tabs>
          <w:tab w:leader="none" w:pos="5400" w:val="left"/>
        </w:tabs>
        <w:numPr>
          <w:ilvl w:val="0"/>
          <w:numId w:val="672"/>
        </w:numPr>
        <w:rPr>
          <w:rFonts w:ascii="Arial" w:cs="Arial" w:eastAsia="Arial" w:hAnsi="Arial"/>
          <w:sz w:val="16"/>
          <w:szCs w:val="16"/>
          <w:color w:val="auto"/>
        </w:rPr>
      </w:pPr>
      <w:r>
        <w:rPr>
          <w:rFonts w:ascii="Arial" w:cs="Arial" w:eastAsia="Arial" w:hAnsi="Arial"/>
          <w:sz w:val="16"/>
          <w:szCs w:val="16"/>
          <w:color w:val="auto"/>
        </w:rPr>
        <w:t>Presentation on or before noon of any day other than a Saturday, Sunday or</w:t>
      </w:r>
    </w:p>
    <w:p>
      <w:pPr>
        <w:spacing w:after="0" w:line="3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other day on which all commercial banks in (city), (state) are authorized or required to be closed (“Banking Day”) shall result in payment to Beneficiary on the same date. Drafts presented after noon on any Banking Day shall result in payment to Beneficiary on the next Banking Day. We hereby waive any right that we may otherwise have to delay payment to a later date. If the expiration date is not a Banking Day, drafts presented on the first following Banking Day shall be deemed timely. Any notice of dishonor must be given within the applicable time period set forth above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-599440</wp:posOffset>
            </wp:positionV>
            <wp:extent cx="337185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37185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Partial drawings are permitted, and this Letter of Credit shall, except to the extent reduced thereby, survive any partial drawings.</w:t>
      </w:r>
    </w:p>
    <w:p>
      <w:pPr>
        <w:spacing w:after="0" w:line="225" w:lineRule="exact"/>
        <w:rPr>
          <w:sz w:val="20"/>
          <w:szCs w:val="20"/>
          <w:color w:val="auto"/>
        </w:rPr>
      </w:pPr>
    </w:p>
    <w:p>
      <w:pPr>
        <w:spacing w:after="0"/>
        <w:tabs>
          <w:tab w:leader="none" w:pos="5920" w:val="left"/>
          <w:tab w:leader="none" w:pos="6740" w:val="left"/>
        </w:tabs>
        <w:rPr>
          <w:sz w:val="20"/>
          <w:szCs w:val="20"/>
          <w:color w:val="auto"/>
        </w:rPr>
      </w:pPr>
      <w:r>
        <w:rPr>
          <w:rFonts w:ascii="Arial" w:cs="Arial" w:eastAsia="Arial" w:hAnsi="Arial"/>
          <w:sz w:val="18"/>
          <w:szCs w:val="18"/>
          <w:color w:val="auto"/>
        </w:rPr>
        <w:t>This Letter of Credit is valid through and including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-10160</wp:posOffset>
            </wp:positionV>
            <wp:extent cx="191452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It is a condition of this Letter of Credit that it shall be automatically renewed for successive terms of one (1) year from the above-stated or any future expiration date, which shall become effective without amendment unless Beneficiary receives, not less than sixty (60) days before the above-stated or any future expiration date, written notice from us (in the manner below provided) that we have elected not to renew this Letter of Credit for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3-3</w:t>
      </w:r>
    </w:p>
    <w:p>
      <w:pPr>
        <w:sectPr>
          <w:pgSz w:w="11900" w:h="16838" w:orient="portrait"/>
          <w:cols w:equalWidth="0" w:num="1">
            <w:col w:w="11020"/>
          </w:cols>
          <w:pgMar w:left="440" w:top="271" w:right="439" w:bottom="1440" w:gutter="0" w:footer="0" w:header="0"/>
          <w:type w:val="continuous"/>
        </w:sectPr>
      </w:pPr>
    </w:p>
    <w:bookmarkStart w:id="786" w:name="page787"/>
    <w:bookmarkEnd w:id="78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additional term. If Beneficiary receives such notice of non-renewal from us, then Beneficiary may at any time prior to the then current expiration date hereof present its draft for payment hereunder.</w:t>
      </w:r>
    </w:p>
    <w:p>
      <w:pPr>
        <w:spacing w:after="0" w:line="170"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Any notice to Beneficiary in connection with this Letter of Credit shall be in writing and shall be delivered in hand with receipt acknowledged, or by certified mail (return receipt requested), to The Medicines Company, 8 Sylvan Way, Parsippany, New Jersey 07054, 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-24765</wp:posOffset>
            </wp:positionV>
            <wp:extent cx="111442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(or to such other address for any such notices which Beneficiary may hereafter specify) in a written notice delivered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25717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agree that we shall have no duty or right to inquire as to the basis upon which Beneficiary has determined to present to us any draft under this Letter of Credit. We hereby waive any defense based upon any allegation of fraud.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shall not be required or entitled to inquire as to the authority of the person signing any draft or other instrument contemplated hereunder on behalf of Beneficiary, and we shall accept such signature as conclusive evidence of authority.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Letter of Credit is transferable in its entirety and not in part to any transferee. Upon any such transfer, all references herein to the beneficiary shall be automatically changed to such transferee, and draft(s) may be issued by such transferee rather than the beneficiary.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irrevocable Letter of Credit is subject to the International Standby Practices 1998 (“ISP98”), International Chamber of Commerce Publication 590 and, to the extent not inconsistent therewith, the Uniform Commercial Code of the State of California.</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All of the terms and conditions of this Letter of Credit are contained herein and shall not be altered except by reduction in the amount due to corresponding payments in like amount in compliance with the aforementioned terms. Except as otherwise expressly set forth herein, there are no conditions to this Letter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-10160</wp:posOffset>
            </wp:positionV>
            <wp:extent cx="188595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-10160</wp:posOffset>
            </wp:positionV>
            <wp:extent cx="180022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3-4</w:t>
      </w:r>
    </w:p>
    <w:p>
      <w:pPr>
        <w:sectPr>
          <w:pgSz w:w="11900" w:h="16838" w:orient="portrait"/>
          <w:cols w:equalWidth="0" w:num="1">
            <w:col w:w="10980"/>
          </w:cols>
          <w:pgMar w:left="440" w:top="274" w:right="479" w:bottom="1440" w:gutter="0" w:footer="0" w:header="0"/>
        </w:sectPr>
      </w:pPr>
    </w:p>
    <w:bookmarkStart w:id="787" w:name="page788"/>
    <w:bookmarkEnd w:id="787"/>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SUBLEASE</w:t>
      </w:r>
    </w:p>
    <w:p>
      <w:pPr>
        <w:spacing w:after="0" w:line="221" w:lineRule="exact"/>
        <w:rPr>
          <w:sz w:val="20"/>
          <w:szCs w:val="20"/>
          <w:color w:val="auto"/>
        </w:rPr>
      </w:pPr>
    </w:p>
    <w:p>
      <w:pPr>
        <w:ind w:right="100" w:firstLine="441"/>
        <w:spacing w:after="0" w:line="313" w:lineRule="auto"/>
        <w:rPr>
          <w:sz w:val="20"/>
          <w:szCs w:val="20"/>
          <w:color w:val="auto"/>
        </w:rPr>
      </w:pPr>
      <w:r>
        <w:rPr>
          <w:rFonts w:ascii="Arial" w:cs="Arial" w:eastAsia="Arial" w:hAnsi="Arial"/>
          <w:sz w:val="17"/>
          <w:szCs w:val="17"/>
          <w:color w:val="auto"/>
        </w:rPr>
        <w:t>THIS FIRST AMENDMENT TO SUBLEASE (“</w:t>
      </w:r>
      <w:r>
        <w:rPr>
          <w:rFonts w:ascii="Arial" w:cs="Arial" w:eastAsia="Arial" w:hAnsi="Arial"/>
          <w:sz w:val="17"/>
          <w:szCs w:val="17"/>
          <w:b w:val="1"/>
          <w:bCs w:val="1"/>
          <w:color w:val="auto"/>
        </w:rPr>
        <w:t>Amendment</w:t>
      </w:r>
      <w:r>
        <w:rPr>
          <w:rFonts w:ascii="Arial" w:cs="Arial" w:eastAsia="Arial" w:hAnsi="Arial"/>
          <w:sz w:val="17"/>
          <w:szCs w:val="17"/>
          <w:color w:val="auto"/>
        </w:rPr>
        <w:t>”) is made and entered into as of the 24 day of August, 2018, by and between THE MEDICINES COMPANY, a Delaware corporation (“Sublessor”), and GOSSAMER BIO, Inc., a Delaware corporation (“</w:t>
      </w:r>
      <w:r>
        <w:rPr>
          <w:rFonts w:ascii="Arial" w:cs="Arial" w:eastAsia="Arial" w:hAnsi="Arial"/>
          <w:sz w:val="17"/>
          <w:szCs w:val="17"/>
          <w:b w:val="1"/>
          <w:bCs w:val="1"/>
          <w:color w:val="auto"/>
        </w:rPr>
        <w:t>Sublessee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-200025</wp:posOffset>
            </wp:positionV>
            <wp:extent cx="17145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w:t>
      </w:r>
      <w:r>
        <w:rPr>
          <w:rFonts w:ascii="Arial" w:cs="Arial" w:eastAsia="Arial" w:hAnsi="Arial"/>
          <w:sz w:val="18"/>
          <w:szCs w:val="18"/>
          <w:color w:val="auto"/>
        </w:rPr>
        <w:t xml:space="preserve"> I </w:t>
      </w:r>
      <w:r>
        <w:rPr>
          <w:rFonts w:ascii="Arial" w:cs="Arial" w:eastAsia="Arial" w:hAnsi="Arial"/>
          <w:sz w:val="18"/>
          <w:szCs w:val="18"/>
          <w:u w:val="single" w:color="auto"/>
          <w:color w:val="auto"/>
        </w:rPr>
        <w:t>T A L S</w:t>
      </w:r>
      <w:r>
        <w:rPr>
          <w:rFonts w:ascii="Arial" w:cs="Arial" w:eastAsia="Arial" w:hAnsi="Arial"/>
          <w:sz w:val="18"/>
          <w:szCs w:val="18"/>
          <w:color w:val="auto"/>
        </w:rPr>
        <w:t xml:space="preserve"> :</w:t>
      </w:r>
    </w:p>
    <w:p>
      <w:pPr>
        <w:spacing w:after="0" w:line="221" w:lineRule="exact"/>
        <w:rPr>
          <w:sz w:val="20"/>
          <w:szCs w:val="20"/>
          <w:color w:val="auto"/>
        </w:rPr>
      </w:pPr>
    </w:p>
    <w:p>
      <w:pPr>
        <w:ind w:right="140" w:firstLine="441"/>
        <w:spacing w:after="0" w:line="281" w:lineRule="auto"/>
        <w:rPr>
          <w:sz w:val="20"/>
          <w:szCs w:val="20"/>
          <w:color w:val="auto"/>
        </w:rPr>
      </w:pPr>
      <w:r>
        <w:rPr>
          <w:rFonts w:ascii="Arial" w:cs="Arial" w:eastAsia="Arial" w:hAnsi="Arial"/>
          <w:sz w:val="17"/>
          <w:szCs w:val="17"/>
          <w:color w:val="auto"/>
        </w:rPr>
        <w:t>A. Sublessor and Sublessee entered into that certain Sublease dated as of December 29, 2017 (the “</w:t>
      </w:r>
      <w:r>
        <w:rPr>
          <w:rFonts w:ascii="Arial" w:cs="Arial" w:eastAsia="Arial" w:hAnsi="Arial"/>
          <w:sz w:val="17"/>
          <w:szCs w:val="17"/>
          <w:b w:val="1"/>
          <w:bCs w:val="1"/>
          <w:color w:val="auto"/>
        </w:rPr>
        <w:t>Original Sublease</w:t>
      </w:r>
      <w:r>
        <w:rPr>
          <w:rFonts w:ascii="Arial" w:cs="Arial" w:eastAsia="Arial" w:hAnsi="Arial"/>
          <w:sz w:val="17"/>
          <w:szCs w:val="17"/>
          <w:color w:val="auto"/>
        </w:rPr>
        <w:t>”) as amended by that certain Acknowledgement of Commencement Date and Expiration Date dated as of February 9, 2018 (“</w:t>
      </w:r>
      <w:r>
        <w:rPr>
          <w:rFonts w:ascii="Arial" w:cs="Arial" w:eastAsia="Arial" w:hAnsi="Arial"/>
          <w:sz w:val="17"/>
          <w:szCs w:val="17"/>
          <w:b w:val="1"/>
          <w:bCs w:val="1"/>
          <w:color w:val="auto"/>
        </w:rPr>
        <w:t>Commencement Memo</w:t>
      </w:r>
      <w:r>
        <w:rPr>
          <w:rFonts w:ascii="Arial" w:cs="Arial" w:eastAsia="Arial" w:hAnsi="Arial"/>
          <w:sz w:val="17"/>
          <w:szCs w:val="17"/>
          <w:color w:val="auto"/>
        </w:rPr>
        <w:t>”), whereby Sublessee Subleased certain space in the building located at 3013 Science Park Road, San Diego, California 92121 (the “</w:t>
      </w:r>
      <w:r>
        <w:rPr>
          <w:rFonts w:ascii="Arial" w:cs="Arial" w:eastAsia="Arial" w:hAnsi="Arial"/>
          <w:sz w:val="17"/>
          <w:szCs w:val="17"/>
          <w:b w:val="1"/>
          <w:bCs w:val="1"/>
          <w:color w:val="auto"/>
        </w:rPr>
        <w:t>Building</w:t>
      </w:r>
      <w:r>
        <w:rPr>
          <w:rFonts w:ascii="Arial" w:cs="Arial" w:eastAsia="Arial" w:hAnsi="Arial"/>
          <w:sz w:val="17"/>
          <w:szCs w:val="17"/>
          <w:color w:val="auto"/>
        </w:rPr>
        <w:t>”). The Original Sublease, as amended by the Commencement Memo, is referred to herein as the “Sublease.”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By this Amendment, Sublessor and Sublessee desire to expand the Premises and to otherwise modify the Sublease as provided herein.</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 Unless otherwise defined herein, capitalized terms as used herein shall have the same meanings as given thereto in the Original Sublease.</w:t>
      </w:r>
    </w:p>
    <w:p>
      <w:pPr>
        <w:spacing w:after="0" w:line="237"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 xml:space="preserve"> :</w:t>
      </w:r>
    </w:p>
    <w:p>
      <w:pPr>
        <w:spacing w:after="0" w:line="225" w:lineRule="exact"/>
        <w:rPr>
          <w:sz w:val="20"/>
          <w:szCs w:val="20"/>
          <w:color w:val="auto"/>
        </w:rPr>
      </w:pPr>
    </w:p>
    <w:p>
      <w:pPr>
        <w:ind w:right="440" w:firstLine="444"/>
        <w:spacing w:after="0" w:line="277" w:lineRule="auto"/>
        <w:tabs>
          <w:tab w:leader="none" w:pos="621" w:val="left"/>
        </w:tabs>
        <w:numPr>
          <w:ilvl w:val="1"/>
          <w:numId w:val="673"/>
        </w:numPr>
        <w:rPr>
          <w:rFonts w:ascii="Arial" w:cs="Arial" w:eastAsia="Arial" w:hAnsi="Arial"/>
          <w:sz w:val="18"/>
          <w:szCs w:val="18"/>
          <w:color w:val="auto"/>
        </w:rPr>
      </w:pPr>
      <w:r>
        <w:rPr>
          <w:rFonts w:ascii="Arial" w:cs="Arial" w:eastAsia="Arial" w:hAnsi="Arial"/>
          <w:sz w:val="18"/>
          <w:szCs w:val="18"/>
          <w:u w:val="single" w:color="auto"/>
          <w:color w:val="auto"/>
        </w:rPr>
        <w:t>The Existing Premises</w:t>
      </w:r>
      <w:r>
        <w:rPr>
          <w:rFonts w:ascii="Arial" w:cs="Arial" w:eastAsia="Arial" w:hAnsi="Arial"/>
          <w:sz w:val="18"/>
          <w:szCs w:val="18"/>
          <w:color w:val="auto"/>
        </w:rPr>
        <w:t>. Sublessor currently subleases to Sublessee that certain space containing approximately 32,039 rentable square feet located on the second (2nd) floor of the Building and known as Suites 200 and 250 (the “</w:t>
      </w:r>
      <w:r>
        <w:rPr>
          <w:rFonts w:ascii="Arial" w:cs="Arial" w:eastAsia="Arial" w:hAnsi="Arial"/>
          <w:sz w:val="18"/>
          <w:szCs w:val="18"/>
          <w:b w:val="1"/>
          <w:bCs w:val="1"/>
          <w:color w:val="auto"/>
        </w:rPr>
        <w:t>Existing Premises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444"/>
        <w:spacing w:after="0" w:line="284" w:lineRule="auto"/>
        <w:tabs>
          <w:tab w:leader="none" w:pos="621" w:val="left"/>
        </w:tabs>
        <w:numPr>
          <w:ilvl w:val="1"/>
          <w:numId w:val="673"/>
        </w:numPr>
        <w:rPr>
          <w:rFonts w:ascii="Arial" w:cs="Arial" w:eastAsia="Arial" w:hAnsi="Arial"/>
          <w:sz w:val="16"/>
          <w:szCs w:val="16"/>
          <w:color w:val="auto"/>
        </w:rPr>
      </w:pPr>
      <w:r>
        <w:rPr>
          <w:rFonts w:ascii="Arial" w:cs="Arial" w:eastAsia="Arial" w:hAnsi="Arial"/>
          <w:sz w:val="16"/>
          <w:szCs w:val="16"/>
          <w:u w:val="single" w:color="auto"/>
          <w:color w:val="auto"/>
        </w:rPr>
        <w:t>Expansion of the Premises</w:t>
      </w:r>
      <w:r>
        <w:rPr>
          <w:rFonts w:ascii="Arial" w:cs="Arial" w:eastAsia="Arial" w:hAnsi="Arial"/>
          <w:sz w:val="16"/>
          <w:szCs w:val="16"/>
          <w:color w:val="auto"/>
        </w:rPr>
        <w:t>. That certain space consisting of the entirety of the first (1st) floor of the Building and consisting of approximately 31,628 rentable square feet is referred to herein as the “</w:t>
      </w:r>
      <w:r>
        <w:rPr>
          <w:rFonts w:ascii="Arial" w:cs="Arial" w:eastAsia="Arial" w:hAnsi="Arial"/>
          <w:sz w:val="16"/>
          <w:szCs w:val="16"/>
          <w:b w:val="1"/>
          <w:bCs w:val="1"/>
          <w:color w:val="auto"/>
        </w:rPr>
        <w:t>Expansion Space</w:t>
      </w:r>
      <w:r>
        <w:rPr>
          <w:rFonts w:ascii="Arial" w:cs="Arial" w:eastAsia="Arial" w:hAnsi="Arial"/>
          <w:sz w:val="16"/>
          <w:szCs w:val="16"/>
          <w:color w:val="auto"/>
        </w:rPr>
        <w:t>.” The Expansion Space includes a vivarium consisting of approximately 4,052 rentable square feet (the “</w:t>
      </w:r>
      <w:r>
        <w:rPr>
          <w:rFonts w:ascii="Arial" w:cs="Arial" w:eastAsia="Arial" w:hAnsi="Arial"/>
          <w:sz w:val="16"/>
          <w:szCs w:val="16"/>
          <w:b w:val="1"/>
          <w:bCs w:val="1"/>
          <w:color w:val="auto"/>
        </w:rPr>
        <w:t>Vivarium</w:t>
      </w:r>
      <w:r>
        <w:rPr>
          <w:rFonts w:ascii="Arial" w:cs="Arial" w:eastAsia="Arial" w:hAnsi="Arial"/>
          <w:sz w:val="16"/>
          <w:szCs w:val="16"/>
          <w:color w:val="auto"/>
        </w:rPr>
        <w:t>”), which space will be delivered to Sublessee in advance of the Expansion Commencement Date, as more fully set forth in Section 3 below. The Expansion Space, exclusive of the Vivarium, contains approximately 27,576 rentable square feet, and such portion of the Expansion Space may be referred to herein as the “</w:t>
      </w:r>
      <w:r>
        <w:rPr>
          <w:rFonts w:ascii="Arial" w:cs="Arial" w:eastAsia="Arial" w:hAnsi="Arial"/>
          <w:sz w:val="16"/>
          <w:szCs w:val="16"/>
          <w:b w:val="1"/>
          <w:bCs w:val="1"/>
          <w:color w:val="auto"/>
        </w:rPr>
        <w:t>Remainder Space</w:t>
      </w:r>
      <w:r>
        <w:rPr>
          <w:rFonts w:ascii="Arial" w:cs="Arial" w:eastAsia="Arial" w:hAnsi="Arial"/>
          <w:sz w:val="16"/>
          <w:szCs w:val="16"/>
          <w:color w:val="auto"/>
        </w:rPr>
        <w:t>.” Sublessee shall sublease the Remainder Space effective as of the date (“</w:t>
      </w:r>
      <w:r>
        <w:rPr>
          <w:rFonts w:ascii="Arial" w:cs="Arial" w:eastAsia="Arial" w:hAnsi="Arial"/>
          <w:sz w:val="16"/>
          <w:szCs w:val="16"/>
          <w:b w:val="1"/>
          <w:bCs w:val="1"/>
          <w:color w:val="auto"/>
        </w:rPr>
        <w:t>Expansion Commencement Date</w:t>
      </w:r>
      <w:r>
        <w:rPr>
          <w:rFonts w:ascii="Arial" w:cs="Arial" w:eastAsia="Arial" w:hAnsi="Arial"/>
          <w:sz w:val="16"/>
          <w:szCs w:val="16"/>
          <w:color w:val="auto"/>
        </w:rPr>
        <w:t>”) that is the earlier of (a) the date Sublessee commences business operations in the Remainder Space, or</w:t>
      </w:r>
    </w:p>
    <w:p>
      <w:pPr>
        <w:spacing w:after="0" w:line="4" w:lineRule="exact"/>
        <w:rPr>
          <w:rFonts w:ascii="Arial" w:cs="Arial" w:eastAsia="Arial" w:hAnsi="Arial"/>
          <w:sz w:val="16"/>
          <w:szCs w:val="16"/>
          <w:color w:val="auto"/>
        </w:rPr>
      </w:pPr>
    </w:p>
    <w:p>
      <w:pPr>
        <w:jc w:val="both"/>
        <w:ind w:right="40" w:firstLine="4"/>
        <w:spacing w:after="0" w:line="252" w:lineRule="auto"/>
        <w:tabs>
          <w:tab w:leader="none" w:pos="255" w:val="left"/>
        </w:tabs>
        <w:numPr>
          <w:ilvl w:val="0"/>
          <w:numId w:val="674"/>
        </w:numPr>
        <w:rPr>
          <w:rFonts w:ascii="Arial" w:cs="Arial" w:eastAsia="Arial" w:hAnsi="Arial"/>
          <w:sz w:val="18"/>
          <w:szCs w:val="18"/>
          <w:color w:val="auto"/>
        </w:rPr>
      </w:pPr>
      <w:r>
        <w:rPr>
          <w:rFonts w:ascii="Arial" w:cs="Arial" w:eastAsia="Arial" w:hAnsi="Arial"/>
          <w:sz w:val="18"/>
          <w:szCs w:val="18"/>
          <w:color w:val="auto"/>
        </w:rPr>
        <w:t>January 1, 2019. Accordingly, effective upon the Expansion Commencement Date, the Existing Premises shall be increased to include the Expansion Space. Such addition of the Expansion Space to the Existing Premises shall, effective as of the Expansion Commencement Date, increase the number of rentable square feet subleased by Sublessee to include the entire Master Premises leased by Sublessor pursuant to the Master Lease. Except as provided in Section 3 below as to the Vivarium, Sublessor will not be in default under this Amendment if the Expansion Commencement Date is delayed for any reason. Effective as of the Expansion Commencement Date, all references to the “</w:t>
      </w:r>
      <w:r>
        <w:rPr>
          <w:rFonts w:ascii="Arial" w:cs="Arial" w:eastAsia="Arial" w:hAnsi="Arial"/>
          <w:sz w:val="18"/>
          <w:szCs w:val="18"/>
          <w:b w:val="1"/>
          <w:bCs w:val="1"/>
          <w:color w:val="auto"/>
        </w:rPr>
        <w:t>Premises</w:t>
      </w:r>
      <w:r>
        <w:rPr>
          <w:rFonts w:ascii="Arial" w:cs="Arial" w:eastAsia="Arial" w:hAnsi="Arial"/>
          <w:sz w:val="18"/>
          <w:szCs w:val="18"/>
          <w:color w:val="auto"/>
        </w:rPr>
        <w:t>” shall mean and refer to the Existing Premises as expanded by the Expansion Space.</w:t>
      </w:r>
    </w:p>
    <w:p>
      <w:pPr>
        <w:sectPr>
          <w:pgSz w:w="11900" w:h="16838" w:orient="portrait"/>
          <w:cols w:equalWidth="0" w:num="1">
            <w:col w:w="11020"/>
          </w:cols>
          <w:pgMar w:left="440" w:top="121" w:right="439" w:bottom="1440" w:gutter="0" w:footer="0" w:header="0"/>
        </w:sectPr>
      </w:pPr>
    </w:p>
    <w:bookmarkStart w:id="788" w:name="page789"/>
    <w:bookmarkEnd w:id="788"/>
    <w:p>
      <w:pPr>
        <w:ind w:left="-20" w:firstLine="444"/>
        <w:spacing w:after="0" w:line="267" w:lineRule="auto"/>
        <w:tabs>
          <w:tab w:leader="none" w:pos="601" w:val="left"/>
        </w:tabs>
        <w:numPr>
          <w:ilvl w:val="0"/>
          <w:numId w:val="6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Vivarium</w:t>
      </w:r>
      <w:r>
        <w:rPr>
          <w:rFonts w:ascii="Arial" w:cs="Arial" w:eastAsia="Arial" w:hAnsi="Arial"/>
          <w:sz w:val="17"/>
          <w:szCs w:val="17"/>
          <w:color w:val="auto"/>
        </w:rPr>
        <w:t>. Sublessee desires access to the Vivarium as soon as reasonably practicable after the full execution and delivery of this Amendment. Accordingly, the Vivarium will be delivered to Sublessee on the date (“</w:t>
      </w:r>
      <w:r>
        <w:rPr>
          <w:rFonts w:ascii="Arial" w:cs="Arial" w:eastAsia="Arial" w:hAnsi="Arial"/>
          <w:sz w:val="17"/>
          <w:szCs w:val="17"/>
          <w:b w:val="1"/>
          <w:bCs w:val="1"/>
          <w:color w:val="auto"/>
        </w:rPr>
        <w:t>Vivarium Commencement Date</w:t>
      </w:r>
      <w:r>
        <w:rPr>
          <w:rFonts w:ascii="Arial" w:cs="Arial" w:eastAsia="Arial" w:hAnsi="Arial"/>
          <w:sz w:val="17"/>
          <w:szCs w:val="17"/>
          <w:color w:val="auto"/>
        </w:rPr>
        <w:t>”), which is the later of (i) the full execution and delivery of this Amendment and (ii) receipt of Lessor’s consent to this Amendment. In the event the Vivarium has not been delivered to Sublessee by September 1, 2018 (the “</w:t>
      </w:r>
      <w:r>
        <w:rPr>
          <w:rFonts w:ascii="Arial" w:cs="Arial" w:eastAsia="Arial" w:hAnsi="Arial"/>
          <w:sz w:val="17"/>
          <w:szCs w:val="17"/>
          <w:b w:val="1"/>
          <w:bCs w:val="1"/>
          <w:color w:val="auto"/>
        </w:rPr>
        <w:t>Target Delivery Date</w:t>
      </w:r>
      <w:r>
        <w:rPr>
          <w:rFonts w:ascii="Arial" w:cs="Arial" w:eastAsia="Arial" w:hAnsi="Arial"/>
          <w:sz w:val="17"/>
          <w:szCs w:val="17"/>
          <w:color w:val="auto"/>
        </w:rPr>
        <w:t>”), which date shall be extended by any Force Majeure events or delays caused by the acts or omissions of Sublessee, then Sublessor will provide Sublessee with a rent credit equal to one day of Base Rent plus Operating Expenses, Amenities Fees and Taxes attributable to the Expansion Space for each day of delay; provided that the maximum rent credit to which Sublessee is entitled hereunder shall be thirty (30) days, regardless of when the Vivarium is delivered. Any rent credit will be applied to Sublessee’s obligation to pay Base Rent and Operating Expenses, Amenities Fees and Taxes hereunder commencing as of the Expansion Commencement Date. For example, if the Vivarium is delivered on September 10, 2018, then Sublessee will be entitled to a rent credit equal to ten (10) days of Base Rent and Operating Expenses, Amenities Fees and Taxes for the Expansion Space only, which rent credit would be applied to the first ten (10) days of the Expansion Space Term. Notwithstanding the foregoing, if the Vivarium has not been delivered to Sublessee within thirty (30) days after the Target Delivery Date (as the same may be extended), then at any time thereafter and before delivery of possession of the Vivarium to Sublessee, Sublessee may give written notice to Sublessor of Sublessee’s intention to cancel this Amendment as to the Vivarium only (i.e., the Sublease will remain in full force and effect as to the Remainder Space and the Existing Premises and only the Vivarium will be excluded). Said notice shall set forth an effective date for such cancellation which shall be at least five (5) business days after delivery of said notice to Sublessor. If the Vivarium is delivered to Sublessee on or before such effective date, this Sublease shall remain in full force and effect as to the Vivarium and Tenant’s termination notice will be revoked. If Sublessee exercises the foregoing termination right as to the Vivarium, the Base Rent, Sublessee’s Pro Rata Share and the Security Deposit will be adjusted accordingly, all references to the “Expansion Space” shall mean and refer to the Remainder Space only, and neither party will have any further liability to the other on account of such termination. Sublessee will not be permitted to use the Vivarium unless and until it provides proof of insurance meeting the requirements of the Sublease applicable to the Vivarium (and any delay caused by Sublessee’s failure to obtain insurance will not result in any rent credit).</w:t>
      </w:r>
    </w:p>
    <w:p>
      <w:pPr>
        <w:spacing w:after="0" w:line="187" w:lineRule="exact"/>
        <w:rPr>
          <w:rFonts w:ascii="Arial" w:cs="Arial" w:eastAsia="Arial" w:hAnsi="Arial"/>
          <w:sz w:val="17"/>
          <w:szCs w:val="17"/>
          <w:color w:val="auto"/>
        </w:rPr>
      </w:pPr>
    </w:p>
    <w:p>
      <w:pPr>
        <w:ind w:left="-20" w:right="100" w:firstLine="444"/>
        <w:spacing w:after="0" w:line="254" w:lineRule="auto"/>
        <w:tabs>
          <w:tab w:leader="none" w:pos="601" w:val="left"/>
        </w:tabs>
        <w:numPr>
          <w:ilvl w:val="0"/>
          <w:numId w:val="675"/>
        </w:numPr>
        <w:rPr>
          <w:rFonts w:ascii="Arial" w:cs="Arial" w:eastAsia="Arial" w:hAnsi="Arial"/>
          <w:sz w:val="18"/>
          <w:szCs w:val="18"/>
          <w:color w:val="auto"/>
        </w:rPr>
      </w:pPr>
      <w:r>
        <w:rPr>
          <w:rFonts w:ascii="Arial" w:cs="Arial" w:eastAsia="Arial" w:hAnsi="Arial"/>
          <w:sz w:val="18"/>
          <w:szCs w:val="18"/>
          <w:u w:val="single" w:color="auto"/>
          <w:color w:val="auto"/>
        </w:rPr>
        <w:t>Early Access</w:t>
      </w:r>
      <w:r>
        <w:rPr>
          <w:rFonts w:ascii="Arial" w:cs="Arial" w:eastAsia="Arial" w:hAnsi="Arial"/>
          <w:sz w:val="18"/>
          <w:szCs w:val="18"/>
          <w:color w:val="auto"/>
        </w:rPr>
        <w:t>. Sublessor will allow Sublessee access to the Remainder Space (except for Suite 150) from and after the Vivarium Commencement Date and continuing through the Expansion Commencement Date, and will allow Sublessee access to Suite 150 from and after November 1, 2018 and continuing through the Expansion Commencement Date (“</w:t>
      </w:r>
      <w:r>
        <w:rPr>
          <w:rFonts w:ascii="Arial" w:cs="Arial" w:eastAsia="Arial" w:hAnsi="Arial"/>
          <w:sz w:val="18"/>
          <w:szCs w:val="18"/>
          <w:b w:val="1"/>
          <w:bCs w:val="1"/>
          <w:color w:val="auto"/>
        </w:rPr>
        <w:t>Early Access Period</w:t>
      </w:r>
      <w:r>
        <w:rPr>
          <w:rFonts w:ascii="Arial" w:cs="Arial" w:eastAsia="Arial" w:hAnsi="Arial"/>
          <w:sz w:val="18"/>
          <w:szCs w:val="18"/>
          <w:color w:val="auto"/>
        </w:rPr>
        <w:t>”) for the sole purpose of performing any initial improvements and installation of furniture, fixtures, equipment or other leasehold improvements including but not limited to telephones, computer wiring and networking cable (provided that Sublessee will obtain the prior consent of Lessor and Sublessor to such items to the extent required by the Master Lease or this Sublease). Sublessee shall not be obligated to pay any Base Rent or Operating Expenses for the Remainder Space during the Early Access Period, but will be responsible for the payment of utilities for the Remainder Space commencing as of the first day Sublessee accesses the Remainder Space. Utility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789" w:name="page790"/>
    <w:bookmarkEnd w:id="789"/>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for the Remainder Space during the Early Access Period will be pro-rated between Sublessee and Sublessor based upon the approximate rentable area of the Remainder Space each party has the right to use in relation to the total rentable area of the Remainder Space, as reasonably determined by Sublessor. Sublessee will not be permitted to enter the Remainder Space unless and until it provides proof of insurance meeting the requirements of the Sublease applicable to the Remainder Space (but failure to provide proof of insurance will not affect Sublessee’s obligation to pay utility costs). Notwithstanding the foregoing, in the event that Sublessor has not tendered delivery of the Remainder Space to Sublessee on or before November 1, 2018 (the “</w:t>
      </w:r>
      <w:r>
        <w:rPr>
          <w:rFonts w:ascii="Arial" w:cs="Arial" w:eastAsia="Arial" w:hAnsi="Arial"/>
          <w:sz w:val="16"/>
          <w:szCs w:val="16"/>
          <w:b w:val="1"/>
          <w:bCs w:val="1"/>
          <w:color w:val="auto"/>
        </w:rPr>
        <w:t>Outside Date</w:t>
      </w:r>
      <w:r>
        <w:rPr>
          <w:rFonts w:ascii="Arial" w:cs="Arial" w:eastAsia="Arial" w:hAnsi="Arial"/>
          <w:sz w:val="16"/>
          <w:szCs w:val="16"/>
          <w:color w:val="auto"/>
        </w:rPr>
        <w:t>”), which date shall be extended on a day for day basis by delays caused by Sublessee’s acts or omissions (including, without limitation, failure to provide proof of insurance) or Force Majeure events, then as Sublessee’s sole remedy, Sublessee shall receive one (1) day of Base Rent abatement for each day after the Outside Date (as extended) until the date Sublessor tenders delivery of the Remainder Space, which abatement shall be applied to the monthly Base Rent otherwise payable for the first (1st) month after the Expansion Commencement Date.</w:t>
      </w:r>
    </w:p>
    <w:p>
      <w:pPr>
        <w:spacing w:after="0" w:line="167" w:lineRule="exact"/>
        <w:rPr>
          <w:sz w:val="20"/>
          <w:szCs w:val="20"/>
          <w:color w:val="auto"/>
        </w:rPr>
      </w:pPr>
    </w:p>
    <w:p>
      <w:pPr>
        <w:jc w:val="both"/>
        <w:ind w:right="80" w:firstLine="444"/>
        <w:spacing w:after="0" w:line="259" w:lineRule="auto"/>
        <w:tabs>
          <w:tab w:leader="none" w:pos="621" w:val="left"/>
        </w:tabs>
        <w:numPr>
          <w:ilvl w:val="0"/>
          <w:numId w:val="676"/>
        </w:numPr>
        <w:rPr>
          <w:rFonts w:ascii="Arial" w:cs="Arial" w:eastAsia="Arial" w:hAnsi="Arial"/>
          <w:sz w:val="18"/>
          <w:szCs w:val="18"/>
          <w:color w:val="auto"/>
        </w:rPr>
      </w:pPr>
      <w:r>
        <w:rPr>
          <w:rFonts w:ascii="Arial" w:cs="Arial" w:eastAsia="Arial" w:hAnsi="Arial"/>
          <w:sz w:val="18"/>
          <w:szCs w:val="18"/>
          <w:u w:val="single" w:color="auto"/>
          <w:color w:val="auto"/>
        </w:rPr>
        <w:t>Expansion Space Term</w:t>
      </w:r>
      <w:r>
        <w:rPr>
          <w:rFonts w:ascii="Arial" w:cs="Arial" w:eastAsia="Arial" w:hAnsi="Arial"/>
          <w:sz w:val="18"/>
          <w:szCs w:val="18"/>
          <w:color w:val="auto"/>
        </w:rPr>
        <w:t>. Sublessee’s lease of the Expansion Space shall commence on the Expansion Commencement Date and shall continue until December 31, 2022 (“</w:t>
      </w:r>
      <w:r>
        <w:rPr>
          <w:rFonts w:ascii="Arial" w:cs="Arial" w:eastAsia="Arial" w:hAnsi="Arial"/>
          <w:sz w:val="18"/>
          <w:szCs w:val="18"/>
          <w:b w:val="1"/>
          <w:bCs w:val="1"/>
          <w:color w:val="auto"/>
        </w:rPr>
        <w:t>Expansion Termination Date</w:t>
      </w:r>
      <w:r>
        <w:rPr>
          <w:rFonts w:ascii="Arial" w:cs="Arial" w:eastAsia="Arial" w:hAnsi="Arial"/>
          <w:sz w:val="18"/>
          <w:szCs w:val="18"/>
          <w:color w:val="auto"/>
        </w:rPr>
        <w:t>”). Tenant hereby acknowledges and agrees that Tenant’s lease of the Expansion Space is not coterminus with Tenant’s lease of the Existing Premises. The period from the Expansion Commencement Date through the Expansion Termination Date shall be referred to herein as the “</w:t>
      </w:r>
      <w:r>
        <w:rPr>
          <w:rFonts w:ascii="Arial" w:cs="Arial" w:eastAsia="Arial" w:hAnsi="Arial"/>
          <w:sz w:val="18"/>
          <w:szCs w:val="18"/>
          <w:b w:val="1"/>
          <w:bCs w:val="1"/>
          <w:color w:val="auto"/>
        </w:rPr>
        <w:t>Expansion Space Term</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0"/>
          <w:numId w:val="676"/>
        </w:numPr>
        <w:rPr>
          <w:rFonts w:ascii="Arial" w:cs="Arial" w:eastAsia="Arial" w:hAnsi="Arial"/>
          <w:sz w:val="17"/>
          <w:szCs w:val="17"/>
          <w:color w:val="auto"/>
        </w:rPr>
      </w:pPr>
      <w:r>
        <w:rPr>
          <w:rFonts w:ascii="Arial" w:cs="Arial" w:eastAsia="Arial" w:hAnsi="Arial"/>
          <w:sz w:val="17"/>
          <w:szCs w:val="17"/>
          <w:u w:val="single" w:color="auto"/>
          <w:color w:val="auto"/>
        </w:rPr>
        <w:t>Monthly Base Rent</w:t>
      </w:r>
      <w:r>
        <w:rPr>
          <w:rFonts w:ascii="Arial" w:cs="Arial" w:eastAsia="Arial" w:hAnsi="Arial"/>
          <w:sz w:val="17"/>
          <w:szCs w:val="17"/>
          <w:color w:val="auto"/>
        </w:rPr>
        <w:t>. During the Expansion Space Term, Sublessee shall pay Monthly Base Rent for the Expansion Space only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6"/>
          </w:tcPr>
          <w:p>
            <w:pPr>
              <w:jc w:val="center"/>
              <w:ind w:right="140"/>
              <w:spacing w:after="0"/>
              <w:rPr>
                <w:sz w:val="20"/>
                <w:szCs w:val="20"/>
                <w:color w:val="auto"/>
              </w:rPr>
            </w:pPr>
            <w:r>
              <w:rPr>
                <w:rFonts w:ascii="Arial" w:cs="Arial" w:eastAsia="Arial" w:hAnsi="Arial"/>
                <w:sz w:val="14"/>
                <w:szCs w:val="14"/>
                <w:color w:val="auto"/>
                <w:w w:val="94"/>
              </w:rPr>
              <w:t>Approximate</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96"/>
              </w:rPr>
              <w:t>Period of</w:t>
            </w:r>
          </w:p>
        </w:tc>
        <w:tc>
          <w:tcPr>
            <w:tcW w:w="1840" w:type="dxa"/>
            <w:vAlign w:val="bottom"/>
            <w:gridSpan w:val="2"/>
            <w:vMerge w:val="restart"/>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color w:val="auto"/>
                <w:w w:val="73"/>
              </w:rPr>
              <w:t>Square Footage</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4"/>
            <w:vMerge w:val="restart"/>
          </w:tcPr>
          <w:p>
            <w:pPr>
              <w:ind w:left="800"/>
              <w:spacing w:after="0"/>
              <w:rPr>
                <w:sz w:val="20"/>
                <w:szCs w:val="20"/>
                <w:color w:val="auto"/>
              </w:rPr>
            </w:pPr>
            <w:r>
              <w:rPr>
                <w:rFonts w:ascii="Arial" w:cs="Arial" w:eastAsia="Arial" w:hAnsi="Arial"/>
                <w:sz w:val="14"/>
                <w:szCs w:val="14"/>
                <w:color w:val="auto"/>
                <w:w w:val="97"/>
              </w:rPr>
              <w:t>Monthly Base Rent Per</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gridSpan w:val="5"/>
          </w:tcPr>
          <w:p>
            <w:pPr>
              <w:jc w:val="center"/>
              <w:ind w:right="20"/>
              <w:spacing w:after="0" w:line="129" w:lineRule="exact"/>
              <w:rPr>
                <w:sz w:val="20"/>
                <w:szCs w:val="20"/>
                <w:color w:val="auto"/>
              </w:rPr>
            </w:pPr>
            <w:r>
              <w:rPr>
                <w:rFonts w:ascii="Arial" w:cs="Arial" w:eastAsia="Arial" w:hAnsi="Arial"/>
                <w:sz w:val="14"/>
                <w:szCs w:val="14"/>
                <w:color w:val="auto"/>
                <w:w w:val="93"/>
              </w:rPr>
              <w:t>of Expansion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3"/>
                <w:szCs w:val="13"/>
                <w:color w:val="auto"/>
                <w:w w:val="90"/>
              </w:rPr>
              <w:t>Expansion Space</w:t>
            </w:r>
          </w:p>
        </w:tc>
        <w:tc>
          <w:tcPr>
            <w:tcW w:w="1840" w:type="dxa"/>
            <w:vAlign w:val="bottom"/>
            <w:gridSpan w:val="2"/>
          </w:tcPr>
          <w:p>
            <w:pPr>
              <w:ind w:left="80"/>
              <w:spacing w:after="0" w:line="109" w:lineRule="exact"/>
              <w:rPr>
                <w:sz w:val="20"/>
                <w:szCs w:val="20"/>
                <w:color w:val="auto"/>
              </w:rPr>
            </w:pPr>
            <w:r>
              <w:rPr>
                <w:rFonts w:ascii="Arial" w:cs="Arial" w:eastAsia="Arial" w:hAnsi="Arial"/>
                <w:sz w:val="12"/>
                <w:szCs w:val="12"/>
                <w:color w:val="auto"/>
              </w:rPr>
              <w:t>Term</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5"/>
          </w:tcPr>
          <w:p>
            <w:pPr>
              <w:jc w:val="center"/>
              <w:ind w:right="340"/>
              <w:spacing w:after="0" w:line="115" w:lineRule="exact"/>
              <w:rPr>
                <w:sz w:val="20"/>
                <w:szCs w:val="20"/>
                <w:color w:val="auto"/>
              </w:rPr>
            </w:pPr>
            <w:r>
              <w:rPr>
                <w:rFonts w:ascii="Arial" w:cs="Arial" w:eastAsia="Arial" w:hAnsi="Arial"/>
                <w:sz w:val="13"/>
                <w:szCs w:val="13"/>
                <w:color w:val="auto"/>
                <w:w w:val="92"/>
              </w:rPr>
              <w:t>Space</w:t>
            </w:r>
          </w:p>
        </w:tc>
        <w:tc>
          <w:tcPr>
            <w:tcW w:w="1540" w:type="dxa"/>
            <w:vAlign w:val="bottom"/>
          </w:tcPr>
          <w:p>
            <w:pPr>
              <w:spacing w:after="0"/>
              <w:rPr>
                <w:sz w:val="11"/>
                <w:szCs w:val="11"/>
                <w:color w:val="auto"/>
              </w:rPr>
            </w:pPr>
          </w:p>
        </w:tc>
        <w:tc>
          <w:tcPr>
            <w:tcW w:w="1920" w:type="dxa"/>
            <w:vAlign w:val="bottom"/>
            <w:gridSpan w:val="3"/>
          </w:tcPr>
          <w:p>
            <w:pPr>
              <w:spacing w:after="0" w:line="109" w:lineRule="exact"/>
              <w:rPr>
                <w:sz w:val="20"/>
                <w:szCs w:val="20"/>
                <w:color w:val="auto"/>
              </w:rPr>
            </w:pPr>
            <w:r>
              <w:rPr>
                <w:rFonts w:ascii="Arial" w:cs="Arial" w:eastAsia="Arial" w:hAnsi="Arial"/>
                <w:sz w:val="12"/>
                <w:szCs w:val="12"/>
                <w:color w:val="auto"/>
              </w:rPr>
              <w:t>Monthly Base Rent</w:t>
            </w:r>
          </w:p>
        </w:tc>
        <w:tc>
          <w:tcPr>
            <w:tcW w:w="2220" w:type="dxa"/>
            <w:vAlign w:val="bottom"/>
            <w:gridSpan w:val="4"/>
          </w:tcPr>
          <w:p>
            <w:pPr>
              <w:ind w:left="860"/>
              <w:spacing w:after="0" w:line="109" w:lineRule="exact"/>
              <w:rPr>
                <w:sz w:val="20"/>
                <w:szCs w:val="20"/>
                <w:color w:val="auto"/>
              </w:rPr>
            </w:pPr>
            <w:r>
              <w:rPr>
                <w:rFonts w:ascii="Arial" w:cs="Arial" w:eastAsia="Arial" w:hAnsi="Arial"/>
                <w:sz w:val="12"/>
                <w:szCs w:val="12"/>
                <w:color w:val="auto"/>
              </w:rPr>
              <w:t>Rentable Square Foot</w:t>
            </w: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320" w:type="dxa"/>
            <w:vAlign w:val="bottom"/>
            <w:tcBorders>
              <w:top w:val="single" w:sz="8" w:color="auto"/>
            </w:tcBorders>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Vivarium</w:t>
            </w:r>
          </w:p>
        </w:tc>
        <w:tc>
          <w:tcPr>
            <w:tcW w:w="1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jc w:val="center"/>
              <w:ind w:right="700"/>
              <w:spacing w:after="0"/>
              <w:rPr>
                <w:sz w:val="20"/>
                <w:szCs w:val="20"/>
                <w:color w:val="auto"/>
              </w:rPr>
            </w:pPr>
            <w:r>
              <w:rPr>
                <w:rFonts w:ascii="Arial" w:cs="Arial" w:eastAsia="Arial" w:hAnsi="Arial"/>
                <w:sz w:val="18"/>
                <w:szCs w:val="18"/>
                <w:color w:val="auto"/>
                <w:w w:val="89"/>
              </w:rPr>
              <w:t>Commencement Date – Expansion</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20" w:type="dxa"/>
            <w:vAlign w:val="bottom"/>
            <w:gridSpan w:val="5"/>
            <w:shd w:val="clear" w:color="auto" w:fill="CCEEFF"/>
          </w:tcPr>
          <w:p>
            <w:pPr>
              <w:jc w:val="center"/>
              <w:ind w:right="700"/>
              <w:spacing w:after="0"/>
              <w:rPr>
                <w:sz w:val="20"/>
                <w:szCs w:val="20"/>
                <w:color w:val="auto"/>
              </w:rPr>
            </w:pPr>
            <w:r>
              <w:rPr>
                <w:rFonts w:ascii="Arial" w:cs="Arial" w:eastAsia="Arial" w:hAnsi="Arial"/>
                <w:sz w:val="18"/>
                <w:szCs w:val="18"/>
                <w:color w:val="auto"/>
                <w:w w:val="90"/>
              </w:rPr>
              <w:t>Commencement Date</w:t>
            </w:r>
          </w:p>
        </w:tc>
        <w:tc>
          <w:tcPr>
            <w:tcW w:w="182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4,052</w:t>
            </w:r>
          </w:p>
        </w:tc>
        <w:tc>
          <w:tcPr>
            <w:tcW w:w="17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14,992.40</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2780" w:type="dxa"/>
            <w:vAlign w:val="bottom"/>
            <w:gridSpan w:val="4"/>
          </w:tcPr>
          <w:p>
            <w:pPr>
              <w:jc w:val="center"/>
              <w:ind w:right="1460"/>
              <w:spacing w:after="0" w:line="201" w:lineRule="exact"/>
              <w:rPr>
                <w:sz w:val="20"/>
                <w:szCs w:val="20"/>
                <w:color w:val="auto"/>
              </w:rPr>
            </w:pPr>
            <w:r>
              <w:rPr>
                <w:rFonts w:ascii="Arial" w:cs="Arial" w:eastAsia="Arial" w:hAnsi="Arial"/>
                <w:sz w:val="18"/>
                <w:szCs w:val="18"/>
                <w:color w:val="auto"/>
                <w:w w:val="90"/>
              </w:rPr>
              <w:t>Expansion</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5"/>
          </w:tcPr>
          <w:p>
            <w:pPr>
              <w:jc w:val="center"/>
              <w:ind w:right="700"/>
              <w:spacing w:after="0"/>
              <w:rPr>
                <w:sz w:val="20"/>
                <w:szCs w:val="20"/>
                <w:color w:val="auto"/>
              </w:rPr>
            </w:pPr>
            <w:r>
              <w:rPr>
                <w:rFonts w:ascii="Arial" w:cs="Arial" w:eastAsia="Arial" w:hAnsi="Arial"/>
                <w:sz w:val="18"/>
                <w:szCs w:val="18"/>
                <w:color w:val="auto"/>
                <w:w w:val="89"/>
              </w:rPr>
              <w:t>Commencement Date –</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gridSpan w:val="4"/>
          </w:tcPr>
          <w:p>
            <w:pPr>
              <w:jc w:val="center"/>
              <w:ind w:left="670"/>
              <w:spacing w:after="0"/>
              <w:rPr>
                <w:sz w:val="20"/>
                <w:szCs w:val="20"/>
                <w:color w:val="auto"/>
              </w:rPr>
            </w:pPr>
            <w:r>
              <w:rPr>
                <w:rFonts w:ascii="Arial" w:cs="Arial" w:eastAsia="Arial" w:hAnsi="Arial"/>
                <w:sz w:val="18"/>
                <w:szCs w:val="18"/>
                <w:color w:val="auto"/>
                <w:w w:val="89"/>
              </w:rPr>
              <w:t>1/31/19</w:t>
            </w:r>
          </w:p>
        </w:tc>
        <w:tc>
          <w:tcPr>
            <w:tcW w:w="1460" w:type="dxa"/>
            <w:vAlign w:val="bottom"/>
          </w:tcPr>
          <w:p>
            <w:pPr>
              <w:spacing w:after="0"/>
              <w:rPr>
                <w:sz w:val="21"/>
                <w:szCs w:val="21"/>
                <w:color w:val="auto"/>
              </w:rPr>
            </w:pPr>
          </w:p>
        </w:tc>
        <w:tc>
          <w:tcPr>
            <w:tcW w:w="1820" w:type="dxa"/>
            <w:vAlign w:val="bottom"/>
            <w:gridSpan w:val="9"/>
          </w:tcPr>
          <w:p>
            <w:pPr>
              <w:jc w:val="right"/>
              <w:ind w:right="60"/>
              <w:spacing w:after="0"/>
              <w:rPr>
                <w:sz w:val="20"/>
                <w:szCs w:val="20"/>
                <w:color w:val="auto"/>
              </w:rPr>
            </w:pPr>
            <w:r>
              <w:rPr>
                <w:rFonts w:ascii="Arial" w:cs="Arial" w:eastAsia="Arial" w:hAnsi="Arial"/>
                <w:sz w:val="18"/>
                <w:szCs w:val="18"/>
                <w:color w:val="auto"/>
              </w:rPr>
              <w:t>31,628</w:t>
            </w:r>
          </w:p>
        </w:tc>
        <w:tc>
          <w:tcPr>
            <w:tcW w:w="17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w w:val="99"/>
              </w:rPr>
              <w:t>117,023.60</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right="1440"/>
              <w:spacing w:after="0"/>
              <w:rPr>
                <w:sz w:val="20"/>
                <w:szCs w:val="20"/>
                <w:color w:val="auto"/>
              </w:rPr>
            </w:pPr>
            <w:r>
              <w:rPr>
                <w:rFonts w:ascii="Arial" w:cs="Arial" w:eastAsia="Arial" w:hAnsi="Arial"/>
                <w:sz w:val="18"/>
                <w:szCs w:val="18"/>
                <w:color w:val="auto"/>
                <w:w w:val="90"/>
              </w:rPr>
              <w:t>2/1/19 – 1/31/20</w:t>
            </w:r>
          </w:p>
        </w:tc>
        <w:tc>
          <w:tcPr>
            <w:tcW w:w="182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31,628</w:t>
            </w:r>
          </w:p>
        </w:tc>
        <w:tc>
          <w:tcPr>
            <w:tcW w:w="17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120,502.68</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8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2/1/20 – 1/31/21</w:t>
            </w:r>
          </w:p>
        </w:tc>
        <w:tc>
          <w:tcPr>
            <w:tcW w:w="1820" w:type="dxa"/>
            <w:vAlign w:val="bottom"/>
            <w:gridSpan w:val="9"/>
          </w:tcPr>
          <w:p>
            <w:pPr>
              <w:jc w:val="right"/>
              <w:ind w:right="60"/>
              <w:spacing w:after="0"/>
              <w:rPr>
                <w:sz w:val="20"/>
                <w:szCs w:val="20"/>
                <w:color w:val="auto"/>
              </w:rPr>
            </w:pPr>
            <w:r>
              <w:rPr>
                <w:rFonts w:ascii="Arial" w:cs="Arial" w:eastAsia="Arial" w:hAnsi="Arial"/>
                <w:sz w:val="18"/>
                <w:szCs w:val="18"/>
                <w:color w:val="auto"/>
              </w:rPr>
              <w:t>31,628</w:t>
            </w:r>
          </w:p>
        </w:tc>
        <w:tc>
          <w:tcPr>
            <w:tcW w:w="17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w w:val="99"/>
              </w:rPr>
              <w:t>124,298.04</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jc w:val="center"/>
              <w:ind w:right="1440"/>
              <w:spacing w:after="0"/>
              <w:rPr>
                <w:sz w:val="20"/>
                <w:szCs w:val="20"/>
                <w:color w:val="auto"/>
              </w:rPr>
            </w:pPr>
            <w:r>
              <w:rPr>
                <w:rFonts w:ascii="Arial" w:cs="Arial" w:eastAsia="Arial" w:hAnsi="Arial"/>
                <w:sz w:val="18"/>
                <w:szCs w:val="18"/>
                <w:color w:val="auto"/>
                <w:w w:val="90"/>
              </w:rPr>
              <w:t>2/1/21 – 1/31/22</w:t>
            </w:r>
          </w:p>
        </w:tc>
        <w:tc>
          <w:tcPr>
            <w:tcW w:w="182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31,628</w:t>
            </w:r>
          </w:p>
        </w:tc>
        <w:tc>
          <w:tcPr>
            <w:tcW w:w="17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127,777.12</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780" w:type="dxa"/>
            <w:vAlign w:val="bottom"/>
            <w:gridSpan w:val="4"/>
          </w:tcPr>
          <w:p>
            <w:pPr>
              <w:jc w:val="center"/>
              <w:ind w:right="1460"/>
              <w:spacing w:after="0"/>
              <w:rPr>
                <w:sz w:val="20"/>
                <w:szCs w:val="20"/>
                <w:color w:val="auto"/>
              </w:rPr>
            </w:pPr>
            <w:r>
              <w:rPr>
                <w:rFonts w:ascii="Arial" w:cs="Arial" w:eastAsia="Arial" w:hAnsi="Arial"/>
                <w:sz w:val="18"/>
                <w:szCs w:val="18"/>
                <w:color w:val="auto"/>
                <w:w w:val="91"/>
              </w:rPr>
              <w:t>2/1/22 – 12/31/22</w:t>
            </w:r>
          </w:p>
        </w:tc>
        <w:tc>
          <w:tcPr>
            <w:tcW w:w="1820" w:type="dxa"/>
            <w:vAlign w:val="bottom"/>
            <w:gridSpan w:val="9"/>
          </w:tcPr>
          <w:p>
            <w:pPr>
              <w:jc w:val="right"/>
              <w:ind w:right="60"/>
              <w:spacing w:after="0"/>
              <w:rPr>
                <w:sz w:val="20"/>
                <w:szCs w:val="20"/>
                <w:color w:val="auto"/>
              </w:rPr>
            </w:pPr>
            <w:r>
              <w:rPr>
                <w:rFonts w:ascii="Arial" w:cs="Arial" w:eastAsia="Arial" w:hAnsi="Arial"/>
                <w:sz w:val="18"/>
                <w:szCs w:val="18"/>
                <w:color w:val="auto"/>
              </w:rPr>
              <w:t>31,628</w:t>
            </w:r>
          </w:p>
        </w:tc>
        <w:tc>
          <w:tcPr>
            <w:tcW w:w="17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w w:val="99"/>
              </w:rPr>
              <w:t>131,572.48</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350"/>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790" w:name="page791"/>
    <w:bookmarkEnd w:id="79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any partial month at the beginning of the Expansion Space Term if the Expansion Commencement Date is not the first day of the month. Base Rent payable pursuant to this Amendment will not be subject to abatement, notwithstanding any rent abatement provided in the Original Sublease. Base Rent for the Existing Premises shall continue to be payable in accordance with the provisions of the Sublease. Although monthly Base Rent for the Existing Premises shall be calculated separately from the Base Rent for the Expansion Space, Base Rent for the entire Premises shall be a single, non-severable obligation.</w:t>
      </w:r>
    </w:p>
    <w:p>
      <w:pPr>
        <w:spacing w:after="0" w:line="188" w:lineRule="exact"/>
        <w:rPr>
          <w:sz w:val="20"/>
          <w:szCs w:val="20"/>
          <w:color w:val="auto"/>
        </w:rPr>
      </w:pPr>
    </w:p>
    <w:p>
      <w:pPr>
        <w:ind w:right="80" w:firstLine="444"/>
        <w:spacing w:after="0" w:line="297" w:lineRule="auto"/>
        <w:tabs>
          <w:tab w:leader="none" w:pos="621" w:val="left"/>
        </w:tabs>
        <w:numPr>
          <w:ilvl w:val="0"/>
          <w:numId w:val="677"/>
        </w:numPr>
        <w:rPr>
          <w:rFonts w:ascii="Arial" w:cs="Arial" w:eastAsia="Arial" w:hAnsi="Arial"/>
          <w:sz w:val="16"/>
          <w:szCs w:val="16"/>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xml:space="preserve">. Effective as of the Vivarium Commencement Date, Sublessee’s Pro Rata Share for purposes of Section 6(C) of the Original Sublease will be increased to </w:t>
      </w:r>
      <w:r>
        <w:rPr>
          <w:rFonts w:ascii="Arial" w:cs="Arial" w:eastAsia="Arial" w:hAnsi="Arial"/>
          <w:sz w:val="16"/>
          <w:szCs w:val="16"/>
          <w:b w:val="1"/>
          <w:bCs w:val="1"/>
          <w:color w:val="auto"/>
        </w:rPr>
        <w:t>57.29</w:t>
      </w:r>
      <w:r>
        <w:rPr>
          <w:rFonts w:ascii="Arial" w:cs="Arial" w:eastAsia="Arial" w:hAnsi="Arial"/>
          <w:sz w:val="16"/>
          <w:szCs w:val="16"/>
          <w:color w:val="auto"/>
        </w:rPr>
        <w:t xml:space="preserve">% (subject to adjustment in the event of a remeasurement of the Building or Premises pursuant to the Master Lease). Effective as of the Expansion Commencement Date, Sublessee’s Pro Rata Share will be increased to </w:t>
      </w:r>
      <w:r>
        <w:rPr>
          <w:rFonts w:ascii="Arial" w:cs="Arial" w:eastAsia="Arial" w:hAnsi="Arial"/>
          <w:sz w:val="16"/>
          <w:szCs w:val="16"/>
          <w:b w:val="1"/>
          <w:bCs w:val="1"/>
          <w:color w:val="auto"/>
        </w:rPr>
        <w:t>100</w:t>
      </w:r>
      <w:r>
        <w:rPr>
          <w:rFonts w:ascii="Arial" w:cs="Arial" w:eastAsia="Arial" w:hAnsi="Arial"/>
          <w:sz w:val="16"/>
          <w:szCs w:val="16"/>
          <w:color w:val="auto"/>
        </w:rPr>
        <w:t>%. Effective as of the Vivarium Commencement Date as to the Vivarium and the Expansion Commencement Date as to the Remainder Space, Sublessee will be responsible for all janitorial services and utility costs for the applicable portion of the Expansion Space pursuant to Section 6(D) of the Original Sublease.</w:t>
      </w:r>
    </w:p>
    <w:p>
      <w:pPr>
        <w:spacing w:after="0" w:line="158" w:lineRule="exact"/>
        <w:rPr>
          <w:rFonts w:ascii="Arial" w:cs="Arial" w:eastAsia="Arial" w:hAnsi="Arial"/>
          <w:sz w:val="16"/>
          <w:szCs w:val="16"/>
          <w:color w:val="auto"/>
        </w:rPr>
      </w:pPr>
    </w:p>
    <w:p>
      <w:pPr>
        <w:ind w:firstLine="444"/>
        <w:spacing w:after="0" w:line="287" w:lineRule="auto"/>
        <w:tabs>
          <w:tab w:leader="none" w:pos="621" w:val="left"/>
        </w:tabs>
        <w:numPr>
          <w:ilvl w:val="0"/>
          <w:numId w:val="677"/>
        </w:numPr>
        <w:rPr>
          <w:rFonts w:ascii="Arial" w:cs="Arial" w:eastAsia="Arial" w:hAnsi="Arial"/>
          <w:sz w:val="16"/>
          <w:szCs w:val="16"/>
          <w:color w:val="auto"/>
        </w:rPr>
      </w:pPr>
      <w:r>
        <w:rPr>
          <w:rFonts w:ascii="Arial" w:cs="Arial" w:eastAsia="Arial" w:hAnsi="Arial"/>
          <w:sz w:val="16"/>
          <w:szCs w:val="16"/>
          <w:u w:val="single" w:color="auto"/>
          <w:color w:val="auto"/>
        </w:rPr>
        <w:t>Termination Option</w:t>
      </w:r>
      <w:r>
        <w:rPr>
          <w:rFonts w:ascii="Arial" w:cs="Arial" w:eastAsia="Arial" w:hAnsi="Arial"/>
          <w:sz w:val="16"/>
          <w:szCs w:val="16"/>
          <w:color w:val="auto"/>
        </w:rPr>
        <w:t>. Provided Sublessee fully and completely satisfies each of the conditions set forth in this Section 8, Sublessee shall have the one time option (“</w:t>
      </w:r>
      <w:r>
        <w:rPr>
          <w:rFonts w:ascii="Arial" w:cs="Arial" w:eastAsia="Arial" w:hAnsi="Arial"/>
          <w:sz w:val="16"/>
          <w:szCs w:val="16"/>
          <w:b w:val="1"/>
          <w:bCs w:val="1"/>
          <w:color w:val="auto"/>
        </w:rPr>
        <w:t>Termination Option</w:t>
      </w:r>
      <w:r>
        <w:rPr>
          <w:rFonts w:ascii="Arial" w:cs="Arial" w:eastAsia="Arial" w:hAnsi="Arial"/>
          <w:sz w:val="16"/>
          <w:szCs w:val="16"/>
          <w:color w:val="auto"/>
        </w:rPr>
        <w:t>”) to terminate the Sublease as to the Expansion Space only (i.e., this Termination Option will not apply to the Existing Premises) effective as of December 31, 2021 (the “</w:t>
      </w:r>
      <w:r>
        <w:rPr>
          <w:rFonts w:ascii="Arial" w:cs="Arial" w:eastAsia="Arial" w:hAnsi="Arial"/>
          <w:sz w:val="16"/>
          <w:szCs w:val="16"/>
          <w:b w:val="1"/>
          <w:bCs w:val="1"/>
          <w:color w:val="auto"/>
        </w:rPr>
        <w:t>Termination Date</w:t>
      </w:r>
      <w:r>
        <w:rPr>
          <w:rFonts w:ascii="Arial" w:cs="Arial" w:eastAsia="Arial" w:hAnsi="Arial"/>
          <w:sz w:val="16"/>
          <w:szCs w:val="16"/>
          <w:color w:val="auto"/>
        </w:rPr>
        <w:t>”). In order to exercise the Termination Option, Sublessee must fully and completely satisfy each and every one of the following conditions: (a) Sublessee must give Sublessor written notice (“</w:t>
      </w:r>
      <w:r>
        <w:rPr>
          <w:rFonts w:ascii="Arial" w:cs="Arial" w:eastAsia="Arial" w:hAnsi="Arial"/>
          <w:sz w:val="16"/>
          <w:szCs w:val="16"/>
          <w:b w:val="1"/>
          <w:bCs w:val="1"/>
          <w:color w:val="auto"/>
        </w:rPr>
        <w:t>Termination Notice</w:t>
      </w:r>
      <w:r>
        <w:rPr>
          <w:rFonts w:ascii="Arial" w:cs="Arial" w:eastAsia="Arial" w:hAnsi="Arial"/>
          <w:sz w:val="16"/>
          <w:szCs w:val="16"/>
          <w:color w:val="auto"/>
        </w:rPr>
        <w:t>”) on or before December 31, 2020, (b) at the time of the Termination Notice Sublessee shall not be in default under the Sublease, nor shall any circumstance exist that, with the giving of notice, the passage of time, or both, would constitute a default under the Sublease beyond any applicable notice and cure period, (c) at the time of the Termination Notice and, at Sublessor’s option, as of the Termination Date, the Sublease shall not have been assigned nor shall the Premises have been further sublet (unless any further sublease contains an express provision terminating such sublease prior to the Termination Date and Sublessee delivers the Expansion Space to Sublessor on the Termination Date free from any occupancy or right of occupancy by third parties claiming through Sublessee), and (d) concurrently with Sublessee’s delivery of the Termination Notice to Sublessor, Sublessee shall pay to Sublessor a termination fee (“</w:t>
      </w:r>
      <w:r>
        <w:rPr>
          <w:rFonts w:ascii="Arial" w:cs="Arial" w:eastAsia="Arial" w:hAnsi="Arial"/>
          <w:sz w:val="16"/>
          <w:szCs w:val="16"/>
          <w:b w:val="1"/>
          <w:bCs w:val="1"/>
          <w:color w:val="auto"/>
        </w:rPr>
        <w:t>Termination Fee</w:t>
      </w:r>
      <w:r>
        <w:rPr>
          <w:rFonts w:ascii="Arial" w:cs="Arial" w:eastAsia="Arial" w:hAnsi="Arial"/>
          <w:sz w:val="16"/>
          <w:szCs w:val="16"/>
          <w:color w:val="auto"/>
        </w:rPr>
        <w:t>”) equal to Six Hundred Thousand Dollars ($600,000.00). If Sublessee fails to satisfy any of the foregoing conditions, the exercise of the Termination Option will be null and void at the option of Sublessor.</w:t>
      </w:r>
    </w:p>
    <w:p>
      <w:pPr>
        <w:spacing w:after="0" w:line="168" w:lineRule="exact"/>
        <w:rPr>
          <w:rFonts w:ascii="Arial" w:cs="Arial" w:eastAsia="Arial" w:hAnsi="Arial"/>
          <w:sz w:val="16"/>
          <w:szCs w:val="16"/>
          <w:color w:val="auto"/>
        </w:rPr>
      </w:pPr>
    </w:p>
    <w:p>
      <w:pPr>
        <w:ind w:right="360" w:firstLine="444"/>
        <w:spacing w:after="0" w:line="264" w:lineRule="auto"/>
        <w:tabs>
          <w:tab w:leader="none" w:pos="621" w:val="left"/>
        </w:tabs>
        <w:numPr>
          <w:ilvl w:val="0"/>
          <w:numId w:val="677"/>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Sublessor will provide a Surrender Plan (as defined in Article 28 of the Master Lease) to Sublessee for the Expansion Space, which plan Sublessor will endeavor to deliver on or before October 31, 2018 (provided that the Surrender Plan as to the Vivarium will be delivered prior to the Target Delivery Date).</w:t>
      </w:r>
    </w:p>
    <w:p>
      <w:pPr>
        <w:spacing w:after="0" w:line="181" w:lineRule="exact"/>
        <w:rPr>
          <w:rFonts w:ascii="Arial" w:cs="Arial" w:eastAsia="Arial" w:hAnsi="Arial"/>
          <w:sz w:val="18"/>
          <w:szCs w:val="18"/>
          <w:color w:val="auto"/>
        </w:rPr>
      </w:pPr>
    </w:p>
    <w:p>
      <w:pPr>
        <w:ind w:right="20" w:firstLine="444"/>
        <w:spacing w:after="0" w:line="259" w:lineRule="auto"/>
        <w:tabs>
          <w:tab w:leader="none" w:pos="711" w:val="left"/>
        </w:tabs>
        <w:numPr>
          <w:ilvl w:val="0"/>
          <w:numId w:val="677"/>
        </w:numPr>
        <w:rPr>
          <w:rFonts w:ascii="Arial" w:cs="Arial" w:eastAsia="Arial" w:hAnsi="Arial"/>
          <w:sz w:val="18"/>
          <w:szCs w:val="18"/>
          <w:color w:val="auto"/>
        </w:rPr>
      </w:pPr>
      <w:r>
        <w:rPr>
          <w:rFonts w:ascii="Arial" w:cs="Arial" w:eastAsia="Arial" w:hAnsi="Arial"/>
          <w:sz w:val="18"/>
          <w:szCs w:val="18"/>
          <w:u w:val="single" w:color="auto"/>
          <w:color w:val="auto"/>
        </w:rPr>
        <w:t>Sublessee Improvements</w:t>
      </w:r>
      <w:r>
        <w:rPr>
          <w:rFonts w:ascii="Arial" w:cs="Arial" w:eastAsia="Arial" w:hAnsi="Arial"/>
          <w:sz w:val="18"/>
          <w:szCs w:val="18"/>
          <w:color w:val="auto"/>
        </w:rPr>
        <w:t>. Sublessee will not make any improvements or alterations to the Expansion Space without Sublessor’s prior written consent (and the consent of Lessor if required by the Master Lease), which consent may be withheld in its reasonable discretion (provided that it shall be reasonable for Sublessor to withhold consent if Lessor withholds its consent to such alterations or requires that such alterations be removed and the Premises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5" w:right="439" w:bottom="1440" w:gutter="0" w:footer="0" w:header="0"/>
        </w:sectPr>
      </w:pPr>
    </w:p>
    <w:bookmarkStart w:id="791" w:name="page792"/>
    <w:bookmarkEnd w:id="79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restored upon lease expiration). Notwithstanding the foregoing, Sublessor consents to the removal of four (4) private interior offices within the Expansion Space as shown on Exhibit A; provided that such consent is contingent upon Sublessee obtaining the consent of Lessor pursuant to the Master Lease) All improvements or alterations will be made in accordance with Section 12 of the Master Lease. Sublessee shall pay any and all costs associated with such improvements or alterations. Sublessee shall be responsible for performing and completing the improvements or alterations and upon substantial completion thereof, Sublessee shall provide to Sublessor (i) paid invoices for all of the improvements or alterations performed, (ii) a statement by the architect or contractor that all improvements or alterations have been completed in accordance with the plans approved by Sublessor and Lessor, (iii) mechanics lien releases satisfying the requirements of California law and (iv) any other documentation reasonably requested by Sublessor or Lessor. Sublessee shall pay Sublessor a total fee of two percent (2%) of the cost of the improvements or alterations for Lessor’s and Sublessor’s role in managing or reviewing any improvements or alterations and there shall be no additional management fee/charges due from Sublessee related to improvements or alterations, unless Lessor charges any additional fee on account of the improvements or alterations, in which case Sublessee will reimburse such charges to Sublessor. The design and construction of the improvements or alterations shall be subject to Sublessor’s reasonable approval and Lessor’s approval per the Master Lease and will be constructed in accordance with all terms and conditions of the Master Lease and all applicable laws, ordinances, rules and regulations applicable to the Expansion Space. Sublessee shall use DGA Architects and DPR Construction for the space planning and construction of the improvements or alterations; provided that Lessor approves such parties. All other subcontractors and vendors used by Sublessee will be subject to the prior consent of Sublessor and Lessor. Sublessor shall use reasonable efforts to assist Sublessee in obtaining Lessor’s approval for the improvements or alterations, at no cost to Sublessor, but Sublessor will have no liability and this Amendment will not be affected in the event Lessor refuses to consent to any or all of Sublessee’s proposed improvements or alterations.</w:t>
      </w:r>
    </w:p>
    <w:p>
      <w:pPr>
        <w:spacing w:after="0" w:line="17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At the expiration of the Expansion Space Term, Sublessee may (to the extent permitted by the Master Lease) and shall (if required by Lessor or Sublessor) remove from the Expansion Space all improvements or alterations (and any Alterations subsequently installed by or on behalf of Sublessee) and Sublessee’s personal property and shall repair any damage and perform any restoration work caused by such removal and shall otherwise comply with the Master Lease requirements for restoration of the Expansion Space.</w:t>
      </w:r>
    </w:p>
    <w:p>
      <w:pPr>
        <w:spacing w:after="0" w:line="187" w:lineRule="exact"/>
        <w:rPr>
          <w:sz w:val="20"/>
          <w:szCs w:val="20"/>
          <w:color w:val="auto"/>
        </w:rPr>
      </w:pPr>
    </w:p>
    <w:p>
      <w:pPr>
        <w:ind w:firstLine="444"/>
        <w:spacing w:after="0" w:line="272" w:lineRule="auto"/>
        <w:tabs>
          <w:tab w:leader="none" w:pos="704" w:val="left"/>
        </w:tabs>
        <w:numPr>
          <w:ilvl w:val="0"/>
          <w:numId w:val="678"/>
        </w:numPr>
        <w:rPr>
          <w:rFonts w:ascii="Arial" w:cs="Arial" w:eastAsia="Arial" w:hAnsi="Arial"/>
          <w:sz w:val="17"/>
          <w:szCs w:val="17"/>
          <w:color w:val="auto"/>
        </w:rPr>
      </w:pPr>
      <w:r>
        <w:rPr>
          <w:rFonts w:ascii="Arial" w:cs="Arial" w:eastAsia="Arial" w:hAnsi="Arial"/>
          <w:sz w:val="17"/>
          <w:szCs w:val="17"/>
          <w:u w:val="single" w:color="auto"/>
          <w:color w:val="auto"/>
        </w:rPr>
        <w:t>Security Deposit; First Month Rent</w:t>
      </w:r>
      <w:r>
        <w:rPr>
          <w:rFonts w:ascii="Arial" w:cs="Arial" w:eastAsia="Arial" w:hAnsi="Arial"/>
          <w:sz w:val="17"/>
          <w:szCs w:val="17"/>
          <w:color w:val="auto"/>
        </w:rPr>
        <w:t>. Sublessee has previously deposited with Sublessor Four Hundred Twenty-Four Thousand Six Hundred Forty-Four and 28/100 Dollars ($424,644.28) as a Security Deposit under the Sublease. Concurrently with Sublessee’s execution of this Amendment, Sublessee shall deposit with Sublessor an additional One Hundred Thirty-One Thousand Five Hundred Seventy-Two and 48/100 Dollars ($131,572.48), for a total Security Deposit under the Sublease, as amended herein, of Five Hundred Fifty-Six Thousand Two Hundred Sixteen and 48/100 Dollars ($556,216.76). Sublessor shall continue to hold the Security Deposit as increased herein in accordance with the terms and conditions of Section 17 of the Original Sublease. In addition, concurrently with Sublessee’s execution of this Amendment, Sublessee shall pay to Sublessor the first monthly installment of Base Rent for the entire Expansion Space in the amount of $117,023.60.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792" w:name="page793"/>
    <w:bookmarkEnd w:id="792"/>
    <w:p>
      <w:pPr>
        <w:ind w:left="-20" w:firstLine="444"/>
        <w:spacing w:after="0" w:line="268" w:lineRule="auto"/>
        <w:tabs>
          <w:tab w:leader="none" w:pos="691" w:val="left"/>
        </w:tabs>
        <w:numPr>
          <w:ilvl w:val="0"/>
          <w:numId w:val="6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 Option</w:t>
      </w:r>
      <w:r>
        <w:rPr>
          <w:rFonts w:ascii="Arial" w:cs="Arial" w:eastAsia="Arial" w:hAnsi="Arial"/>
          <w:sz w:val="17"/>
          <w:szCs w:val="17"/>
          <w:color w:val="auto"/>
        </w:rPr>
        <w:t>. So long as Sublessee is not in default after any applicable notice and cure period and has not been in default after any applicable notice and cure period under the Sublease on more than two (2) occasions during the Expansion Space Term, Sublessee physically occupies the entire Expansion Space, and Sublessee has not assigned or further sublet the Expansion Space (except in the event of a Permitted Assignment under the Master Lease which has been consented to by Lessor to the extent required by the Master Lease), then subject to the terms of the Master Lease and the receipt of any consent required from Lessor, Sublessee shall have one (1) option to extend the Expansion Space Term as to the Expansion Space only through the expiration date of the Original Sublease as to the Existing Premises (i.e., through January 31, 2025) at a Base Rent equal to three percent (3%) over the Base Rent payable immediately preceding the commencement of such option term (which Base Rent will thereafter increase on each anniversary of the commencement date of such option term by three percent (3%)). The option contained in this Section 12 shall be exercised by Sublessee, if at all, only by delivery of written notice (“</w:t>
      </w:r>
      <w:r>
        <w:rPr>
          <w:rFonts w:ascii="Arial" w:cs="Arial" w:eastAsia="Arial" w:hAnsi="Arial"/>
          <w:sz w:val="17"/>
          <w:szCs w:val="17"/>
          <w:b w:val="1"/>
          <w:bCs w:val="1"/>
          <w:color w:val="auto"/>
        </w:rPr>
        <w:t>Option Notice</w:t>
      </w:r>
      <w:r>
        <w:rPr>
          <w:rFonts w:ascii="Arial" w:cs="Arial" w:eastAsia="Arial" w:hAnsi="Arial"/>
          <w:sz w:val="17"/>
          <w:szCs w:val="17"/>
          <w:color w:val="auto"/>
        </w:rPr>
        <w:t>”) to Sublessor no later than nine (9) months prior to the expiration of the Expansion Space Term, stating that Sublessee is exercising its option. If Sublessee timely and properly exercises its option to extend, the Expansion Space Term shall be extended upon all of the terms and conditions set forth in the Sublease, as amended, except that the Base Rent for the Expansion Space shall be as indicated above. The exercise of this option is expressly contingent upon the receipt of Lessor’s consent to the extension of the Expansion Space Term pursuant to the terms of the Master Lease.</w:t>
      </w:r>
    </w:p>
    <w:p>
      <w:pPr>
        <w:spacing w:after="0" w:line="187" w:lineRule="exact"/>
        <w:rPr>
          <w:rFonts w:ascii="Arial" w:cs="Arial" w:eastAsia="Arial" w:hAnsi="Arial"/>
          <w:sz w:val="17"/>
          <w:szCs w:val="17"/>
          <w:color w:val="auto"/>
        </w:rPr>
      </w:pPr>
    </w:p>
    <w:p>
      <w:pPr>
        <w:ind w:left="-20" w:right="140" w:firstLine="885"/>
        <w:spacing w:after="0" w:line="279" w:lineRule="auto"/>
        <w:tabs>
          <w:tab w:leader="none" w:pos="1031" w:val="left"/>
        </w:tabs>
        <w:numPr>
          <w:ilvl w:val="1"/>
          <w:numId w:val="679"/>
        </w:numPr>
        <w:rPr>
          <w:rFonts w:ascii="Arial" w:cs="Arial" w:eastAsia="Arial" w:hAnsi="Arial"/>
          <w:sz w:val="17"/>
          <w:szCs w:val="17"/>
          <w:color w:val="auto"/>
        </w:rPr>
      </w:pPr>
      <w:r>
        <w:rPr>
          <w:rFonts w:ascii="Arial" w:cs="Arial" w:eastAsia="Arial" w:hAnsi="Arial"/>
          <w:sz w:val="17"/>
          <w:szCs w:val="17"/>
          <w:color w:val="auto"/>
        </w:rPr>
        <w:t>If and only if Sublessee exercises its option to extend the Expansion Space Term as set forth above, then Sublessee shall have the further option to extend the Expansion Space Term pursuant to Section 14 of the Original Sublease as part of Sublessee’s exercise of the option to extend the Term of the Sublease through the date of expiration of the Master Lease. All terms and conditions set forth in Section 14 of the Original Sublease will apply to the exercise of such option, and the exercise of such option will extend the Term as to the entire Premises.</w:t>
      </w:r>
    </w:p>
    <w:p>
      <w:pPr>
        <w:spacing w:after="0" w:line="171" w:lineRule="exact"/>
        <w:rPr>
          <w:rFonts w:ascii="Arial" w:cs="Arial" w:eastAsia="Arial" w:hAnsi="Arial"/>
          <w:sz w:val="17"/>
          <w:szCs w:val="17"/>
          <w:color w:val="auto"/>
        </w:rPr>
      </w:pPr>
    </w:p>
    <w:p>
      <w:pPr>
        <w:ind w:left="-20" w:right="100" w:firstLine="885"/>
        <w:spacing w:after="0" w:line="257" w:lineRule="auto"/>
        <w:tabs>
          <w:tab w:leader="none" w:pos="1041" w:val="left"/>
        </w:tabs>
        <w:numPr>
          <w:ilvl w:val="1"/>
          <w:numId w:val="679"/>
        </w:numPr>
        <w:rPr>
          <w:rFonts w:ascii="Arial" w:cs="Arial" w:eastAsia="Arial" w:hAnsi="Arial"/>
          <w:sz w:val="18"/>
          <w:szCs w:val="18"/>
          <w:color w:val="auto"/>
        </w:rPr>
      </w:pPr>
      <w:r>
        <w:rPr>
          <w:rFonts w:ascii="Arial" w:cs="Arial" w:eastAsia="Arial" w:hAnsi="Arial"/>
          <w:sz w:val="18"/>
          <w:szCs w:val="18"/>
          <w:color w:val="auto"/>
        </w:rPr>
        <w:t>Except for the options specifically set forth above, nothing herein shall be construed as permitting Sublessee to exercise any extension or renewal rights or to exercise any right of first refusal or expansion, if any such rights exist, and in no event shall Sublessor be obligated to extend the term of the Master Lease for any reason. In addition, notwithstanding anything to the contrary in the Sublease, in the event the Master Lease allows Sublessor the option to terminate the Master Lease early, Sublessor’s exercise of that option shall not be a default under the Sublease, as amended herein.</w:t>
      </w:r>
    </w:p>
    <w:p>
      <w:pPr>
        <w:spacing w:after="0" w:line="188" w:lineRule="exact"/>
        <w:rPr>
          <w:rFonts w:ascii="Arial" w:cs="Arial" w:eastAsia="Arial" w:hAnsi="Arial"/>
          <w:sz w:val="18"/>
          <w:szCs w:val="18"/>
          <w:color w:val="auto"/>
        </w:rPr>
      </w:pPr>
    </w:p>
    <w:p>
      <w:pPr>
        <w:ind w:left="-20" w:right="60" w:firstLine="444"/>
        <w:spacing w:after="0" w:line="291" w:lineRule="auto"/>
        <w:tabs>
          <w:tab w:leader="none" w:pos="691" w:val="left"/>
        </w:tabs>
        <w:numPr>
          <w:ilvl w:val="0"/>
          <w:numId w:val="679"/>
        </w:numPr>
        <w:rPr>
          <w:rFonts w:ascii="Arial" w:cs="Arial" w:eastAsia="Arial" w:hAnsi="Arial"/>
          <w:sz w:val="16"/>
          <w:szCs w:val="16"/>
          <w:color w:val="auto"/>
        </w:rPr>
      </w:pPr>
      <w:r>
        <w:rPr>
          <w:rFonts w:ascii="Arial" w:cs="Arial" w:eastAsia="Arial" w:hAnsi="Arial"/>
          <w:sz w:val="16"/>
          <w:szCs w:val="16"/>
          <w:u w:val="single" w:color="auto"/>
          <w:color w:val="auto"/>
        </w:rPr>
        <w:t>Repair and Maintenance</w:t>
      </w:r>
      <w:r>
        <w:rPr>
          <w:rFonts w:ascii="Arial" w:cs="Arial" w:eastAsia="Arial" w:hAnsi="Arial"/>
          <w:sz w:val="16"/>
          <w:szCs w:val="16"/>
          <w:color w:val="auto"/>
        </w:rPr>
        <w:t>. Effective as of the Expansion Commencement Date, Sublessee will be responsible for all repairs and maintenance which Tenant is required to perform in the Expansion Space and the Existing Premises, which unless the Vivarium is excluded from Premises per Section 3 above shall be the entire Master Premises under the Master Lease, and any other repairs and maintenance of systems and equipment serving the Premises previously performed by Sublessor (including, without limitation, to the generator and deionized water system, as applicable) except for systems and equipment exclusively serving the Vivarium if it is excluded from the Premises per Section 3 above, and Sublessor shall have no obligation to perform or pay for any repairs or maintenance in the Premises (provided that Sublessor will have the right to perform any repairs or maintenance which Sublessee fails to perform, the cost of which will be reimbursed by Sublessee to Sublessor upon invoicing as Additional Rent).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5" w:right="439" w:bottom="1440" w:gutter="0" w:footer="0" w:header="0"/>
        </w:sectPr>
      </w:pPr>
    </w:p>
    <w:bookmarkStart w:id="793" w:name="page794"/>
    <w:bookmarkEnd w:id="793"/>
    <w:p>
      <w:pPr>
        <w:ind w:right="80" w:firstLine="444"/>
        <w:spacing w:after="0" w:line="269" w:lineRule="auto"/>
        <w:tabs>
          <w:tab w:leader="none" w:pos="711" w:val="left"/>
        </w:tabs>
        <w:numPr>
          <w:ilvl w:val="0"/>
          <w:numId w:val="6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CASp Disclosure</w:t>
      </w:r>
      <w:r>
        <w:rPr>
          <w:rFonts w:ascii="Arial" w:cs="Arial" w:eastAsia="Arial" w:hAnsi="Arial"/>
          <w:sz w:val="17"/>
          <w:szCs w:val="17"/>
          <w:color w:val="auto"/>
        </w:rPr>
        <w:t>. Pursuant to California Civil Code §1938, Sublessor hereby states that the Premises have not undergone inspection by a Certified Access Specialist (CASp) (defined in California Civil Code §55.52(a)(3)). Pursuant to Section 1938 of the California Civil Code, Sublessor hereby provides the following notification to Sublessee: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In the event Sublessee wishes to obtain a CASp inspection, Sublessee will be required to comply with all terms of the Master Lease and will be responsible for the payment of all costs associated with such inspection and any cost required to correct violations of construction related accessibility standards identified by the CASp inspection.</w:t>
      </w:r>
    </w:p>
    <w:p>
      <w:pPr>
        <w:spacing w:after="0" w:line="182" w:lineRule="exact"/>
        <w:rPr>
          <w:rFonts w:ascii="Arial" w:cs="Arial" w:eastAsia="Arial" w:hAnsi="Arial"/>
          <w:sz w:val="17"/>
          <w:szCs w:val="17"/>
          <w:color w:val="auto"/>
        </w:rPr>
      </w:pPr>
    </w:p>
    <w:p>
      <w:pPr>
        <w:ind w:right="60" w:firstLine="444"/>
        <w:spacing w:after="0" w:line="279" w:lineRule="auto"/>
        <w:tabs>
          <w:tab w:leader="none" w:pos="711" w:val="left"/>
        </w:tabs>
        <w:numPr>
          <w:ilvl w:val="0"/>
          <w:numId w:val="680"/>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Each party represents and warrants to the other that no broker, agent or finder negotiated or was instrumental in negotiating or consummating this Amendment, other than Jones Lang LaSalle (for Sublessor) and Hughes Marino (for Sublessee). Each party further agrees to defend, indemnify and hold harmless the other party from and against any claim for commission or finder’s fee by any person or entity who claims or alleges that they were retained or engaged by the indemnifying party or at the request of such party in connection with this Amendment.</w:t>
      </w:r>
    </w:p>
    <w:p>
      <w:pPr>
        <w:spacing w:after="0" w:line="171" w:lineRule="exact"/>
        <w:rPr>
          <w:rFonts w:ascii="Arial" w:cs="Arial" w:eastAsia="Arial" w:hAnsi="Arial"/>
          <w:sz w:val="17"/>
          <w:szCs w:val="17"/>
          <w:color w:val="auto"/>
        </w:rPr>
      </w:pPr>
    </w:p>
    <w:p>
      <w:pPr>
        <w:ind w:firstLine="444"/>
        <w:spacing w:after="0" w:line="270" w:lineRule="auto"/>
        <w:tabs>
          <w:tab w:leader="none" w:pos="711" w:val="left"/>
        </w:tabs>
        <w:numPr>
          <w:ilvl w:val="0"/>
          <w:numId w:val="680"/>
        </w:numPr>
        <w:rPr>
          <w:rFonts w:ascii="Arial" w:cs="Arial" w:eastAsia="Arial" w:hAnsi="Arial"/>
          <w:sz w:val="17"/>
          <w:szCs w:val="17"/>
          <w:color w:val="auto"/>
        </w:rPr>
      </w:pPr>
      <w:r>
        <w:rPr>
          <w:rFonts w:ascii="Arial" w:cs="Arial" w:eastAsia="Arial" w:hAnsi="Arial"/>
          <w:sz w:val="17"/>
          <w:szCs w:val="17"/>
          <w:u w:val="single" w:color="auto"/>
          <w:color w:val="auto"/>
        </w:rPr>
        <w:t>Lessor Consent</w:t>
      </w:r>
      <w:r>
        <w:rPr>
          <w:rFonts w:ascii="Arial" w:cs="Arial" w:eastAsia="Arial" w:hAnsi="Arial"/>
          <w:sz w:val="17"/>
          <w:szCs w:val="17"/>
          <w:color w:val="auto"/>
        </w:rPr>
        <w:t>. This Amendment is subject to and contingent upon Lessor’s execution of a consent document in a form reasonably acceptable to Sublessor and Sublessee within thirty (30) days of the date hereof. In the event Lessor does not execute such consent within such time, either party may terminate this Amendment (in which case the Original Sublease will remain in full force and effect notwithstanding such termination) upon written notice to the other party, which termination will be effective upon receipt. If this Amendment is terminated pursuant to this Section 16, Sublessor shall return to Sublessee the increased portion of the Security Deposit and the first month’s rent for the Expansion Space if previously paid by Sublessee to Sublessor within fifteen (15) business days after the termination date, and neither party shall have any liability to the other on account of this Amendment or any other actions between the parties prior to the termination date. For clarity, in the event of a termination, Sublessee will not be entitled to any reimbursement for costs or expenses incurred by Sublessee, including without limitation, costs incurred for space planning, ordering of furniture, materials or similar items in preparation for occupancy of the Expansion Space, and Sublessee agrees that Sublessor shall have no liability or responsibility in connection therewith.</w:t>
      </w:r>
    </w:p>
    <w:p>
      <w:pPr>
        <w:spacing w:after="0" w:line="177" w:lineRule="exact"/>
        <w:rPr>
          <w:rFonts w:ascii="Arial" w:cs="Arial" w:eastAsia="Arial" w:hAnsi="Arial"/>
          <w:sz w:val="17"/>
          <w:szCs w:val="17"/>
          <w:color w:val="auto"/>
        </w:rPr>
      </w:pPr>
    </w:p>
    <w:p>
      <w:pPr>
        <w:ind w:right="140" w:firstLine="444"/>
        <w:spacing w:after="0" w:line="279" w:lineRule="auto"/>
        <w:tabs>
          <w:tab w:leader="none" w:pos="711" w:val="left"/>
        </w:tabs>
        <w:numPr>
          <w:ilvl w:val="0"/>
          <w:numId w:val="680"/>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Each party represents and warrants to the other that: (a) it is properly formed and validly existing under the laws of the state in which it is formed and with respect to Sublessee only, is authorized to transact business in the state in which the Building is located; (b) it has full right and authority to enter into this Amendment and to perform all of its obligations hereunder (subject to Lessor’s consent); and (c) each person (and both persons if more than one signs) signing this Amendment on behalf of such party is duly and validly authorized to do so.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794" w:name="page795"/>
    <w:bookmarkEnd w:id="794"/>
    <w:p>
      <w:pPr>
        <w:ind w:left="-20" w:firstLine="444"/>
        <w:spacing w:after="0" w:line="289" w:lineRule="auto"/>
        <w:tabs>
          <w:tab w:leader="none" w:pos="691" w:val="left"/>
        </w:tabs>
        <w:numPr>
          <w:ilvl w:val="0"/>
          <w:numId w:val="6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Anti-Terrorism Laws</w:t>
      </w:r>
      <w:r>
        <w:rPr>
          <w:rFonts w:ascii="Arial" w:cs="Arial" w:eastAsia="Arial" w:hAnsi="Arial"/>
          <w:sz w:val="16"/>
          <w:szCs w:val="16"/>
          <w:color w:val="auto"/>
        </w:rPr>
        <w:t>. Sublessee and Sublessor each represent and warrant that the representing party: (i) is not, and shall not become, a person or entity with whom the other party is restricted from doing business with under regulations of the Office of Foreign Asset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(including, but not limited to, those named on OFAC’s Specially Designated and Blocked Persons list) or under any statute, executive order (including, but no limited to, the September 24, 2001 Executive Order Blocking Property and Prohibiting Transactions with Persons Who Commit, Threaten to Commit, or Support Terrorism), or other governmental action; (ii) is not knowingly engaged in, and shall not engage in, any dealings or transaction or be otherwise associated with such persons or entities described in (i) above; and (iii) is not, and shall not become, a person or entity whose activities are regulated by the International Money Laundering Abatement and Financial Anti-Terrorism Act of 2001 or the regulations or orders thereunder. Prior to any change in ownership of Sublessee, the applicable party shall sign a written statement to Sublessor affirming their compliance with the terms of this Section 18. The indemnity obligations of the Sublease shall apply to any breach of this Section.</w:t>
      </w:r>
    </w:p>
    <w:p>
      <w:pPr>
        <w:spacing w:after="0" w:line="166" w:lineRule="exact"/>
        <w:rPr>
          <w:rFonts w:ascii="Arial" w:cs="Arial" w:eastAsia="Arial" w:hAnsi="Arial"/>
          <w:sz w:val="16"/>
          <w:szCs w:val="16"/>
          <w:color w:val="auto"/>
        </w:rPr>
      </w:pPr>
    </w:p>
    <w:p>
      <w:pPr>
        <w:ind w:left="-20" w:right="180" w:firstLine="444"/>
        <w:spacing w:after="0" w:line="297" w:lineRule="auto"/>
        <w:tabs>
          <w:tab w:leader="none" w:pos="691" w:val="left"/>
        </w:tabs>
        <w:numPr>
          <w:ilvl w:val="0"/>
          <w:numId w:val="681"/>
        </w:numPr>
        <w:rPr>
          <w:rFonts w:ascii="Arial" w:cs="Arial" w:eastAsia="Arial" w:hAnsi="Arial"/>
          <w:sz w:val="16"/>
          <w:szCs w:val="16"/>
          <w:color w:val="auto"/>
        </w:rPr>
      </w:pPr>
      <w:r>
        <w:rPr>
          <w:rFonts w:ascii="Arial" w:cs="Arial" w:eastAsia="Arial" w:hAnsi="Arial"/>
          <w:sz w:val="16"/>
          <w:szCs w:val="16"/>
          <w:u w:val="single" w:color="auto"/>
          <w:color w:val="auto"/>
        </w:rPr>
        <w:t>Defaults</w:t>
      </w:r>
      <w:r>
        <w:rPr>
          <w:rFonts w:ascii="Arial" w:cs="Arial" w:eastAsia="Arial" w:hAnsi="Arial"/>
          <w:sz w:val="16"/>
          <w:szCs w:val="16"/>
          <w:color w:val="auto"/>
        </w:rPr>
        <w:t>. Sublessee hereby represents and warrants to Sublessor that, as of the date of this Amendment, Sublessee is in full compliance with all terms, covenants and conditions of the Sublease and that there are no breaches or defaults under the Sublease by Sublessor or Sublessee, and that Sublessee knows of no events or circumstances which, given the passage of time, would constitute a default under the Sublease by either Sublessor or Sublessee. Sublessor hereby warrants and represents to Sublessee that, to Sublessor’s current actual knowledge, the Master Lease is in full force and effect and Sublessor has no knowledge of any claim by Lessor that Sublessor is in default or breach of any provisions of the Master Lease.</w:t>
      </w:r>
    </w:p>
    <w:p>
      <w:pPr>
        <w:spacing w:after="0" w:line="158" w:lineRule="exact"/>
        <w:rPr>
          <w:rFonts w:ascii="Arial" w:cs="Arial" w:eastAsia="Arial" w:hAnsi="Arial"/>
          <w:sz w:val="16"/>
          <w:szCs w:val="16"/>
          <w:color w:val="auto"/>
        </w:rPr>
      </w:pPr>
    </w:p>
    <w:p>
      <w:pPr>
        <w:ind w:left="-20" w:right="40" w:firstLine="444"/>
        <w:spacing w:after="0" w:line="264" w:lineRule="auto"/>
        <w:tabs>
          <w:tab w:leader="none" w:pos="691"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No Further Modification</w:t>
      </w:r>
      <w:r>
        <w:rPr>
          <w:rFonts w:ascii="Arial" w:cs="Arial" w:eastAsia="Arial" w:hAnsi="Arial"/>
          <w:sz w:val="18"/>
          <w:szCs w:val="18"/>
          <w:color w:val="auto"/>
        </w:rPr>
        <w:t>. Except as set forth in this Amendment, all of the terms and provisions of the Sublease shall apply with respect to the Expansion Space and shall remain unmodified and in full force and effect. Effective as of the date hereof, all references to the “</w:t>
      </w:r>
      <w:r>
        <w:rPr>
          <w:rFonts w:ascii="Arial" w:cs="Arial" w:eastAsia="Arial" w:hAnsi="Arial"/>
          <w:sz w:val="18"/>
          <w:szCs w:val="18"/>
          <w:b w:val="1"/>
          <w:bCs w:val="1"/>
          <w:color w:val="auto"/>
        </w:rPr>
        <w:t>Sublease</w:t>
      </w:r>
      <w:r>
        <w:rPr>
          <w:rFonts w:ascii="Arial" w:cs="Arial" w:eastAsia="Arial" w:hAnsi="Arial"/>
          <w:sz w:val="18"/>
          <w:szCs w:val="18"/>
          <w:color w:val="auto"/>
        </w:rPr>
        <w:t>” shall refer to the Sublease as amended by this Amendment.</w:t>
      </w:r>
    </w:p>
    <w:p>
      <w:pPr>
        <w:spacing w:after="0" w:line="181" w:lineRule="exact"/>
        <w:rPr>
          <w:rFonts w:ascii="Arial" w:cs="Arial" w:eastAsia="Arial" w:hAnsi="Arial"/>
          <w:sz w:val="18"/>
          <w:szCs w:val="18"/>
          <w:color w:val="auto"/>
        </w:rPr>
      </w:pPr>
    </w:p>
    <w:p>
      <w:pPr>
        <w:ind w:left="-20" w:right="40" w:firstLine="444"/>
        <w:spacing w:after="0" w:line="259" w:lineRule="auto"/>
        <w:tabs>
          <w:tab w:leader="none" w:pos="691"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which may be delivered electronically, via facsimile or by other means. Each party may rely upon signatures delivered electronically or via facsimile as if such signatures were originals. Each counterpart of this Amendment shall be deemed to be an original, and all such counterparts (including those delivered electronically or via facsimile), when taken together, shall be deemed to constitute one and the same instrument.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795" w:name="page796"/>
    <w:bookmarkEnd w:id="7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has been executed as of the day and year first above written.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“Sublessor:”</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MEDICINES COMPANY,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Visioli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Christopher Visioli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“Sublessee”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GOSSAMER BIO,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Christian Waage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Executive Vice President &amp; General</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u w:val="single" w:color="auto"/>
          <w:color w:val="auto"/>
        </w:rPr>
        <w:t>Counsel</w:t>
      </w:r>
    </w:p>
    <w:p>
      <w:pPr>
        <w:spacing w:after="0" w:line="1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80"/>
          </w:cols>
          <w:pgMar w:left="880" w:top="275" w:right="1439" w:bottom="1440" w:gutter="0" w:footer="0" w:header="0"/>
        </w:sectPr>
      </w:pPr>
    </w:p>
    <w:bookmarkStart w:id="796" w:name="page797"/>
    <w:bookmarkEnd w:id="796"/>
    <w:p>
      <w:pPr>
        <w:ind w:left="10000"/>
        <w:spacing w:after="0"/>
        <w:rPr>
          <w:sz w:val="20"/>
          <w:szCs w:val="20"/>
          <w:color w:val="auto"/>
        </w:rPr>
      </w:pPr>
      <w:r>
        <w:rPr>
          <w:rFonts w:ascii="Arial" w:cs="Arial" w:eastAsia="Arial" w:hAnsi="Arial"/>
          <w:sz w:val="16"/>
          <w:szCs w:val="16"/>
          <w:b w:val="1"/>
          <w:bCs w:val="1"/>
          <w:color w:val="auto"/>
        </w:rPr>
        <w:t>Exhibit 10.17</w:t>
      </w:r>
    </w:p>
    <w:p>
      <w:pPr>
        <w:spacing w:after="0" w:line="24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(INDICATED BY ASTERISKS) HAS BEEN OMITTED AND FILED SEPARATELY WITH THE SECURITIES AND EXCHANGE COMMISSION PURSUANT TO A REQUEST FOR CONFIDENTIAL TREATMENT.</w:t>
      </w:r>
    </w:p>
    <w:p>
      <w:pPr>
        <w:spacing w:after="0" w:line="176"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FSG Pulmo,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FSG 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Pulmokine,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the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day of October, 2017</w:t>
      </w:r>
    </w:p>
    <w:p>
      <w:pPr>
        <w:sectPr>
          <w:pgSz w:w="11900" w:h="16838" w:orient="portrait"/>
          <w:cols w:equalWidth="0" w:num="1">
            <w:col w:w="11020"/>
          </w:cols>
          <w:pgMar w:left="440" w:top="121" w:right="439" w:bottom="1440" w:gutter="0" w:footer="0" w:header="0"/>
        </w:sectPr>
      </w:pPr>
    </w:p>
    <w:bookmarkStart w:id="797" w:name="page798"/>
    <w:bookmarkEnd w:id="797"/>
    <w:tbl>
      <w:tblPr>
        <w:tblLayout w:type="fixed"/>
        <w:tblInd w:w="0" w:type="dxa"/>
        <w:tblCellMar>
          <w:top w:w="0" w:type="dxa"/>
          <w:left w:w="0" w:type="dxa"/>
          <w:bottom w:w="0" w:type="dxa"/>
          <w:right w:w="0" w:type="dxa"/>
        </w:tblCellMar>
      </w:tblPr>
      <w:tr>
        <w:trPr>
          <w:trHeight w:val="212"/>
        </w:trPr>
        <w:tc>
          <w:tcPr>
            <w:tcW w:w="780" w:type="dxa"/>
            <w:vAlign w:val="bottom"/>
          </w:tcPr>
          <w:p>
            <w:pPr>
              <w:spacing w:after="0"/>
              <w:rPr>
                <w:sz w:val="18"/>
                <w:szCs w:val="18"/>
                <w:color w:val="auto"/>
              </w:rPr>
            </w:pPr>
          </w:p>
        </w:tc>
        <w:tc>
          <w:tcPr>
            <w:tcW w:w="7840" w:type="dxa"/>
            <w:vAlign w:val="bottom"/>
          </w:tcPr>
          <w:p>
            <w:pPr>
              <w:ind w:left="4100"/>
              <w:spacing w:after="0"/>
              <w:rPr>
                <w:sz w:val="20"/>
                <w:szCs w:val="20"/>
                <w:color w:val="auto"/>
              </w:rPr>
            </w:pPr>
            <w:r>
              <w:rPr>
                <w:rFonts w:ascii="Arial" w:cs="Arial" w:eastAsia="Arial" w:hAnsi="Arial"/>
                <w:sz w:val="18"/>
                <w:szCs w:val="18"/>
                <w:color w:val="auto"/>
              </w:rPr>
              <w:t>Table of Contents</w:t>
            </w:r>
          </w:p>
        </w:tc>
        <w:tc>
          <w:tcPr>
            <w:tcW w:w="2360" w:type="dxa"/>
            <w:vAlign w:val="bottom"/>
          </w:tcPr>
          <w:p>
            <w:pPr>
              <w:spacing w:after="0"/>
              <w:rPr>
                <w:sz w:val="18"/>
                <w:szCs w:val="18"/>
                <w:color w:val="auto"/>
              </w:rPr>
            </w:pPr>
          </w:p>
        </w:tc>
      </w:tr>
      <w:tr>
        <w:trPr>
          <w:trHeight w:val="22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 DEFINITIONS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1.1.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Definitions.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1.2.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Additional Definitions.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1.3.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Rules of Construction.</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10</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2. GRANT OF LICENSE; OTHER RIGHTS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Licenses to Licensee Under Licensed Technology; Sublicenses.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Gilead and RCTR Licenses.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Use of Affiliates and Third Party Contractors.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2.4.</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Registration and Recordation of Licenses.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2.5.</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No Implied Licenses; Retained Rights.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2.6.</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Exclusivity.</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12</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2.7.</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Field Expansion Option.</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12</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3. CONSIDERATION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Up-front Closing and Field Expansion Payment.</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Development Milestones.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Regulatory Milestones.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3.4.</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Sales Milestones.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3.5.</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Royalty.</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3.6.</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Sublicensing Income and Purchaser Income.</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3.7.</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Royalty Payment Timing; Reports of Net Sales.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3.8.</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Audits.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3.9.</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Currency.</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w w:val="99"/>
              </w:rPr>
              <w:t>3.10.</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Account.</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w w:val="99"/>
              </w:rPr>
              <w:t>3.11.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Taxes.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w w:val="99"/>
              </w:rPr>
              <w:t>3.12.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Interest on Late Payments.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w w:val="99"/>
              </w:rPr>
              <w:t>3.13.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Permitted Reductions.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w w:val="99"/>
              </w:rPr>
              <w:t>3.14.</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FSG Guaranty.</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19</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4. DEVELOPMENT AND COMMERCIALIZATION OF LICENSED PRODUCTS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Know-How and Regulatory Filings.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General.</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Regulatory.</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4.4.</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Reporting.</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4.5.</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Supply of Licensed Product.</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4.6.</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Technology Transfer.</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5. JOINT DEVELOPMENT COMMITTEE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Formation; Composition.</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Responsibilities.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5.3.</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Decision-Making.</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5.4.</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Meetings.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5.5.</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Meeting Agenda; Minutes.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22</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5.6.</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Dissolution on Change of Control.</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22</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6. INTELLECTUAL PROPERTY</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6.1.</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Patent Prosecution and Maintenance.</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22</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i w:val="1"/>
                <w:iCs w:val="1"/>
                <w:color w:val="auto"/>
              </w:rPr>
              <w:t>6.2.</w:t>
            </w:r>
          </w:p>
        </w:tc>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Enforcement of Intellectual Property Rights.</w:t>
            </w:r>
          </w:p>
        </w:tc>
        <w:tc>
          <w:tcPr>
            <w:tcW w:w="2360" w:type="dxa"/>
            <w:vAlign w:val="bottom"/>
          </w:tcPr>
          <w:p>
            <w:pPr>
              <w:jc w:val="right"/>
              <w:spacing w:after="0"/>
              <w:rPr>
                <w:sz w:val="20"/>
                <w:szCs w:val="20"/>
                <w:color w:val="auto"/>
              </w:rPr>
            </w:pPr>
            <w:r>
              <w:rPr>
                <w:rFonts w:ascii="Arial" w:cs="Arial" w:eastAsia="Arial" w:hAnsi="Arial"/>
                <w:sz w:val="18"/>
                <w:szCs w:val="18"/>
                <w:i w:val="1"/>
                <w:iCs w:val="1"/>
                <w:color w:val="auto"/>
              </w:rPr>
              <w:t>22</w:t>
            </w:r>
          </w:p>
        </w:tc>
      </w:tr>
    </w:tbl>
    <w:p>
      <w:pPr>
        <w:jc w:val="right"/>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98" w:name="page799"/>
    <w:bookmarkEnd w:id="798"/>
    <w:tbl>
      <w:tblPr>
        <w:tblLayout w:type="fixed"/>
        <w:tblInd w:w="0" w:type="dxa"/>
        <w:tblCellMar>
          <w:top w:w="0" w:type="dxa"/>
          <w:left w:w="0" w:type="dxa"/>
          <w:bottom w:w="0" w:type="dxa"/>
          <w:right w:w="0" w:type="dxa"/>
        </w:tblCellMar>
      </w:tblP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6.3.</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Third Party Actions.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6.4.</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Ownership of Inventions.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6.5.</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Patent Cooperation.</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6.6.</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Orange Book.</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2"/>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6.7.</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Patent Term Extensions.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2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7. REPRESENTATIONS, WARRANTIES AND COVENANTS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No Litigation.</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No Debarment.</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7.3.</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Corporate Existence.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7.4.</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Authority to Execute and Perform.</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7.5.</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Non-Contravention.</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7.6.</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Additional Pulmokine Representations, Warranties and Covenants.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7.7.</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No Implied Warranties.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27</w:t>
            </w:r>
          </w:p>
        </w:tc>
      </w:tr>
      <w:tr>
        <w:trPr>
          <w:trHeight w:val="31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8. CONFIDENTIALITY OBLIGATIONS OF PULMOKINE</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8.1.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Confidentiality Obligations.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27</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8.2.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Exceptions.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28</w:t>
            </w:r>
          </w:p>
        </w:tc>
      </w:tr>
      <w:tr>
        <w:trPr>
          <w:trHeight w:val="31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9. CONFIDENTIALITY OBLIGATIONS OF LICENSEE</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9.1.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Confidentiality Obligations.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9.2.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Exceptions.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29</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9.3.</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Additional Disclosure.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30</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10. SCIENTIFIC PUBLICATIONS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1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11. PRESS RELEASES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11.1.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Joint Press Release.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30</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11.2.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No Disclosure of Terms and Conditions.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31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12. INDEMNIFICATION AND INSURANCE</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12.1.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By Licensee.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12.2.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By Pulmokine.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12.3.</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Indemnification Procedure.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32</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12.4.</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33</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13. LIMITATION ON LIABILITY</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860" w:type="dxa"/>
            <w:vAlign w:val="bottom"/>
          </w:tcPr>
          <w:p>
            <w:pPr>
              <w:spacing w:after="0"/>
              <w:rPr>
                <w:sz w:val="20"/>
                <w:szCs w:val="20"/>
                <w:color w:val="auto"/>
              </w:rPr>
            </w:pPr>
            <w:r>
              <w:rPr>
                <w:rFonts w:ascii="Arial" w:cs="Arial" w:eastAsia="Arial" w:hAnsi="Arial"/>
                <w:sz w:val="18"/>
                <w:szCs w:val="18"/>
                <w:b w:val="1"/>
                <w:bCs w:val="1"/>
                <w:color w:val="auto"/>
              </w:rPr>
              <w:t>14. TERM</w:t>
            </w:r>
          </w:p>
        </w:tc>
        <w:tc>
          <w:tcPr>
            <w:tcW w:w="740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1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15. TERMINATION; EFFECT OF TERMINATION</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Termination for Convenience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15.2.</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Termination for Safety or Efficacy.</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15.3.</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Material Breach.</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15.4.</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Patent Challenge.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15.5.</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Force Majeure.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15.6.</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Insolvency.</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15.7.</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Rights Upon Certain Termination Events.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15.8.</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Return of Confidential Information.</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15.9.</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Survival.</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15.10.</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Other Remedies.</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15.11.</w:t>
            </w:r>
          </w:p>
        </w:tc>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Bankruptcy Code.</w:t>
            </w:r>
          </w:p>
        </w:tc>
        <w:tc>
          <w:tcPr>
            <w:tcW w:w="2720" w:type="dxa"/>
            <w:vAlign w:val="bottom"/>
          </w:tcPr>
          <w:p>
            <w:pPr>
              <w:jc w:val="right"/>
              <w:spacing w:after="0"/>
              <w:rPr>
                <w:sz w:val="20"/>
                <w:szCs w:val="20"/>
                <w:color w:val="auto"/>
              </w:rPr>
            </w:pPr>
            <w:r>
              <w:rPr>
                <w:rFonts w:ascii="Arial" w:cs="Arial" w:eastAsia="Arial" w:hAnsi="Arial"/>
                <w:sz w:val="18"/>
                <w:szCs w:val="18"/>
                <w:i w:val="1"/>
                <w:iCs w:val="1"/>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799" w:name="page800"/>
    <w:bookmarkEnd w:id="799"/>
    <w:tbl>
      <w:tblPr>
        <w:tblLayout w:type="fixed"/>
        <w:tblInd w:w="0" w:type="dxa"/>
        <w:tblCellMar>
          <w:top w:w="0" w:type="dxa"/>
          <w:left w:w="0" w:type="dxa"/>
          <w:bottom w:w="0" w:type="dxa"/>
          <w:right w:w="0" w:type="dxa"/>
        </w:tblCellMar>
      </w:tblPr>
      <w:tr>
        <w:trPr>
          <w:trHeight w:val="22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16. GENERAL PROVISIONS</w:t>
            </w:r>
          </w:p>
        </w:tc>
        <w:tc>
          <w:tcPr>
            <w:tcW w:w="428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16.1.</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Assignment.</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16.2.</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Right to Set-Off.</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16.3.</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Force Majeure.</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16.4.</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Governing Law.</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16.5.</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Dispute Resolution.</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16.6.</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Compliance with Laws.</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16.7.</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Headings.</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16.8.</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Waiver.</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rPr>
              <w:t>16.9.</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Notices.</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39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16.10.</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Severability.</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16.11.</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Entire Agreement.</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16.12.</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Amendment.</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16.13.</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Counterparts.</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16.14.</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Agency.</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41</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i w:val="1"/>
                <w:iCs w:val="1"/>
                <w:color w:val="auto"/>
                <w:w w:val="95"/>
              </w:rPr>
              <w:t>16.15.</w:t>
            </w:r>
          </w:p>
        </w:tc>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Further Assurances.</w:t>
            </w:r>
          </w:p>
        </w:tc>
        <w:tc>
          <w:tcPr>
            <w:tcW w:w="4280" w:type="dxa"/>
            <w:vAlign w:val="bottom"/>
          </w:tcPr>
          <w:p>
            <w:pPr>
              <w:jc w:val="right"/>
              <w:spacing w:after="0"/>
              <w:rPr>
                <w:sz w:val="20"/>
                <w:szCs w:val="20"/>
                <w:color w:val="auto"/>
              </w:rPr>
            </w:pPr>
            <w:r>
              <w:rPr>
                <w:rFonts w:ascii="Arial" w:cs="Arial" w:eastAsia="Arial" w:hAnsi="Arial"/>
                <w:sz w:val="18"/>
                <w:szCs w:val="18"/>
                <w:i w:val="1"/>
                <w:iCs w:val="1"/>
                <w:color w:val="auto"/>
              </w:rPr>
              <w:t>41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A – Backup Compound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B – Compound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C – Gilead Background Patents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D – Phase 1 Clinical Trial Plan</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E – Pulmokine-Controlled Patents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F – Pulmokine-Gilead Joint Patents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G – Asthma Compounds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H – Biomarker Patents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I – RCTR License Terms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0" w:right="479" w:bottom="1440" w:gutter="0" w:footer="0" w:header="0"/>
        </w:sectPr>
      </w:pPr>
    </w:p>
    <w:bookmarkStart w:id="800" w:name="page801"/>
    <w:bookmarkEnd w:id="8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LICENSE AGREEMENT</w:t>
      </w:r>
    </w:p>
    <w:p>
      <w:pPr>
        <w:spacing w:after="0" w:line="229"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This Exclusive License Agreement is entered into as of the 2</w:t>
      </w:r>
      <w:r>
        <w:rPr>
          <w:rFonts w:ascii="Arial" w:cs="Arial" w:eastAsia="Arial" w:hAnsi="Arial"/>
          <w:sz w:val="13"/>
          <w:szCs w:val="13"/>
          <w:color w:val="auto"/>
        </w:rPr>
        <w:t>nd</w:t>
      </w:r>
      <w:r>
        <w:rPr>
          <w:rFonts w:ascii="Arial" w:cs="Arial" w:eastAsia="Arial" w:hAnsi="Arial"/>
          <w:sz w:val="16"/>
          <w:szCs w:val="16"/>
          <w:color w:val="auto"/>
        </w:rPr>
        <w:t xml:space="preserve"> day of October, 2017, by and between FSG Pulmo, Inc., a corporation organized under the laws of the State of Delaware having its registered office at 17 Selborne Drive, Piedmont, CA 94611 USA (“</w:t>
      </w:r>
      <w:r>
        <w:rPr>
          <w:rFonts w:ascii="Arial" w:cs="Arial" w:eastAsia="Arial" w:hAnsi="Arial"/>
          <w:sz w:val="16"/>
          <w:szCs w:val="16"/>
          <w:b w:val="1"/>
          <w:bCs w:val="1"/>
          <w:color w:val="auto"/>
        </w:rPr>
        <w:t>Licensee</w:t>
      </w:r>
      <w:r>
        <w:rPr>
          <w:rFonts w:ascii="Arial" w:cs="Arial" w:eastAsia="Arial" w:hAnsi="Arial"/>
          <w:sz w:val="16"/>
          <w:szCs w:val="16"/>
          <w:color w:val="auto"/>
        </w:rPr>
        <w:t>”), Pulmokine, Inc., a corporation organized under the laws of the State of Delaware having its registered office at 68 Queen Anne Drive, Slingerlands, New York</w:t>
      </w:r>
    </w:p>
    <w:p>
      <w:pPr>
        <w:ind w:right="20"/>
        <w:spacing w:after="0" w:line="255" w:lineRule="auto"/>
        <w:rPr>
          <w:sz w:val="20"/>
          <w:szCs w:val="20"/>
          <w:color w:val="auto"/>
        </w:rPr>
      </w:pPr>
      <w:r>
        <w:rPr>
          <w:rFonts w:ascii="Arial" w:cs="Arial" w:eastAsia="Arial" w:hAnsi="Arial"/>
          <w:sz w:val="18"/>
          <w:szCs w:val="18"/>
          <w:color w:val="auto"/>
        </w:rPr>
        <w:t>12159 (“</w:t>
      </w:r>
      <w:r>
        <w:rPr>
          <w:rFonts w:ascii="Arial" w:cs="Arial" w:eastAsia="Arial" w:hAnsi="Arial"/>
          <w:sz w:val="18"/>
          <w:szCs w:val="18"/>
          <w:b w:val="1"/>
          <w:bCs w:val="1"/>
          <w:color w:val="auto"/>
        </w:rPr>
        <w:t>Pulmokine</w:t>
      </w:r>
      <w:r>
        <w:rPr>
          <w:rFonts w:ascii="Arial" w:cs="Arial" w:eastAsia="Arial" w:hAnsi="Arial"/>
          <w:sz w:val="18"/>
          <w:szCs w:val="18"/>
          <w:color w:val="auto"/>
        </w:rPr>
        <w:t>”), and solely with respect to Section 3.14, FSG Bio, Inc., a corporation organized under the laws of the State of Delaware having its registered office at 17 Selborne Drive, Piedmont, CA 94611 USA (“</w:t>
      </w:r>
      <w:r>
        <w:rPr>
          <w:rFonts w:ascii="Arial" w:cs="Arial" w:eastAsia="Arial" w:hAnsi="Arial"/>
          <w:sz w:val="18"/>
          <w:szCs w:val="18"/>
          <w:b w:val="1"/>
          <w:bCs w:val="1"/>
          <w:color w:val="auto"/>
        </w:rPr>
        <w:t>FSG</w:t>
      </w:r>
      <w:r>
        <w:rPr>
          <w:rFonts w:ascii="Arial" w:cs="Arial" w:eastAsia="Arial" w:hAnsi="Arial"/>
          <w:sz w:val="18"/>
          <w:szCs w:val="18"/>
          <w:color w:val="auto"/>
        </w:rPr>
        <w:t>”). Licensee and Pulmokine are also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right="20" w:firstLine="881"/>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Pulmokine has in-licensed from Gilead Sciences, Inc. (“</w:t>
      </w:r>
      <w:r>
        <w:rPr>
          <w:rFonts w:ascii="Arial" w:cs="Arial" w:eastAsia="Arial" w:hAnsi="Arial"/>
          <w:sz w:val="17"/>
          <w:szCs w:val="17"/>
          <w:b w:val="1"/>
          <w:bCs w:val="1"/>
          <w:color w:val="auto"/>
        </w:rPr>
        <w:t>Gilead</w:t>
      </w:r>
      <w:r>
        <w:rPr>
          <w:rFonts w:ascii="Arial" w:cs="Arial" w:eastAsia="Arial" w:hAnsi="Arial"/>
          <w:sz w:val="17"/>
          <w:szCs w:val="17"/>
          <w:color w:val="auto"/>
        </w:rPr>
        <w:t>”) and developed certain intellectual property rights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numerous compounds, including an inhaled small molecule PDGFR (platelet-derived growth factor receptor) kinase inhibitor known as PK10571 and its active metabolite known as PK10453, which are included in the Licensed Patents and Licensed Know-How (each as defined herein);</w:t>
      </w:r>
    </w:p>
    <w:p>
      <w:pPr>
        <w:spacing w:after="0" w:line="158" w:lineRule="exact"/>
        <w:rPr>
          <w:sz w:val="20"/>
          <w:szCs w:val="20"/>
          <w:color w:val="auto"/>
        </w:rPr>
      </w:pPr>
    </w:p>
    <w:p>
      <w:pPr>
        <w:ind w:right="38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Pulmokine has in-licensed from The Rensselaer Center for Translational Research, Inc. (“</w:t>
      </w:r>
      <w:r>
        <w:rPr>
          <w:rFonts w:ascii="Arial" w:cs="Arial" w:eastAsia="Arial" w:hAnsi="Arial"/>
          <w:sz w:val="18"/>
          <w:szCs w:val="18"/>
          <w:b w:val="1"/>
          <w:bCs w:val="1"/>
          <w:color w:val="auto"/>
        </w:rPr>
        <w:t>RCTR</w:t>
      </w:r>
      <w:r>
        <w:rPr>
          <w:rFonts w:ascii="Arial" w:cs="Arial" w:eastAsia="Arial" w:hAnsi="Arial"/>
          <w:sz w:val="18"/>
          <w:szCs w:val="18"/>
          <w:color w:val="auto"/>
        </w:rPr>
        <w:t>”) and developed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rights related to certain biomarkers intended to diagnose pulmonary arterial hypertension, which are included in the Licensed Patents and Licensed Know-How;</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is an Affiliate of FSG; and</w:t>
      </w:r>
    </w:p>
    <w:p>
      <w:pPr>
        <w:spacing w:after="0" w:line="225" w:lineRule="exact"/>
        <w:rPr>
          <w:sz w:val="20"/>
          <w:szCs w:val="20"/>
          <w:color w:val="auto"/>
        </w:rPr>
      </w:pPr>
    </w:p>
    <w:p>
      <w:pPr>
        <w:ind w:right="6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desires to obtain from Pulmokine an exclusive license under the Licensed Patents and an exclusive license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Know-How to further develop and commercialize products based on such molecules in certain fields in the Territory (as defined below), and Pulmokine desires to grant such licenses to Licensee, together with certain other rights.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0" w:firstLine="88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below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 Definitions.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as used in this Agreement shall have the meanings set forth in this Section:</w:t>
      </w:r>
    </w:p>
    <w:p>
      <w:pPr>
        <w:spacing w:after="0" w:line="221" w:lineRule="exact"/>
        <w:rPr>
          <w:sz w:val="20"/>
          <w:szCs w:val="20"/>
          <w:color w:val="auto"/>
        </w:rPr>
      </w:pPr>
    </w:p>
    <w:p>
      <w:pPr>
        <w:ind w:right="20" w:firstLine="881"/>
        <w:spacing w:after="0" w:line="274" w:lineRule="auto"/>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with respect to each Party, any Person that directly or indirectly is controlled by, controls or is under common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with a Party. For the purposes of this definition only, the term “control” (including, with correlative meanings, the terms “controlled by” and “under common control with”) as used with respect to a Person means (a) in the case of a corporate entity, direct or indirect ownership of voting securities entitled to cast at least fifty percent (50%) of the votes in the election of directors or (b) in the case of a non-corporate entity, direct or indirect ownership of at least fifty percent (50%) of the equity interests with the power to direct the management and policies of such entity; provided that, if local Laws restrict foreign ownership, control shall be established by direct or indirect ownership of</w:t>
      </w:r>
    </w:p>
    <w:p>
      <w:pPr>
        <w:sectPr>
          <w:pgSz w:w="11900" w:h="16838" w:orient="portrait"/>
          <w:cols w:equalWidth="0" w:num="1">
            <w:col w:w="11020"/>
          </w:cols>
          <w:pgMar w:left="440" w:top="270" w:right="439" w:bottom="1440" w:gutter="0" w:footer="0" w:header="0"/>
        </w:sectPr>
      </w:pPr>
    </w:p>
    <w:bookmarkStart w:id="801" w:name="page802"/>
    <w:bookmarkEnd w:id="80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ownership percentage that may, under such local Laws, be owned by foreign interests, but only if such lower percentage provides such Person with the power to direct the management and policies of such entity.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Exclusive License Agreement, including all of its Exhibits.</w:t>
      </w:r>
    </w:p>
    <w:p>
      <w:pPr>
        <w:spacing w:after="0" w:line="225" w:lineRule="exact"/>
        <w:rPr>
          <w:sz w:val="20"/>
          <w:szCs w:val="20"/>
          <w:color w:val="auto"/>
        </w:rPr>
      </w:pPr>
    </w:p>
    <w:p>
      <w:pPr>
        <w:ind w:right="80" w:firstLine="88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Asthma Compounds</w:t>
      </w:r>
      <w:r>
        <w:rPr>
          <w:rFonts w:ascii="Arial" w:cs="Arial" w:eastAsia="Arial" w:hAnsi="Arial"/>
          <w:sz w:val="18"/>
          <w:szCs w:val="18"/>
          <w:color w:val="auto"/>
        </w:rPr>
        <w:t xml:space="preserve">” means (a) the PDGFR kinase inhibitor compounds having the structures identified in </w:t>
      </w:r>
      <w:r>
        <w:rPr>
          <w:rFonts w:ascii="Arial" w:cs="Arial" w:eastAsia="Arial" w:hAnsi="Arial"/>
          <w:sz w:val="18"/>
          <w:szCs w:val="18"/>
          <w:u w:val="single" w:color="auto"/>
          <w:color w:val="auto"/>
        </w:rPr>
        <w:t>Exhibit G</w:t>
      </w:r>
      <w:r>
        <w:rPr>
          <w:rFonts w:ascii="Arial" w:cs="Arial" w:eastAsia="Arial" w:hAnsi="Arial"/>
          <w:sz w:val="18"/>
          <w:szCs w:val="18"/>
          <w:color w:val="auto"/>
        </w:rPr>
        <w:t>; (b) any compound [***] to the extent not set forth in subsection (a); and (c) any [***] set forth in subsections (a) or (b).</w:t>
      </w:r>
    </w:p>
    <w:p>
      <w:pPr>
        <w:spacing w:after="0" w:line="162" w:lineRule="exact"/>
        <w:rPr>
          <w:sz w:val="20"/>
          <w:szCs w:val="20"/>
          <w:color w:val="auto"/>
        </w:rPr>
      </w:pPr>
    </w:p>
    <w:p>
      <w:pPr>
        <w:ind w:right="40" w:firstLine="8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Asthma Patents</w:t>
      </w:r>
      <w:r>
        <w:rPr>
          <w:rFonts w:ascii="Arial" w:cs="Arial" w:eastAsia="Arial" w:hAnsi="Arial"/>
          <w:sz w:val="18"/>
          <w:szCs w:val="18"/>
          <w:color w:val="auto"/>
        </w:rPr>
        <w:t xml:space="preserve">” means (a) those patents and patent applications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(b) any patents and patent applications in any country claiming priority to any and all of the patent applications set forth in (a), including any continuations, continuations in part, or divisions; (c) any patents issuing from the applications described in subsections (a) or (b), including any reissues, substitutions, registrations, confirmations, re-examinations, extensions, renewals, and supplementary protection certificates thereon; and (d) any corresponding foreign patents issued on any of the foregoing.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“Backup Compound” </w:t>
      </w:r>
      <w:r>
        <w:rPr>
          <w:rFonts w:ascii="Arial" w:cs="Arial" w:eastAsia="Arial" w:hAnsi="Arial"/>
          <w:sz w:val="18"/>
          <w:szCs w:val="18"/>
          <w:color w:val="auto"/>
        </w:rPr>
        <w:t>means (a) the [***], having the structure identified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(b) [***] set forth in subsection (a).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Biomarkers</w:t>
      </w:r>
      <w:r>
        <w:rPr>
          <w:rFonts w:ascii="Arial" w:cs="Arial" w:eastAsia="Arial" w:hAnsi="Arial"/>
          <w:sz w:val="18"/>
          <w:szCs w:val="18"/>
          <w:color w:val="auto"/>
        </w:rPr>
        <w:t>” means the biomarker and methods relating thereto that are the subject of the Biomarker Patents.</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b w:val="1"/>
          <w:bCs w:val="1"/>
          <w:color w:val="auto"/>
        </w:rPr>
        <w:t xml:space="preserve">“Biomarker Patents” </w:t>
      </w:r>
      <w:r>
        <w:rPr>
          <w:rFonts w:ascii="Arial" w:cs="Arial" w:eastAsia="Arial" w:hAnsi="Arial"/>
          <w:sz w:val="17"/>
          <w:szCs w:val="17"/>
          <w:color w:val="auto"/>
        </w:rPr>
        <w:t>means (a) the patent applications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H</w:t>
      </w:r>
      <w:r>
        <w:rPr>
          <w:rFonts w:ascii="Arial" w:cs="Arial" w:eastAsia="Arial" w:hAnsi="Arial"/>
          <w:sz w:val="17"/>
          <w:szCs w:val="17"/>
          <w:color w:val="auto"/>
        </w:rPr>
        <w:t>, all divisions and continuations of these applications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country, all patents issuing from these applications, divisions, and continuations, and any reissues, reexaminations, and extensions of these patents; (b) to the extent that the following contain one or more claims directed to the invention or inventions disclosed in the patent applications identified in subsection (a): (i) continuations-in-part of those patent applications identified in subsection (a), (ii) all divisions and continuations of these continuations-in-part, (iii) all patents issuing from these continuations-in-part, divisions, and continuations, (iv) priority patent application(s) of such patent applications identified in subsection (a), and (v) any reissues, reexaminations, and extensions of such patents; and (c) to the extent that the following contain one or more claims directed to the invention or inventions disclosed in the patent applications identified in subsection (a): all counterpart foreign and U.S. patent applications and patents to those patent applications and patents identified in subsections (a) and (b), including those listed in </w:t>
      </w:r>
      <w:r>
        <w:rPr>
          <w:rFonts w:ascii="Arial" w:cs="Arial" w:eastAsia="Arial" w:hAnsi="Arial"/>
          <w:sz w:val="17"/>
          <w:szCs w:val="17"/>
          <w:u w:val="single" w:color="auto"/>
          <w:color w:val="auto"/>
        </w:rPr>
        <w:t>Exhibit H</w:t>
      </w:r>
      <w:r>
        <w:rPr>
          <w:rFonts w:ascii="Arial" w:cs="Arial" w:eastAsia="Arial" w:hAnsi="Arial"/>
          <w:sz w:val="17"/>
          <w:szCs w:val="17"/>
          <w:color w:val="auto"/>
        </w:rPr>
        <w:t>. The Biomarker Patents shall not include those patent applications or patents identified in subsection (b) or (c) hereof, to the extent that they contain one or more claims directed to new matter which is not the subject matter disclosed in the patent applications identified in subsection (a).</w:t>
      </w:r>
    </w:p>
    <w:p>
      <w:pPr>
        <w:spacing w:after="0" w:line="174" w:lineRule="exact"/>
        <w:rPr>
          <w:sz w:val="20"/>
          <w:szCs w:val="20"/>
          <w:color w:val="auto"/>
        </w:rPr>
      </w:pPr>
    </w:p>
    <w:p>
      <w:pPr>
        <w:ind w:right="100" w:firstLine="881"/>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Saturday, Sunday or any day on which commercial banks located in New York City,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to close.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“Calendar Quarter” </w:t>
      </w:r>
      <w:r>
        <w:rPr>
          <w:rFonts w:ascii="Arial" w:cs="Arial" w:eastAsia="Arial" w:hAnsi="Arial"/>
          <w:sz w:val="18"/>
          <w:szCs w:val="18"/>
          <w:color w:val="auto"/>
        </w:rPr>
        <w:t>means any consecutive three (3)-month period beginning on January 1, April 1, July 1 or October 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“Calendar Year” </w:t>
      </w:r>
      <w:r>
        <w:rPr>
          <w:rFonts w:ascii="Arial" w:cs="Arial" w:eastAsia="Arial" w:hAnsi="Arial"/>
          <w:sz w:val="18"/>
          <w:szCs w:val="18"/>
          <w:color w:val="auto"/>
        </w:rPr>
        <w:t>means any year beginning on January 1 and ending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460" w:hanging="436"/>
        <w:spacing w:after="0" w:line="277" w:lineRule="auto"/>
        <w:tabs>
          <w:tab w:leader="none" w:pos="440" w:val="left"/>
        </w:tabs>
        <w:numPr>
          <w:ilvl w:val="0"/>
          <w:numId w:val="68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802" w:name="page803"/>
    <w:bookmarkEnd w:id="802"/>
    <w:p>
      <w:pPr>
        <w:ind w:firstLine="88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with respect to a Party, the merger, consolidation, reorganization, business combination, sale of all (or substantially all) of the capital stock (or other equity interests) or assets, the change in voting control, liquidation or dissolution, the license, sale, assignment or other transfer of all or substantially all of such Party’s business or assets to which this Agreement relates, or any other form of acquisition or liquidity event. For clarity, a Change of Control of any parent of Licensee shall not be a Change of Control of Licensee for purposes of this Agreement.</w:t>
      </w:r>
    </w:p>
    <w:p>
      <w:pPr>
        <w:spacing w:after="0" w:line="184"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“Commercially Reasonable Efforts” </w:t>
      </w:r>
      <w:r>
        <w:rPr>
          <w:rFonts w:ascii="Arial" w:cs="Arial" w:eastAsia="Arial" w:hAnsi="Arial"/>
          <w:sz w:val="18"/>
          <w:szCs w:val="18"/>
          <w:color w:val="auto"/>
        </w:rPr>
        <w:t>means, with respect to the efforts and resources to be expended, or considerations to be undertaken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with respect to any objective, activity, or decision to be undertaken hereunder, the use of reasonable, good faith efforts and resources in an active and ongoing program to accomplish such task or obligation [***].</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“Complete” </w:t>
      </w:r>
      <w:r>
        <w:rPr>
          <w:rFonts w:ascii="Arial" w:cs="Arial" w:eastAsia="Arial" w:hAnsi="Arial"/>
          <w:sz w:val="16"/>
          <w:szCs w:val="16"/>
          <w:color w:val="auto"/>
        </w:rPr>
        <w:t>or</w:t>
      </w:r>
      <w:r>
        <w:rPr>
          <w:rFonts w:ascii="Arial" w:cs="Arial" w:eastAsia="Arial" w:hAnsi="Arial"/>
          <w:sz w:val="16"/>
          <w:szCs w:val="16"/>
          <w:b w:val="1"/>
          <w:bCs w:val="1"/>
          <w:color w:val="auto"/>
        </w:rPr>
        <w:t xml:space="preserve"> “Completion” </w:t>
      </w:r>
      <w:r>
        <w:rPr>
          <w:rFonts w:ascii="Arial" w:cs="Arial" w:eastAsia="Arial" w:hAnsi="Arial"/>
          <w:sz w:val="16"/>
          <w:szCs w:val="16"/>
          <w:color w:val="auto"/>
        </w:rPr>
        <w:t>means, with respect to the Phase 1 Clinical Trial for the initial Licensed Product, finalization of the study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ind w:right="660" w:firstLine="881"/>
        <w:spacing w:after="0" w:line="282" w:lineRule="auto"/>
        <w:rPr>
          <w:sz w:val="20"/>
          <w:szCs w:val="20"/>
          <w:color w:val="auto"/>
        </w:rPr>
      </w:pPr>
      <w:r>
        <w:rPr>
          <w:rFonts w:ascii="Arial" w:cs="Arial" w:eastAsia="Arial" w:hAnsi="Arial"/>
          <w:sz w:val="18"/>
          <w:szCs w:val="18"/>
          <w:b w:val="1"/>
          <w:bCs w:val="1"/>
          <w:color w:val="auto"/>
        </w:rPr>
        <w:t xml:space="preserve">“Compound” </w:t>
      </w:r>
      <w:r>
        <w:rPr>
          <w:rFonts w:ascii="Arial" w:cs="Arial" w:eastAsia="Arial" w:hAnsi="Arial"/>
          <w:sz w:val="18"/>
          <w:szCs w:val="18"/>
          <w:color w:val="auto"/>
        </w:rPr>
        <w:t>means (a) the small molecule PDGFR kinase inhibitor known as of the Effective Date as [***], having the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identified in </w:t>
      </w:r>
      <w:r>
        <w:rPr>
          <w:rFonts w:ascii="Arial" w:cs="Arial" w:eastAsia="Arial" w:hAnsi="Arial"/>
          <w:sz w:val="18"/>
          <w:szCs w:val="18"/>
          <w:u w:val="single" w:color="auto"/>
          <w:color w:val="auto"/>
        </w:rPr>
        <w:t>Exhibit B</w:t>
      </w:r>
      <w:r>
        <w:rPr>
          <w:rFonts w:ascii="Arial" w:cs="Arial" w:eastAsia="Arial" w:hAnsi="Arial"/>
          <w:sz w:val="18"/>
          <w:szCs w:val="18"/>
          <w:color w:val="auto"/>
        </w:rPr>
        <w:t>, and (b) [***]of the small molecule PDGFR kinase inhibitor set forth in subsection (a), [***].</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Licensee Confidential Information or Pulmokine Confidential Information.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the Confidentiality Agreement between the Parties dated May 21, 2017.</w:t>
      </w:r>
    </w:p>
    <w:p>
      <w:pPr>
        <w:spacing w:after="0" w:line="225" w:lineRule="exact"/>
        <w:rPr>
          <w:sz w:val="20"/>
          <w:szCs w:val="20"/>
          <w:color w:val="auto"/>
        </w:rPr>
      </w:pPr>
    </w:p>
    <w:p>
      <w:pPr>
        <w:jc w:val="both"/>
        <w:ind w:right="200" w:firstLine="881"/>
        <w:spacing w:after="0" w:line="266"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or</w:t>
      </w:r>
      <w:r>
        <w:rPr>
          <w:rFonts w:ascii="Arial" w:cs="Arial" w:eastAsia="Arial" w:hAnsi="Arial"/>
          <w:sz w:val="18"/>
          <w:szCs w:val="18"/>
          <w:b w:val="1"/>
          <w:bCs w:val="1"/>
          <w:color w:val="auto"/>
        </w:rPr>
        <w:t xml:space="preserve"> “Controlled” </w:t>
      </w:r>
      <w:r>
        <w:rPr>
          <w:rFonts w:ascii="Arial" w:cs="Arial" w:eastAsia="Arial" w:hAnsi="Arial"/>
          <w:sz w:val="18"/>
          <w:szCs w:val="18"/>
          <w:color w:val="auto"/>
        </w:rPr>
        <w:t>means, with respect to any Data, Information or Scientific Information, materials, patent, trademark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right, possession of the ability to grant a license, sublicense or access as provided for under this Agreement without violating the terms of any agreement or other arrangement with any Third Party.</w:t>
      </w:r>
    </w:p>
    <w:p>
      <w:pPr>
        <w:spacing w:after="0" w:line="176" w:lineRule="exact"/>
        <w:rPr>
          <w:sz w:val="20"/>
          <w:szCs w:val="20"/>
          <w:color w:val="auto"/>
        </w:rPr>
      </w:pPr>
    </w:p>
    <w:p>
      <w:pPr>
        <w:jc w:val="both"/>
        <w:ind w:right="40" w:firstLine="881"/>
        <w:spacing w:after="0" w:line="266" w:lineRule="auto"/>
        <w:rPr>
          <w:sz w:val="20"/>
          <w:szCs w:val="20"/>
          <w:color w:val="auto"/>
        </w:rPr>
      </w:pPr>
      <w:r>
        <w:rPr>
          <w:rFonts w:ascii="Arial" w:cs="Arial" w:eastAsia="Arial" w:hAnsi="Arial"/>
          <w:sz w:val="18"/>
          <w:szCs w:val="18"/>
          <w:b w:val="1"/>
          <w:bCs w:val="1"/>
          <w:color w:val="auto"/>
        </w:rPr>
        <w:t xml:space="preserve">“Cover”, “Covered” </w:t>
      </w:r>
      <w:r>
        <w:rPr>
          <w:rFonts w:ascii="Arial" w:cs="Arial" w:eastAsia="Arial" w:hAnsi="Arial"/>
          <w:sz w:val="18"/>
          <w:szCs w:val="18"/>
          <w:color w:val="auto"/>
        </w:rPr>
        <w:t>or</w:t>
      </w:r>
      <w:r>
        <w:rPr>
          <w:rFonts w:ascii="Arial" w:cs="Arial" w:eastAsia="Arial" w:hAnsi="Arial"/>
          <w:sz w:val="18"/>
          <w:szCs w:val="18"/>
          <w:b w:val="1"/>
          <w:bCs w:val="1"/>
          <w:color w:val="auto"/>
        </w:rPr>
        <w:t xml:space="preserve"> “Covering” </w:t>
      </w:r>
      <w:r>
        <w:rPr>
          <w:rFonts w:ascii="Arial" w:cs="Arial" w:eastAsia="Arial" w:hAnsi="Arial"/>
          <w:sz w:val="18"/>
          <w:szCs w:val="18"/>
          <w:color w:val="auto"/>
        </w:rPr>
        <w:t>means, with respect to a particular product and a particular patent (or patent application), that, but for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granted to a Person hereunder, the making, using or selling of such product would infringe a Valid Claim in such patent (or patent application, as if such claim has issued).</w:t>
      </w:r>
    </w:p>
    <w:p>
      <w:pPr>
        <w:spacing w:after="0" w:line="176"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b w:val="1"/>
          <w:bCs w:val="1"/>
          <w:color w:val="auto"/>
        </w:rPr>
        <w:t xml:space="preserve">“Data” </w:t>
      </w:r>
      <w:r>
        <w:rPr>
          <w:rFonts w:ascii="Arial" w:cs="Arial" w:eastAsia="Arial" w:hAnsi="Arial"/>
          <w:sz w:val="18"/>
          <w:szCs w:val="18"/>
          <w:color w:val="auto"/>
        </w:rPr>
        <w:t>means any and all research, pharmacology, medicinal chemistry, chemistry, manufacturing and controls, nonclinical,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data (including investigator reports and clinical study reports (both preliminary and final), statistical analyses, key expert reports, safety and other electronic databases), all to the extent Controlled by a Party, in each case, relating to the Compound, Backup Compound, Asthma Compound, Biomarkers or Licensed Products.</w:t>
      </w:r>
    </w:p>
    <w:p>
      <w:pPr>
        <w:spacing w:after="0" w:line="180" w:lineRule="exact"/>
        <w:rPr>
          <w:sz w:val="20"/>
          <w:szCs w:val="20"/>
          <w:color w:val="auto"/>
        </w:rPr>
      </w:pPr>
    </w:p>
    <w:p>
      <w:pPr>
        <w:ind w:right="60" w:firstLine="881"/>
        <w:spacing w:after="0" w:line="282" w:lineRule="auto"/>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later of: (a) the date set forth above in the first line of this Agreement; and (b) the date of Licensee’s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Up-front Closing Payment.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“EMA” </w:t>
      </w:r>
      <w:r>
        <w:rPr>
          <w:rFonts w:ascii="Arial" w:cs="Arial" w:eastAsia="Arial" w:hAnsi="Arial"/>
          <w:sz w:val="18"/>
          <w:szCs w:val="18"/>
          <w:color w:val="auto"/>
        </w:rPr>
        <w:t>means the European Medicines Agency or any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400" w:hanging="436"/>
        <w:spacing w:after="0" w:line="277" w:lineRule="auto"/>
        <w:tabs>
          <w:tab w:leader="none" w:pos="440" w:val="left"/>
        </w:tabs>
        <w:numPr>
          <w:ilvl w:val="0"/>
          <w:numId w:val="68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803" w:name="page804"/>
    <w:bookmarkEnd w:id="803"/>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“European Union” </w:t>
      </w:r>
      <w:r>
        <w:rPr>
          <w:rFonts w:ascii="Arial" w:cs="Arial" w:eastAsia="Arial" w:hAnsi="Arial"/>
          <w:sz w:val="18"/>
          <w:szCs w:val="18"/>
          <w:color w:val="auto"/>
        </w:rPr>
        <w:t>or</w:t>
      </w:r>
      <w:r>
        <w:rPr>
          <w:rFonts w:ascii="Arial" w:cs="Arial" w:eastAsia="Arial" w:hAnsi="Arial"/>
          <w:sz w:val="18"/>
          <w:szCs w:val="18"/>
          <w:b w:val="1"/>
          <w:bCs w:val="1"/>
          <w:color w:val="auto"/>
        </w:rPr>
        <w:t xml:space="preserve"> “EU” </w:t>
      </w:r>
      <w:r>
        <w:rPr>
          <w:rFonts w:ascii="Arial" w:cs="Arial" w:eastAsia="Arial" w:hAnsi="Arial"/>
          <w:sz w:val="18"/>
          <w:szCs w:val="18"/>
          <w:color w:val="auto"/>
        </w:rPr>
        <w:t>means the association of European nations based on the Maastrict Treaty of 1992.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means the United States Food and Drug Administration or any successor entity thereto.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“FDCA Act” </w:t>
      </w:r>
      <w:r>
        <w:rPr>
          <w:rFonts w:ascii="Arial" w:cs="Arial" w:eastAsia="Arial" w:hAnsi="Arial"/>
          <w:sz w:val="17"/>
          <w:szCs w:val="17"/>
          <w:color w:val="auto"/>
        </w:rPr>
        <w:t>means the U.S. Federal Food, Drug, and Cosmetic Act, as amended from time to time, and the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right="120" w:firstLine="881"/>
        <w:spacing w:after="0" w:line="266" w:lineRule="auto"/>
        <w:rPr>
          <w:sz w:val="20"/>
          <w:szCs w:val="20"/>
          <w:color w:val="auto"/>
        </w:rPr>
      </w:pPr>
      <w:r>
        <w:rPr>
          <w:rFonts w:ascii="Arial" w:cs="Arial" w:eastAsia="Arial" w:hAnsi="Arial"/>
          <w:sz w:val="18"/>
          <w:szCs w:val="18"/>
          <w:b w:val="1"/>
          <w:bCs w:val="1"/>
          <w:color w:val="auto"/>
        </w:rPr>
        <w:t xml:space="preserve">“First Commercial Sale” </w:t>
      </w:r>
      <w:r>
        <w:rPr>
          <w:rFonts w:ascii="Arial" w:cs="Arial" w:eastAsia="Arial" w:hAnsi="Arial"/>
          <w:sz w:val="18"/>
          <w:szCs w:val="18"/>
          <w:color w:val="auto"/>
        </w:rPr>
        <w:t>means, with respect to any particular Licensed Product, the first arm’s length commercial sale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by Licensee or an Affiliate or Sublicensee of Licensee to a Third Party in the Licensed Product Field in the Territory following Regulatory Approval of such Licensed Product.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consistently applied.</w:t>
      </w:r>
    </w:p>
    <w:p>
      <w:pPr>
        <w:spacing w:after="0" w:line="225" w:lineRule="exact"/>
        <w:rPr>
          <w:sz w:val="20"/>
          <w:szCs w:val="20"/>
          <w:color w:val="auto"/>
        </w:rPr>
      </w:pPr>
    </w:p>
    <w:p>
      <w:pPr>
        <w:jc w:val="both"/>
        <w:ind w:right="100" w:firstLine="881"/>
        <w:spacing w:after="0" w:line="266" w:lineRule="auto"/>
        <w:rPr>
          <w:sz w:val="20"/>
          <w:szCs w:val="20"/>
          <w:color w:val="auto"/>
        </w:rPr>
      </w:pPr>
      <w:r>
        <w:rPr>
          <w:rFonts w:ascii="Arial" w:cs="Arial" w:eastAsia="Arial" w:hAnsi="Arial"/>
          <w:sz w:val="18"/>
          <w:szCs w:val="18"/>
          <w:b w:val="1"/>
          <w:bCs w:val="1"/>
          <w:color w:val="auto"/>
        </w:rPr>
        <w:t xml:space="preserve">“GCP” </w:t>
      </w:r>
      <w:r>
        <w:rPr>
          <w:rFonts w:ascii="Arial" w:cs="Arial" w:eastAsia="Arial" w:hAnsi="Arial"/>
          <w:sz w:val="18"/>
          <w:szCs w:val="18"/>
          <w:color w:val="auto"/>
        </w:rPr>
        <w:t>means then current good clinical practices and other standards, practices and procedures related to the conduct of clinical trials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by ICH and similar regulatory requirements imposed by FDA, EMA or any other Regulatory Authorities in the Territory that are applicable to the Licensed Product.</w:t>
      </w:r>
    </w:p>
    <w:p>
      <w:pPr>
        <w:spacing w:after="0" w:line="176"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b w:val="1"/>
          <w:bCs w:val="1"/>
          <w:color w:val="auto"/>
        </w:rPr>
        <w:t xml:space="preserve">“Gilead Background Patents” </w:t>
      </w:r>
      <w:r>
        <w:rPr>
          <w:rFonts w:ascii="Arial" w:cs="Arial" w:eastAsia="Arial" w:hAnsi="Arial"/>
          <w:sz w:val="18"/>
          <w:szCs w:val="18"/>
          <w:color w:val="auto"/>
        </w:rPr>
        <w:t>means (a) those patents and patent applications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(b) any patents and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in any country claiming priority to any and all of the patent applications set forth in (a), including any continuations, continuations in part, or divisions; (c) any patents issuing from the applications described in (a) or (b), including any reissues, substitutions, registrations, confirmations, re-examinations, extensions, renewals, and supplementary protection certificates thereon; and (d) any corresponding foreign patents issued on any of the foregoing.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“Gilead License” </w:t>
      </w:r>
      <w:r>
        <w:rPr>
          <w:rFonts w:ascii="Arial" w:cs="Arial" w:eastAsia="Arial" w:hAnsi="Arial"/>
          <w:sz w:val="16"/>
          <w:szCs w:val="16"/>
          <w:color w:val="auto"/>
        </w:rPr>
        <w:t>means that certain Amended and Restated License Agreement between Gilead and Pulmokine dated May 15, 2017.</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“ICH” </w:t>
      </w:r>
      <w:r>
        <w:rPr>
          <w:rFonts w:ascii="Arial" w:cs="Arial" w:eastAsia="Arial" w:hAnsi="Arial"/>
          <w:sz w:val="18"/>
          <w:szCs w:val="18"/>
          <w:color w:val="auto"/>
        </w:rPr>
        <w:t>means the International Conference on Harmonisation.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“IND” </w:t>
      </w:r>
      <w:r>
        <w:rPr>
          <w:rFonts w:ascii="Arial" w:cs="Arial" w:eastAsia="Arial" w:hAnsi="Arial"/>
          <w:sz w:val="17"/>
          <w:szCs w:val="17"/>
          <w:color w:val="auto"/>
        </w:rPr>
        <w:t>means an Investigational New Drug filing with FDA, as defined in the FDCA Act, including all supplements and amendments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right="120" w:firstLine="881"/>
        <w:spacing w:after="0" w:line="298" w:lineRule="auto"/>
        <w:rPr>
          <w:sz w:val="20"/>
          <w:szCs w:val="20"/>
          <w:color w:val="auto"/>
        </w:rPr>
      </w:pPr>
      <w:r>
        <w:rPr>
          <w:rFonts w:ascii="Arial" w:cs="Arial" w:eastAsia="Arial" w:hAnsi="Arial"/>
          <w:sz w:val="16"/>
          <w:szCs w:val="16"/>
          <w:b w:val="1"/>
          <w:bCs w:val="1"/>
          <w:color w:val="auto"/>
        </w:rPr>
        <w:t xml:space="preserve">“Improvement” </w:t>
      </w:r>
      <w:r>
        <w:rPr>
          <w:rFonts w:ascii="Arial" w:cs="Arial" w:eastAsia="Arial" w:hAnsi="Arial"/>
          <w:sz w:val="16"/>
          <w:szCs w:val="16"/>
          <w:color w:val="auto"/>
        </w:rPr>
        <w:t>means any patentable or unpatentable improvements, changes, inventions or discoveries, inclusive of all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rights therein, in which one or more employees, officers, directors, contractors or agents of Licensee, its Affiliates or Sublicensees (or as applicable together with one or more employees, officers, directors, contractors or agents of Pulmokine) have contributed to the making, development, conception and/or reduction to practice of such improvement, change, invention or discovery, and that (a) is described in the Licensed Patents, or (b) if not for the license granted pursuant to Section 2.1 of this Agreement, would infringe one or more claims of the Licensed Patents.</w:t>
      </w:r>
    </w:p>
    <w:p>
      <w:pPr>
        <w:spacing w:after="0" w:line="154" w:lineRule="exact"/>
        <w:rPr>
          <w:sz w:val="20"/>
          <w:szCs w:val="20"/>
          <w:color w:val="auto"/>
        </w:rPr>
      </w:pPr>
    </w:p>
    <w:p>
      <w:pPr>
        <w:ind w:right="360" w:firstLine="881"/>
        <w:spacing w:after="0" w:line="289" w:lineRule="auto"/>
        <w:rPr>
          <w:sz w:val="20"/>
          <w:szCs w:val="20"/>
          <w:color w:val="auto"/>
        </w:rPr>
      </w:pPr>
      <w:r>
        <w:rPr>
          <w:rFonts w:ascii="Arial" w:cs="Arial" w:eastAsia="Arial" w:hAnsi="Arial"/>
          <w:sz w:val="17"/>
          <w:szCs w:val="17"/>
          <w:b w:val="1"/>
          <w:bCs w:val="1"/>
          <w:color w:val="auto"/>
        </w:rPr>
        <w:t xml:space="preserve">“Information” </w:t>
      </w:r>
      <w:r>
        <w:rPr>
          <w:rFonts w:ascii="Arial" w:cs="Arial" w:eastAsia="Arial" w:hAnsi="Arial"/>
          <w:sz w:val="17"/>
          <w:szCs w:val="17"/>
          <w:color w:val="auto"/>
        </w:rPr>
        <w:t>means all information, Data, techniques, technology, practices, trade secrets, inventions (whether patentable or not),</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knowledge, know-how, skill, experience, test data and results (including pharmacological, toxicological and clinical test data and results), analytical and quality control data, results or descriptions, software and algorithms, all to the extent Controlled by a Party.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“Joint Development Committee” </w:t>
      </w:r>
      <w:r>
        <w:rPr>
          <w:rFonts w:ascii="Arial" w:cs="Arial" w:eastAsia="Arial" w:hAnsi="Arial"/>
          <w:sz w:val="18"/>
          <w:szCs w:val="18"/>
          <w:color w:val="auto"/>
        </w:rPr>
        <w:t>or</w:t>
      </w:r>
      <w:r>
        <w:rPr>
          <w:rFonts w:ascii="Arial" w:cs="Arial" w:eastAsia="Arial" w:hAnsi="Arial"/>
          <w:sz w:val="18"/>
          <w:szCs w:val="18"/>
          <w:b w:val="1"/>
          <w:bCs w:val="1"/>
          <w:color w:val="auto"/>
        </w:rPr>
        <w:t xml:space="preserve"> “JDC” </w:t>
      </w:r>
      <w:r>
        <w:rPr>
          <w:rFonts w:ascii="Arial" w:cs="Arial" w:eastAsia="Arial" w:hAnsi="Arial"/>
          <w:sz w:val="18"/>
          <w:szCs w:val="18"/>
          <w:color w:val="auto"/>
        </w:rPr>
        <w:t>means the committee formed by the Parties pursuant to Section 5.1.</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1" w:right="479" w:bottom="1440" w:gutter="0" w:footer="0" w:header="0"/>
        </w:sectPr>
      </w:pPr>
    </w:p>
    <w:bookmarkStart w:id="804" w:name="page805"/>
    <w:bookmarkEnd w:id="804"/>
    <w:p>
      <w:pPr>
        <w:ind w:right="60" w:firstLine="88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“Law” </w:t>
      </w:r>
      <w:r>
        <w:rPr>
          <w:rFonts w:ascii="Arial" w:cs="Arial" w:eastAsia="Arial" w:hAnsi="Arial"/>
          <w:sz w:val="18"/>
          <w:szCs w:val="18"/>
          <w:color w:val="auto"/>
        </w:rPr>
        <w:t>means all applicable laws, statutes, rules, regulations, ordinances and other pronouncements having the effect of law of any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multinational, state, provincial, county, city or other political subdivision, agency or other body, domestic or foreign, and including without limitation the FDCA Act and GCP, as applicable.</w:t>
      </w:r>
    </w:p>
    <w:p>
      <w:pPr>
        <w:spacing w:after="0" w:line="176" w:lineRule="exact"/>
        <w:rPr>
          <w:sz w:val="20"/>
          <w:szCs w:val="20"/>
          <w:color w:val="auto"/>
        </w:rPr>
      </w:pPr>
    </w:p>
    <w:p>
      <w:pPr>
        <w:ind w:right="200" w:firstLine="881"/>
        <w:spacing w:after="0" w:line="282" w:lineRule="auto"/>
        <w:rPr>
          <w:sz w:val="20"/>
          <w:szCs w:val="20"/>
          <w:color w:val="auto"/>
        </w:rPr>
      </w:pPr>
      <w:r>
        <w:rPr>
          <w:rFonts w:ascii="Arial" w:cs="Arial" w:eastAsia="Arial" w:hAnsi="Arial"/>
          <w:sz w:val="18"/>
          <w:szCs w:val="18"/>
          <w:b w:val="1"/>
          <w:bCs w:val="1"/>
          <w:color w:val="auto"/>
        </w:rPr>
        <w:t xml:space="preserve">“Licensed Know-How” </w:t>
      </w:r>
      <w:r>
        <w:rPr>
          <w:rFonts w:ascii="Arial" w:cs="Arial" w:eastAsia="Arial" w:hAnsi="Arial"/>
          <w:sz w:val="18"/>
          <w:szCs w:val="18"/>
          <w:color w:val="auto"/>
        </w:rPr>
        <w:t>means Information, Data and Scientific Information owned or Controlled by Pulmokine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5"/>
          <w:szCs w:val="15"/>
          <w:color w:val="auto"/>
        </w:rPr>
        <w:t>***</w:t>
      </w:r>
      <w:r>
        <w:rPr>
          <w:rFonts w:ascii="Arial" w:cs="Arial" w:eastAsia="Arial" w:hAnsi="Arial"/>
          <w:sz w:val="18"/>
          <w:szCs w:val="18"/>
          <w:color w:val="auto"/>
        </w:rPr>
        <w:t>] of the Licensed Products.</w:t>
      </w:r>
    </w:p>
    <w:p>
      <w:pPr>
        <w:spacing w:after="0" w:line="162" w:lineRule="exact"/>
        <w:rPr>
          <w:sz w:val="20"/>
          <w:szCs w:val="20"/>
          <w:color w:val="auto"/>
        </w:rPr>
      </w:pPr>
    </w:p>
    <w:p>
      <w:pPr>
        <w:ind w:right="200" w:firstLine="881"/>
        <w:spacing w:after="0" w:line="282" w:lineRule="auto"/>
        <w:rPr>
          <w:sz w:val="20"/>
          <w:szCs w:val="20"/>
          <w:color w:val="auto"/>
        </w:rPr>
      </w:pPr>
      <w:r>
        <w:rPr>
          <w:rFonts w:ascii="Arial" w:cs="Arial" w:eastAsia="Arial" w:hAnsi="Arial"/>
          <w:sz w:val="18"/>
          <w:szCs w:val="18"/>
          <w:b w:val="1"/>
          <w:bCs w:val="1"/>
          <w:color w:val="auto"/>
        </w:rPr>
        <w:t xml:space="preserve">“Licensed Patents” </w:t>
      </w:r>
      <w:r>
        <w:rPr>
          <w:rFonts w:ascii="Arial" w:cs="Arial" w:eastAsia="Arial" w:hAnsi="Arial"/>
          <w:sz w:val="18"/>
          <w:szCs w:val="18"/>
          <w:color w:val="auto"/>
        </w:rPr>
        <w:t>means, collectively, the Gilead Background Patents, Pulmokine-Gilead Joint Patents, Pulmokine-Controlled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Asthma Patents, and the Biomarker Patents.</w:t>
      </w:r>
    </w:p>
    <w:p>
      <w:pPr>
        <w:spacing w:after="0" w:line="162" w:lineRule="exact"/>
        <w:rPr>
          <w:sz w:val="20"/>
          <w:szCs w:val="20"/>
          <w:color w:val="auto"/>
        </w:rPr>
      </w:pPr>
    </w:p>
    <w:p>
      <w:pPr>
        <w:ind w:right="40" w:firstLine="881"/>
        <w:spacing w:after="0" w:line="290" w:lineRule="auto"/>
        <w:rPr>
          <w:sz w:val="20"/>
          <w:szCs w:val="20"/>
          <w:color w:val="auto"/>
        </w:rPr>
      </w:pPr>
      <w:r>
        <w:rPr>
          <w:rFonts w:ascii="Arial" w:cs="Arial" w:eastAsia="Arial" w:hAnsi="Arial"/>
          <w:sz w:val="16"/>
          <w:szCs w:val="16"/>
          <w:b w:val="1"/>
          <w:bCs w:val="1"/>
          <w:color w:val="auto"/>
        </w:rPr>
        <w:t xml:space="preserve">“Licensed Product” </w:t>
      </w:r>
      <w:r>
        <w:rPr>
          <w:rFonts w:ascii="Arial" w:cs="Arial" w:eastAsia="Arial" w:hAnsi="Arial"/>
          <w:sz w:val="16"/>
          <w:szCs w:val="16"/>
          <w:color w:val="auto"/>
        </w:rPr>
        <w:t>means (a) any pharmaceutical composition, formulation or product containing or incorporating the Compound,</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as the sole active ingredient, in any presentation for any method of administration; (b) any pharmaceutical composition, formulation or product containing or incorporating the Backup Compound, whether or not as the sole active ingredient, in any presentation for any method of administration; (c) any pharmaceutical composition, formulation or product containing or incorporating the Asthma Compound, whether or not as the sole active ingredient, in any presentation for any method of administration; (d) any process, assay or tangible material, which, in the course of being practiced, manufactured, used, sold or imported, would contain or otherwise incorporate one or more of the Biomarkers or other subject matter that is the subject of the Biomarker Patents; and/or (e) any pharmaceutical composition, formulation or product containing or incorporating any compound Covered by the Gilead Background Patents, Pulmokine-Gilead Joint Patents, Pulmokine-Controlled Patents, including the Asthma Compounds but excluding the Compound and the Backup Compound, whether or not as the sole active ingredient, in any presentation for any method of administration.</w:t>
      </w:r>
    </w:p>
    <w:p>
      <w:pPr>
        <w:spacing w:after="0" w:line="160"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b w:val="1"/>
          <w:bCs w:val="1"/>
          <w:color w:val="auto"/>
        </w:rPr>
        <w:t xml:space="preserve">“Licensed Product Field” </w:t>
      </w:r>
      <w:r>
        <w:rPr>
          <w:rFonts w:ascii="Arial" w:cs="Arial" w:eastAsia="Arial" w:hAnsi="Arial"/>
          <w:sz w:val="18"/>
          <w:szCs w:val="18"/>
          <w:color w:val="auto"/>
        </w:rPr>
        <w:t>means (a) with respect to any Licensed Product that incorporates [***], the treatment, prevention, and diagnosis</w:t>
      </w:r>
      <w:r>
        <w:rPr>
          <w:rFonts w:ascii="Arial" w:cs="Arial" w:eastAsia="Arial" w:hAnsi="Arial"/>
          <w:sz w:val="18"/>
          <w:szCs w:val="18"/>
          <w:b w:val="1"/>
          <w:bCs w:val="1"/>
          <w:color w:val="auto"/>
        </w:rPr>
        <w:t xml:space="preserve"> </w:t>
      </w:r>
      <w:r>
        <w:rPr>
          <w:rFonts w:ascii="Arial" w:cs="Arial" w:eastAsia="Arial" w:hAnsi="Arial"/>
          <w:sz w:val="18"/>
          <w:szCs w:val="18"/>
          <w:color w:val="auto"/>
        </w:rPr>
        <w:t>of pulmonary hypertension characterized as [***]; (b) with respect to any Licensed Product that [***], the treatment, prevention, and diagnosis of any and all diseases or conditions; and (c) with respect to any License Product that [***], for the treatment, prevention, and diagnosis of any and all diseases or conditions.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“Licensed Technology” </w:t>
      </w:r>
      <w:r>
        <w:rPr>
          <w:rFonts w:ascii="Arial" w:cs="Arial" w:eastAsia="Arial" w:hAnsi="Arial"/>
          <w:sz w:val="18"/>
          <w:szCs w:val="18"/>
          <w:color w:val="auto"/>
        </w:rPr>
        <w:t>means, collectively, the Licensed Patents and the Licensed Know-How.</w:t>
      </w:r>
    </w:p>
    <w:p>
      <w:pPr>
        <w:spacing w:after="0" w:line="225" w:lineRule="exact"/>
        <w:rPr>
          <w:sz w:val="20"/>
          <w:szCs w:val="20"/>
          <w:color w:val="auto"/>
        </w:rPr>
      </w:pPr>
    </w:p>
    <w:p>
      <w:pPr>
        <w:jc w:val="both"/>
        <w:ind w:right="60" w:firstLine="881"/>
        <w:spacing w:after="0" w:line="266" w:lineRule="auto"/>
        <w:rPr>
          <w:sz w:val="20"/>
          <w:szCs w:val="20"/>
          <w:color w:val="auto"/>
        </w:rPr>
      </w:pPr>
      <w:r>
        <w:rPr>
          <w:rFonts w:ascii="Arial" w:cs="Arial" w:eastAsia="Arial" w:hAnsi="Arial"/>
          <w:sz w:val="18"/>
          <w:szCs w:val="18"/>
          <w:b w:val="1"/>
          <w:bCs w:val="1"/>
          <w:color w:val="auto"/>
        </w:rPr>
        <w:t xml:space="preserve">“Marketing Exclusivity” </w:t>
      </w:r>
      <w:r>
        <w:rPr>
          <w:rFonts w:ascii="Arial" w:cs="Arial" w:eastAsia="Arial" w:hAnsi="Arial"/>
          <w:sz w:val="18"/>
          <w:szCs w:val="18"/>
          <w:color w:val="auto"/>
        </w:rPr>
        <w:t>means any exclusive marketing, data protection or other exclusivity rights conferred by FDA, EMA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with respect to the Licensed Product, including orphan drug exclusivity, pediatric exclusivity and rights conferred under the Drug Price Competition and Patent Term Restoration Act of 1984, as amended from time to time.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“NDA” </w:t>
      </w:r>
      <w:r>
        <w:rPr>
          <w:rFonts w:ascii="Arial" w:cs="Arial" w:eastAsia="Arial" w:hAnsi="Arial"/>
          <w:sz w:val="18"/>
          <w:szCs w:val="18"/>
          <w:color w:val="auto"/>
        </w:rPr>
        <w:t>means a New Drug Application, as defined in the FDCA Act, including all supplements and amendments thereto.</w:t>
      </w:r>
    </w:p>
    <w:p>
      <w:pPr>
        <w:spacing w:after="0" w:line="225" w:lineRule="exact"/>
        <w:rPr>
          <w:sz w:val="20"/>
          <w:szCs w:val="20"/>
          <w:color w:val="auto"/>
        </w:rPr>
      </w:pPr>
    </w:p>
    <w:p>
      <w:pPr>
        <w:jc w:val="both"/>
        <w:ind w:right="60" w:firstLine="881"/>
        <w:spacing w:after="0" w:line="266"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means the gross invoiced sales price for each Licensed Product sold by or on behalf of Licensee, its Affiliates or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to Third Parties, less the following deductions calculated in accordance with GAAP to the extent allocated to such Licensed Product and actually taken, paid, accrued, allowed, included, or allocated, with respect to such sales:</w:t>
      </w:r>
    </w:p>
    <w:p>
      <w:pPr>
        <w:spacing w:after="0" w:line="72" w:lineRule="exact"/>
        <w:rPr>
          <w:sz w:val="20"/>
          <w:szCs w:val="20"/>
          <w:color w:val="auto"/>
        </w:rPr>
      </w:pPr>
    </w:p>
    <w:p>
      <w:pPr>
        <w:ind w:left="1680" w:hanging="244"/>
        <w:spacing w:after="0"/>
        <w:tabs>
          <w:tab w:leader="none" w:pos="16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Notwithstanding anything in this Agreement to the contrary, the transfer of a Licensed Product between or among Licensee, its Affiliates and Sublicensees will not be considered a sale, [***].</w:t>
      </w:r>
    </w:p>
    <w:p>
      <w:pPr>
        <w:spacing w:after="0" w:line="170"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Disposition of Licensed Product for, or use of the Licensed Product in, human clinical trials or other scientific testing, as free samples, or under named patient use, compassionate use, patient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46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440" w:right="420" w:hanging="436"/>
        <w:spacing w:after="0" w:line="277" w:lineRule="auto"/>
        <w:tabs>
          <w:tab w:leader="none" w:pos="440" w:val="left"/>
        </w:tabs>
        <w:numPr>
          <w:ilvl w:val="0"/>
          <w:numId w:val="685"/>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805" w:name="page806"/>
    <w:bookmarkEnd w:id="805"/>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test marketing programs or other similar programs or studies shall not result in any Net Sales when such sales are not booked as Net Sales in accordance with GAAP.</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40" w:hanging="255"/>
        <w:spacing w:after="0"/>
        <w:tabs>
          <w:tab w:leader="none" w:pos="114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right="140" w:firstLine="881"/>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firm, corporation, partnership, limited liability company, trust, business trust, joint venture,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association or other entity.</w:t>
      </w:r>
    </w:p>
    <w:p>
      <w:pPr>
        <w:spacing w:after="0" w:line="162" w:lineRule="exact"/>
        <w:rPr>
          <w:sz w:val="20"/>
          <w:szCs w:val="20"/>
          <w:color w:val="auto"/>
        </w:rPr>
      </w:pPr>
    </w:p>
    <w:p>
      <w:pPr>
        <w:ind w:right="40" w:firstLine="881"/>
        <w:spacing w:after="0" w:line="266" w:lineRule="auto"/>
        <w:rPr>
          <w:sz w:val="20"/>
          <w:szCs w:val="20"/>
          <w:color w:val="auto"/>
        </w:rPr>
      </w:pPr>
      <w:r>
        <w:rPr>
          <w:rFonts w:ascii="Arial" w:cs="Arial" w:eastAsia="Arial" w:hAnsi="Arial"/>
          <w:sz w:val="18"/>
          <w:szCs w:val="18"/>
          <w:b w:val="1"/>
          <w:bCs w:val="1"/>
          <w:color w:val="auto"/>
        </w:rPr>
        <w:t xml:space="preserve">“Phase 1 Clinical Trial” </w:t>
      </w:r>
      <w:r>
        <w:rPr>
          <w:rFonts w:ascii="Arial" w:cs="Arial" w:eastAsia="Arial" w:hAnsi="Arial"/>
          <w:sz w:val="18"/>
          <w:szCs w:val="18"/>
          <w:color w:val="auto"/>
        </w:rPr>
        <w:t>means a human clinical trial of a Licensed Product that would satisfy the requirements of 21 C.F.R. § 312.21(a)</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consists of the Phase 1A clinical trial to be performed by Pulmokine and its subcontractors as described in Pulmokine’s IND 122593 and consists of the first in human exposure in healthy subjects.</w:t>
      </w:r>
    </w:p>
    <w:p>
      <w:pPr>
        <w:spacing w:after="0" w:line="176" w:lineRule="exact"/>
        <w:rPr>
          <w:sz w:val="20"/>
          <w:szCs w:val="20"/>
          <w:color w:val="auto"/>
        </w:rPr>
      </w:pPr>
    </w:p>
    <w:p>
      <w:pPr>
        <w:ind w:right="80" w:firstLine="881"/>
        <w:spacing w:after="0" w:line="261" w:lineRule="auto"/>
        <w:rPr>
          <w:sz w:val="20"/>
          <w:szCs w:val="20"/>
          <w:color w:val="auto"/>
        </w:rPr>
      </w:pPr>
      <w:r>
        <w:rPr>
          <w:rFonts w:ascii="Arial" w:cs="Arial" w:eastAsia="Arial" w:hAnsi="Arial"/>
          <w:sz w:val="18"/>
          <w:szCs w:val="18"/>
          <w:b w:val="1"/>
          <w:bCs w:val="1"/>
          <w:color w:val="auto"/>
        </w:rPr>
        <w:t xml:space="preserve">“Phase 1 Clinical Trial Plan” </w:t>
      </w:r>
      <w:r>
        <w:rPr>
          <w:rFonts w:ascii="Arial" w:cs="Arial" w:eastAsia="Arial" w:hAnsi="Arial"/>
          <w:sz w:val="18"/>
          <w:szCs w:val="18"/>
          <w:color w:val="auto"/>
        </w:rPr>
        <w:t>means the clinical trial plan and protocol for the Phase 1 Clinical Trial of the initial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as described in Pulmokine’s IND 122593 and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which satisfies the requirements of 21 CFR § 312.21 (a), and which may be amended from time to time during the performance thereof, as agreed by the principal investigator of the applicable contract research organization and the JDC.</w:t>
      </w:r>
    </w:p>
    <w:p>
      <w:pPr>
        <w:spacing w:after="0" w:line="180" w:lineRule="exact"/>
        <w:rPr>
          <w:sz w:val="20"/>
          <w:szCs w:val="20"/>
          <w:color w:val="auto"/>
        </w:rPr>
      </w:pPr>
    </w:p>
    <w:p>
      <w:pPr>
        <w:ind w:right="100" w:firstLine="881"/>
        <w:spacing w:after="0" w:line="282" w:lineRule="auto"/>
        <w:rPr>
          <w:sz w:val="20"/>
          <w:szCs w:val="20"/>
          <w:color w:val="auto"/>
        </w:rPr>
      </w:pPr>
      <w:r>
        <w:rPr>
          <w:rFonts w:ascii="Arial" w:cs="Arial" w:eastAsia="Arial" w:hAnsi="Arial"/>
          <w:sz w:val="18"/>
          <w:szCs w:val="18"/>
          <w:b w:val="1"/>
          <w:bCs w:val="1"/>
          <w:color w:val="auto"/>
        </w:rPr>
        <w:t xml:space="preserve">“Phase 1B Clinical Trial” </w:t>
      </w:r>
      <w:r>
        <w:rPr>
          <w:rFonts w:ascii="Arial" w:cs="Arial" w:eastAsia="Arial" w:hAnsi="Arial"/>
          <w:sz w:val="18"/>
          <w:szCs w:val="18"/>
          <w:color w:val="auto"/>
        </w:rPr>
        <w:t>means the first safety trial in patients with pulmonary arterial hypertension (PAH) of the initial License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also satisfy the requirements of 21 CFR § 312.21(a).</w:t>
      </w:r>
    </w:p>
    <w:p>
      <w:pPr>
        <w:spacing w:after="0" w:line="162" w:lineRule="exact"/>
        <w:rPr>
          <w:sz w:val="20"/>
          <w:szCs w:val="20"/>
          <w:color w:val="auto"/>
        </w:rPr>
      </w:pPr>
    </w:p>
    <w:p>
      <w:pPr>
        <w:ind w:right="160" w:firstLine="881"/>
        <w:spacing w:after="0" w:line="266" w:lineRule="auto"/>
        <w:rPr>
          <w:sz w:val="20"/>
          <w:szCs w:val="20"/>
          <w:color w:val="auto"/>
        </w:rPr>
      </w:pPr>
      <w:r>
        <w:rPr>
          <w:rFonts w:ascii="Arial" w:cs="Arial" w:eastAsia="Arial" w:hAnsi="Arial"/>
          <w:sz w:val="18"/>
          <w:szCs w:val="18"/>
          <w:b w:val="1"/>
          <w:bCs w:val="1"/>
          <w:color w:val="auto"/>
        </w:rPr>
        <w:t xml:space="preserve">“Phase 2 Clinical Trial” </w:t>
      </w:r>
      <w:r>
        <w:rPr>
          <w:rFonts w:ascii="Arial" w:cs="Arial" w:eastAsia="Arial" w:hAnsi="Arial"/>
          <w:sz w:val="18"/>
          <w:szCs w:val="18"/>
          <w:color w:val="auto"/>
        </w:rPr>
        <w:t>means a human clinical trial of a Licensed Product that would satisfy the requirements of 21 C.F.R. § 312.21(b),</w:t>
      </w:r>
      <w:r>
        <w:rPr>
          <w:rFonts w:ascii="Arial" w:cs="Arial" w:eastAsia="Arial" w:hAnsi="Arial"/>
          <w:sz w:val="18"/>
          <w:szCs w:val="18"/>
          <w:b w:val="1"/>
          <w:bCs w:val="1"/>
          <w:color w:val="auto"/>
        </w:rPr>
        <w:t xml:space="preserve"> </w:t>
      </w:r>
      <w:r>
        <w:rPr>
          <w:rFonts w:ascii="Arial" w:cs="Arial" w:eastAsia="Arial" w:hAnsi="Arial"/>
          <w:sz w:val="18"/>
          <w:szCs w:val="18"/>
          <w:color w:val="auto"/>
        </w:rPr>
        <w:t>and which may be combined with a Phase 1B Clinical Trial, such that the primary endpoint can be safety and secondary endpoints can be efficacy endpoints.</w:t>
      </w:r>
    </w:p>
    <w:p>
      <w:pPr>
        <w:spacing w:after="0" w:line="176" w:lineRule="exact"/>
        <w:rPr>
          <w:sz w:val="20"/>
          <w:szCs w:val="20"/>
          <w:color w:val="auto"/>
        </w:rPr>
      </w:pPr>
    </w:p>
    <w:p>
      <w:pPr>
        <w:ind w:right="160" w:firstLine="881"/>
        <w:spacing w:after="0" w:line="266" w:lineRule="auto"/>
        <w:rPr>
          <w:sz w:val="20"/>
          <w:szCs w:val="20"/>
          <w:color w:val="auto"/>
        </w:rPr>
      </w:pPr>
      <w:r>
        <w:rPr>
          <w:rFonts w:ascii="Arial" w:cs="Arial" w:eastAsia="Arial" w:hAnsi="Arial"/>
          <w:sz w:val="18"/>
          <w:szCs w:val="18"/>
          <w:b w:val="1"/>
          <w:bCs w:val="1"/>
          <w:color w:val="auto"/>
        </w:rPr>
        <w:t xml:space="preserve">“Phase 3 Clinical Trial” </w:t>
      </w:r>
      <w:r>
        <w:rPr>
          <w:rFonts w:ascii="Arial" w:cs="Arial" w:eastAsia="Arial" w:hAnsi="Arial"/>
          <w:sz w:val="18"/>
          <w:szCs w:val="18"/>
          <w:color w:val="auto"/>
        </w:rPr>
        <w:t>means a human clinical trial of a Licensed Product that would satisfy the requirements of 21 C.F.R. § 312.21(c).</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if acceptable to the FDA, performance of a second Phase 2 Clinical Trial, the results of which would satisfy the requirements for Regulatory Approval, will meet the requirements of a Phase 3 Clinical Trial.</w:t>
      </w:r>
    </w:p>
    <w:p>
      <w:pPr>
        <w:spacing w:after="0" w:line="176"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b w:val="1"/>
          <w:bCs w:val="1"/>
          <w:color w:val="auto"/>
        </w:rPr>
        <w:t xml:space="preserve">“Pulmokine-Controlled Patents” </w:t>
      </w:r>
      <w:r>
        <w:rPr>
          <w:rFonts w:ascii="Arial" w:cs="Arial" w:eastAsia="Arial" w:hAnsi="Arial"/>
          <w:sz w:val="18"/>
          <w:szCs w:val="18"/>
          <w:color w:val="auto"/>
        </w:rPr>
        <w:t>means (a) any patent or patent application owned (whether solely or jointly) or Controlled by Pulmokine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Covers the Compound, the Backup Compound, or the Asthma Compound, including those patents and patent applications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G</w:t>
      </w:r>
      <w:r>
        <w:rPr>
          <w:rFonts w:ascii="Arial" w:cs="Arial" w:eastAsia="Arial" w:hAnsi="Arial"/>
          <w:sz w:val="18"/>
          <w:szCs w:val="18"/>
          <w:color w:val="auto"/>
        </w:rPr>
        <w:t>; (b) any patents and patent applications in any country claiming priority to any and all of the patent applications set forth in (a), including any continuations, continuations in part, or divisions; (c) any patents issuing from the applications described in (a) or (b), including any reissues, substitutions, registrations, confirmations, re-examinations, extensions, renewals, and supplementary protection certificates thereon; and (d) any corresponding foreign patents issued on any of the foregoing. For purposes of this Agreement, Pulmokine-Controlled Patents do not include Gilead Background Patents or Pulmokine-Gilead Joint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46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6" w:lineRule="exact"/>
        <w:rPr>
          <w:sz w:val="20"/>
          <w:szCs w:val="20"/>
          <w:color w:val="auto"/>
        </w:rPr>
      </w:pPr>
    </w:p>
    <w:p>
      <w:pPr>
        <w:ind w:left="440" w:right="440" w:hanging="436"/>
        <w:spacing w:after="0" w:line="277" w:lineRule="auto"/>
        <w:tabs>
          <w:tab w:leader="none" w:pos="440" w:val="left"/>
        </w:tabs>
        <w:numPr>
          <w:ilvl w:val="0"/>
          <w:numId w:val="687"/>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5" w:right="459" w:bottom="1440" w:gutter="0" w:footer="0" w:header="0"/>
        </w:sectPr>
      </w:pPr>
    </w:p>
    <w:bookmarkStart w:id="806" w:name="page807"/>
    <w:bookmarkEnd w:id="806"/>
    <w:p>
      <w:pPr>
        <w:ind w:right="220" w:firstLine="88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“Pulmokine-Gilead Joint Patents” </w:t>
      </w:r>
      <w:r>
        <w:rPr>
          <w:rFonts w:ascii="Arial" w:cs="Arial" w:eastAsia="Arial" w:hAnsi="Arial"/>
          <w:sz w:val="16"/>
          <w:szCs w:val="16"/>
          <w:color w:val="auto"/>
        </w:rPr>
        <w:t>means (a) any patent or patent application owned jointly by Pulmokine and Gilead that Covers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Compound or the Backup Compound, including those patents and patent applications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(b) any patents and patent applications in any country claiming priority to any and all of the patent applications set forth in (a), including any continuations, continuations in part, or divisions;</w:t>
      </w:r>
    </w:p>
    <w:p>
      <w:pPr>
        <w:spacing w:after="0" w:line="2" w:lineRule="exact"/>
        <w:rPr>
          <w:sz w:val="20"/>
          <w:szCs w:val="20"/>
          <w:color w:val="auto"/>
        </w:rPr>
      </w:pPr>
    </w:p>
    <w:p>
      <w:pPr>
        <w:ind w:right="160" w:firstLine="4"/>
        <w:spacing w:after="0" w:line="323" w:lineRule="auto"/>
        <w:tabs>
          <w:tab w:leader="none" w:pos="245" w:val="left"/>
        </w:tabs>
        <w:numPr>
          <w:ilvl w:val="0"/>
          <w:numId w:val="688"/>
        </w:numPr>
        <w:rPr>
          <w:rFonts w:ascii="Arial" w:cs="Arial" w:eastAsia="Arial" w:hAnsi="Arial"/>
          <w:sz w:val="16"/>
          <w:szCs w:val="16"/>
          <w:color w:val="auto"/>
        </w:rPr>
      </w:pPr>
      <w:r>
        <w:rPr>
          <w:rFonts w:ascii="Arial" w:cs="Arial" w:eastAsia="Arial" w:hAnsi="Arial"/>
          <w:sz w:val="16"/>
          <w:szCs w:val="16"/>
          <w:color w:val="auto"/>
        </w:rPr>
        <w:t>any patents issuing from the applications described in (a) or (b), including any reissues, substitutions, registrations, confirmations, re-examinations, extensions, renewals, and supplementary protection certificates thereon; and (d) any corresponding foreign patents issued on any of the foregoing.</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“RCTR License” </w:t>
      </w:r>
      <w:r>
        <w:rPr>
          <w:rFonts w:ascii="Arial" w:cs="Arial" w:eastAsia="Arial" w:hAnsi="Arial"/>
          <w:sz w:val="18"/>
          <w:szCs w:val="18"/>
          <w:color w:val="auto"/>
        </w:rPr>
        <w:t>means that certain Patent License Agreement between RCTR and Pulmokine dated September 8, 2017.</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b w:val="1"/>
          <w:bCs w:val="1"/>
          <w:color w:val="auto"/>
        </w:rPr>
        <w:t xml:space="preserve">“Regulatory Approval” </w:t>
      </w:r>
      <w:r>
        <w:rPr>
          <w:rFonts w:ascii="Arial" w:cs="Arial" w:eastAsia="Arial" w:hAnsi="Arial"/>
          <w:sz w:val="17"/>
          <w:szCs w:val="17"/>
          <w:color w:val="auto"/>
        </w:rPr>
        <w:t>means, with respect to a country or region in the Territory, any and all approvals, licenses, registrations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of any Regulatory Authority which are necessary to commercially distribute, sell or market a product in such country or region, including, where applicable, (a) pricing or reimbursement approval in such country or region, (b) pre- and post-approval marketing authorizations (including without limitation any prerequisite manufacturing approval or authorization related thereto), (c) labeling approval and (d) technical, medical and scientific licenses, necessary for commercial distribution, sale or marketing of such product in such country or region.</w:t>
      </w:r>
    </w:p>
    <w:p>
      <w:pPr>
        <w:spacing w:after="0" w:line="168" w:lineRule="exact"/>
        <w:rPr>
          <w:sz w:val="20"/>
          <w:szCs w:val="20"/>
          <w:color w:val="auto"/>
        </w:rPr>
      </w:pPr>
    </w:p>
    <w:p>
      <w:pPr>
        <w:ind w:right="820" w:firstLine="881"/>
        <w:spacing w:after="0" w:line="282" w:lineRule="auto"/>
        <w:rPr>
          <w:sz w:val="20"/>
          <w:szCs w:val="20"/>
          <w:color w:val="auto"/>
        </w:rPr>
      </w:pPr>
      <w:r>
        <w:rPr>
          <w:rFonts w:ascii="Arial" w:cs="Arial" w:eastAsia="Arial" w:hAnsi="Arial"/>
          <w:sz w:val="18"/>
          <w:szCs w:val="18"/>
          <w:b w:val="1"/>
          <w:bCs w:val="1"/>
          <w:color w:val="auto"/>
        </w:rPr>
        <w:t xml:space="preserve">“Regulatory Approval Application” </w:t>
      </w:r>
      <w:r>
        <w:rPr>
          <w:rFonts w:ascii="Arial" w:cs="Arial" w:eastAsia="Arial" w:hAnsi="Arial"/>
          <w:sz w:val="18"/>
          <w:szCs w:val="18"/>
          <w:color w:val="auto"/>
        </w:rPr>
        <w:t>means an application for Regulatory Approval required before commercial sale or 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product, including an NDA.</w:t>
      </w:r>
    </w:p>
    <w:p>
      <w:pPr>
        <w:spacing w:after="0" w:line="162" w:lineRule="exact"/>
        <w:rPr>
          <w:sz w:val="20"/>
          <w:szCs w:val="20"/>
          <w:color w:val="auto"/>
        </w:rPr>
      </w:pPr>
    </w:p>
    <w:p>
      <w:pPr>
        <w:ind w:right="40" w:firstLine="881"/>
        <w:spacing w:after="0" w:line="289" w:lineRule="auto"/>
        <w:rPr>
          <w:sz w:val="20"/>
          <w:szCs w:val="20"/>
          <w:color w:val="auto"/>
        </w:rPr>
      </w:pPr>
      <w:r>
        <w:rPr>
          <w:rFonts w:ascii="Arial" w:cs="Arial" w:eastAsia="Arial" w:hAnsi="Arial"/>
          <w:sz w:val="17"/>
          <w:szCs w:val="17"/>
          <w:b w:val="1"/>
          <w:bCs w:val="1"/>
          <w:color w:val="auto"/>
        </w:rPr>
        <w:t xml:space="preserve">“Regulatory Authority” </w:t>
      </w:r>
      <w:r>
        <w:rPr>
          <w:rFonts w:ascii="Arial" w:cs="Arial" w:eastAsia="Arial" w:hAnsi="Arial"/>
          <w:sz w:val="17"/>
          <w:szCs w:val="17"/>
          <w:color w:val="auto"/>
        </w:rPr>
        <w:t>means any federal, national, supranational, state, provincial or local regulatory authority, agency, department,</w:t>
      </w:r>
      <w:r>
        <w:rPr>
          <w:rFonts w:ascii="Arial" w:cs="Arial" w:eastAsia="Arial" w:hAnsi="Arial"/>
          <w:sz w:val="17"/>
          <w:szCs w:val="17"/>
          <w:b w:val="1"/>
          <w:bCs w:val="1"/>
          <w:color w:val="auto"/>
        </w:rPr>
        <w:t xml:space="preserve"> </w:t>
      </w:r>
      <w:r>
        <w:rPr>
          <w:rFonts w:ascii="Arial" w:cs="Arial" w:eastAsia="Arial" w:hAnsi="Arial"/>
          <w:sz w:val="17"/>
          <w:szCs w:val="17"/>
          <w:color w:val="auto"/>
        </w:rPr>
        <w:t>bureau or other governmental authority, including the FDA and EMA, that has authority over the manufacture, development, commercialization or other use or exploitation (including the granting of Regulatory Approval) of the Licensed Product in an applicable jurisdiction.</w:t>
      </w:r>
    </w:p>
    <w:p>
      <w:pPr>
        <w:spacing w:after="0" w:line="158" w:lineRule="exact"/>
        <w:rPr>
          <w:sz w:val="20"/>
          <w:szCs w:val="20"/>
          <w:color w:val="auto"/>
        </w:rPr>
      </w:pPr>
    </w:p>
    <w:p>
      <w:pPr>
        <w:ind w:right="520" w:firstLine="881"/>
        <w:spacing w:after="0" w:line="282" w:lineRule="auto"/>
        <w:rPr>
          <w:sz w:val="20"/>
          <w:szCs w:val="20"/>
          <w:color w:val="auto"/>
        </w:rPr>
      </w:pPr>
      <w:r>
        <w:rPr>
          <w:rFonts w:ascii="Arial" w:cs="Arial" w:eastAsia="Arial" w:hAnsi="Arial"/>
          <w:sz w:val="18"/>
          <w:szCs w:val="18"/>
          <w:b w:val="1"/>
          <w:bCs w:val="1"/>
          <w:color w:val="auto"/>
        </w:rPr>
        <w:t xml:space="preserve">“Regulatory Filing” </w:t>
      </w:r>
      <w:r>
        <w:rPr>
          <w:rFonts w:ascii="Arial" w:cs="Arial" w:eastAsia="Arial" w:hAnsi="Arial"/>
          <w:sz w:val="18"/>
          <w:szCs w:val="18"/>
          <w:color w:val="auto"/>
        </w:rPr>
        <w:t>means all submissions, applications, filings and approvals by, with or from any Regulatory Authority,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Applications.</w:t>
      </w:r>
    </w:p>
    <w:p>
      <w:pPr>
        <w:spacing w:after="0" w:line="162"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b w:val="1"/>
          <w:bCs w:val="1"/>
          <w:color w:val="auto"/>
        </w:rPr>
        <w:t xml:space="preserve">“Royalty Term” </w:t>
      </w:r>
      <w:r>
        <w:rPr>
          <w:rFonts w:ascii="Arial" w:cs="Arial" w:eastAsia="Arial" w:hAnsi="Arial"/>
          <w:sz w:val="17"/>
          <w:szCs w:val="17"/>
          <w:color w:val="auto"/>
        </w:rPr>
        <w:t>means, on a Licensed Product-by-Licensed Product and country-by-country basis, that time period beginning on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Sale of such Licensed Product and ending on the last to occur of: (a) expiration of the last-to-expire Valid Claim of any Licensed Patent in a particular country that, absent the licenses granted in this Agreement, would be infringed by the making, using, selling, offering for sale, importing or exporting of the applicable Licensed Product in such country, (b) expiration of the Marketing Exclusivity, if any, of the applicable Licensed Product in a country of the Territory; or (c) ten (10) years after the First Commercial Sale of such Licensed Product.</w:t>
      </w:r>
    </w:p>
    <w:p>
      <w:pPr>
        <w:spacing w:after="0" w:line="168" w:lineRule="exact"/>
        <w:rPr>
          <w:sz w:val="20"/>
          <w:szCs w:val="20"/>
          <w:color w:val="auto"/>
        </w:rPr>
      </w:pPr>
    </w:p>
    <w:p>
      <w:pPr>
        <w:ind w:right="80" w:firstLine="881"/>
        <w:spacing w:after="0" w:line="277" w:lineRule="auto"/>
        <w:rPr>
          <w:sz w:val="20"/>
          <w:szCs w:val="20"/>
          <w:color w:val="auto"/>
        </w:rPr>
      </w:pPr>
      <w:r>
        <w:rPr>
          <w:rFonts w:ascii="Arial" w:cs="Arial" w:eastAsia="Arial" w:hAnsi="Arial"/>
          <w:sz w:val="17"/>
          <w:szCs w:val="17"/>
          <w:b w:val="1"/>
          <w:bCs w:val="1"/>
          <w:color w:val="auto"/>
        </w:rPr>
        <w:t xml:space="preserve">“Scientific Information” </w:t>
      </w:r>
      <w:r>
        <w:rPr>
          <w:rFonts w:ascii="Arial" w:cs="Arial" w:eastAsia="Arial" w:hAnsi="Arial"/>
          <w:sz w:val="17"/>
          <w:szCs w:val="17"/>
          <w:color w:val="auto"/>
        </w:rPr>
        <w:t>means all Information relating to the Compound, Backup Compound, Asthma Compounds, Biomarkers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and comprising medical, toxicological, pharmacological, pre-clinical, clinical or chemical data; specifications; medical uses; adverse reactions; formulations; bioanalytical metrics; analytical and quality control data and methods; and all proprietary information intended for submission or submitted to relevant Regulatory Authorities to support a Regulatory Approval Application for and Regulatory Approval of the Licensed Products in the Licensed Product Field in any country in the world, all to the extent Controlled by a Party.</w:t>
      </w:r>
    </w:p>
    <w:p>
      <w:pPr>
        <w:spacing w:after="0" w:line="168"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7"/>
          <w:szCs w:val="17"/>
          <w:b w:val="1"/>
          <w:bCs w:val="1"/>
          <w:color w:val="auto"/>
        </w:rPr>
        <w:t xml:space="preserve">“Second Indication” </w:t>
      </w:r>
      <w:r>
        <w:rPr>
          <w:rFonts w:ascii="Arial" w:cs="Arial" w:eastAsia="Arial" w:hAnsi="Arial"/>
          <w:sz w:val="17"/>
          <w:szCs w:val="17"/>
          <w:color w:val="auto"/>
        </w:rPr>
        <w:t>means, with respect to a Licensed Product, an indication that is distinct from all indications covered by the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Approvals of such Licensed Product from the applicable Regulatory Authority (</w:t>
      </w:r>
      <w:r>
        <w:rPr>
          <w:rFonts w:ascii="Arial" w:cs="Arial" w:eastAsia="Arial" w:hAnsi="Arial"/>
          <w:sz w:val="17"/>
          <w:szCs w:val="17"/>
          <w:i w:val="1"/>
          <w:iCs w:val="1"/>
          <w:color w:val="auto"/>
        </w:rPr>
        <w:t>e.g.</w:t>
      </w:r>
      <w:r>
        <w:rPr>
          <w:rFonts w:ascii="Arial" w:cs="Arial" w:eastAsia="Arial" w:hAnsi="Arial"/>
          <w:sz w:val="17"/>
          <w:szCs w:val="17"/>
          <w:color w:val="auto"/>
        </w:rPr>
        <w:t>, for the treatment of a disease that is distinct from any disease(s) for which Regulatory Approval has been previously granted) and distinct from all variants or sub-divisions or sub-</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807" w:name="page808"/>
    <w:bookmarkEnd w:id="80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classifications of such indications. For clarity, the following uses shall not be considered a Second Indication: (a) the use of a Licensed Product in a line of therapy for an indication where the initially-approved indication is the use of such Licensed Product in another line of therapy for such indication (e.g., moving from second-line therapy to first-line therapy for the treatment of pulmonary hypertension) or (b) the use of a Licensed Product in a subset of patients (e.g., elderly, pediatric, or genetically defined patient subgroups, etc.) for an indication where the initially-approved indication is the use of such Licensed Product within another subset of patients for such indication.</w:t>
      </w:r>
    </w:p>
    <w:p>
      <w:pPr>
        <w:spacing w:after="0" w:line="184" w:lineRule="exact"/>
        <w:rPr>
          <w:sz w:val="20"/>
          <w:szCs w:val="20"/>
          <w:color w:val="auto"/>
        </w:rPr>
      </w:pPr>
    </w:p>
    <w:p>
      <w:pPr>
        <w:ind w:right="260" w:firstLine="881"/>
        <w:spacing w:after="0" w:line="313" w:lineRule="auto"/>
        <w:rPr>
          <w:sz w:val="20"/>
          <w:szCs w:val="20"/>
          <w:color w:val="auto"/>
        </w:rPr>
      </w:pPr>
      <w:r>
        <w:rPr>
          <w:rFonts w:ascii="Arial" w:cs="Arial" w:eastAsia="Arial" w:hAnsi="Arial"/>
          <w:sz w:val="17"/>
          <w:szCs w:val="17"/>
          <w:b w:val="1"/>
          <w:bCs w:val="1"/>
          <w:color w:val="auto"/>
        </w:rPr>
        <w:t xml:space="preserve">“Sublicensee” </w:t>
      </w:r>
      <w:r>
        <w:rPr>
          <w:rFonts w:ascii="Arial" w:cs="Arial" w:eastAsia="Arial" w:hAnsi="Arial"/>
          <w:sz w:val="17"/>
          <w:szCs w:val="17"/>
          <w:color w:val="auto"/>
        </w:rPr>
        <w:t>means a Third Party to whom Licensee has granted a license or sublicense under the Licensed Technology,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of this Agreement, to make, have made, use, sell, offer for sale, have sold, import or export a Licensed Product.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all countries of the world, or worldwide.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Person other than Licensee and Pulmokine and their respective Affiliates.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 and its territories and possessions.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“USD” </w:t>
      </w:r>
      <w:r>
        <w:rPr>
          <w:rFonts w:ascii="Arial" w:cs="Arial" w:eastAsia="Arial" w:hAnsi="Arial"/>
          <w:sz w:val="18"/>
          <w:szCs w:val="18"/>
          <w:color w:val="auto"/>
        </w:rPr>
        <w:t>means a United States Dollar.</w:t>
      </w:r>
    </w:p>
    <w:p>
      <w:pPr>
        <w:spacing w:after="0" w:line="225" w:lineRule="exact"/>
        <w:rPr>
          <w:sz w:val="20"/>
          <w:szCs w:val="20"/>
          <w:color w:val="auto"/>
        </w:rPr>
      </w:pPr>
    </w:p>
    <w:p>
      <w:pPr>
        <w:jc w:val="both"/>
        <w:ind w:right="180" w:firstLine="881"/>
        <w:spacing w:after="0" w:line="281" w:lineRule="auto"/>
        <w:rPr>
          <w:sz w:val="20"/>
          <w:szCs w:val="20"/>
          <w:color w:val="auto"/>
        </w:rPr>
      </w:pPr>
      <w:r>
        <w:rPr>
          <w:rFonts w:ascii="Arial" w:cs="Arial" w:eastAsia="Arial" w:hAnsi="Arial"/>
          <w:sz w:val="17"/>
          <w:szCs w:val="17"/>
          <w:b w:val="1"/>
          <w:bCs w:val="1"/>
          <w:color w:val="auto"/>
        </w:rPr>
        <w:t xml:space="preserve">“Valid Claim” </w:t>
      </w:r>
      <w:r>
        <w:rPr>
          <w:rFonts w:ascii="Arial" w:cs="Arial" w:eastAsia="Arial" w:hAnsi="Arial"/>
          <w:sz w:val="17"/>
          <w:szCs w:val="17"/>
          <w:color w:val="auto"/>
        </w:rPr>
        <w:t>means (a) a claim of an issued and unexpired patent, which claim has not been held invalid or unenforceable by a court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government agency of competent jurisdiction from which no appeal can be or has been taken and has not been held or admitted to be invalid or unenforceable through re-examination or disclaimer, opposition procedure, nullity suit or otherwise and (b) a claim of any patent application that has been pending for fewer than seven (7) years after the earliest priority date of such patent application.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Additional Definitions.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identifies the location of definitions set forth in various Sections of the Agreement:</w:t>
      </w:r>
    </w:p>
    <w:p>
      <w:pPr>
        <w:sectPr>
          <w:pgSz w:w="11900" w:h="16838" w:orient="portrait"/>
          <w:cols w:equalWidth="0" w:num="1">
            <w:col w:w="10980"/>
          </w:cols>
          <w:pgMar w:left="440" w:top="274" w:right="479" w:bottom="1440" w:gutter="0" w:footer="0" w:header="0"/>
        </w:sectPr>
      </w:pPr>
    </w:p>
    <w:p>
      <w:pPr>
        <w:spacing w:after="0" w:line="25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DEFINED TERM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3940"/>
        <w:spacing w:after="0"/>
        <w:rPr>
          <w:sz w:val="20"/>
          <w:szCs w:val="20"/>
          <w:color w:val="auto"/>
        </w:rPr>
      </w:pPr>
      <w:r>
        <w:rPr>
          <w:rFonts w:ascii="Arial" w:cs="Arial" w:eastAsia="Arial" w:hAnsi="Arial"/>
          <w:sz w:val="17"/>
          <w:szCs w:val="17"/>
          <w:color w:val="auto"/>
        </w:rPr>
        <w:t>SECTION</w:t>
      </w:r>
    </w:p>
    <w:p>
      <w:pPr>
        <w:spacing w:after="0" w:line="129"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Additional Third Party Licenses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3.13(a)</w:t>
      </w:r>
    </w:p>
    <w:p>
      <w:pPr>
        <w:spacing w:after="0" w:line="14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Asthma Field Expansion</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6"/>
          <w:szCs w:val="16"/>
          <w:color w:val="auto"/>
        </w:rPr>
        <w:t>Section 2.7(b)</w:t>
      </w:r>
    </w:p>
    <w:p>
      <w:pPr>
        <w:spacing w:after="0" w:line="14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Background Patent 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1.15 of Gilead License</w:t>
      </w:r>
    </w:p>
    <w:p>
      <w:pPr>
        <w:spacing w:after="0" w:line="14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Background Product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1.15 of Gilead License</w:t>
      </w:r>
    </w:p>
    <w:p>
      <w:pPr>
        <w:spacing w:after="0" w:line="14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Broad 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1.15 of Gilead License</w:t>
      </w:r>
    </w:p>
    <w:p>
      <w:pPr>
        <w:spacing w:after="0" w:line="14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Combination Product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Definition of Net Sales</w:t>
      </w:r>
    </w:p>
    <w:p>
      <w:pPr>
        <w:spacing w:after="0" w:line="181"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80"/>
          </w:cols>
          <w:pgMar w:left="440" w:top="274" w:right="479" w:bottom="1440" w:gutter="0" w:footer="0" w:header="0"/>
          <w:type w:val="continuous"/>
        </w:sectPr>
      </w:pPr>
    </w:p>
    <w:bookmarkStart w:id="808" w:name="page809"/>
    <w:bookmarkEnd w:id="808"/>
    <w:p>
      <w:pPr>
        <w:spacing w:after="0"/>
        <w:rPr>
          <w:sz w:val="20"/>
          <w:szCs w:val="20"/>
          <w:color w:val="auto"/>
        </w:rPr>
      </w:pPr>
      <w:r>
        <w:rPr>
          <w:rFonts w:ascii="Arial" w:cs="Arial" w:eastAsia="Arial" w:hAnsi="Arial"/>
          <w:sz w:val="18"/>
          <w:szCs w:val="18"/>
          <w:color w:val="auto"/>
        </w:rPr>
        <w:t>Controlled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Damages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Development Milestone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Dispute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Excluded Claim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Field Expansion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FSG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Fully Diluted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Future New Inventions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Generic Product 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Gilead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ICC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Claim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Indemnifying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Inventions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Licensee Confidential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Licensee Indemnitees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Licensee Inventions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Orange Book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-284480</wp:posOffset>
            </wp:positionV>
            <wp:extent cx="7289165" cy="3810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16.5(a)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16.4(g)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1.15 of Gilead License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2.7(a)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1.16 of Gilead License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3.13(b)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16.4(c)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12.3(a)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12.3(a)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12.3(a)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6.4(b)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6.6</w:t>
      </w:r>
    </w:p>
    <w:p>
      <w:pPr>
        <w:spacing w:after="0" w:line="158" w:lineRule="exact"/>
        <w:rPr>
          <w:sz w:val="20"/>
          <w:szCs w:val="20"/>
          <w:color w:val="auto"/>
        </w:rPr>
      </w:pPr>
    </w:p>
    <w:p>
      <w:pPr>
        <w:sectPr>
          <w:pgSz w:w="11900" w:h="16838" w:orient="portrait"/>
          <w:cols w:equalWidth="0" w:num="2">
            <w:col w:w="4660" w:space="720"/>
            <w:col w:w="3739"/>
          </w:cols>
          <w:pgMar w:left="1340" w:top="383" w:right="1440" w:bottom="1440" w:gutter="0" w:footer="0" w:header="0"/>
        </w:sectPr>
      </w:pPr>
    </w:p>
    <w:p>
      <w:pPr>
        <w:jc w:val="center"/>
        <w:ind w:right="-10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119"/>
          </w:cols>
          <w:pgMar w:left="1340" w:top="383" w:right="1440" w:bottom="1440" w:gutter="0" w:footer="0" w:header="0"/>
          <w:type w:val="continuous"/>
        </w:sectPr>
      </w:pPr>
    </w:p>
    <w:bookmarkStart w:id="809" w:name="page810"/>
    <w:bookmarkEnd w:id="809"/>
    <w:p>
      <w:pPr>
        <w:ind w:left="900"/>
        <w:spacing w:after="0"/>
        <w:rPr>
          <w:sz w:val="20"/>
          <w:szCs w:val="20"/>
          <w:color w:val="auto"/>
        </w:rPr>
      </w:pPr>
      <w:r>
        <w:rPr>
          <w:rFonts w:ascii="Arial" w:cs="Arial" w:eastAsia="Arial" w:hAnsi="Arial"/>
          <w:sz w:val="15"/>
          <w:szCs w:val="15"/>
          <w:color w:val="auto"/>
        </w:rPr>
        <w:t>Party or Parties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5"/>
          <w:szCs w:val="15"/>
          <w:color w:val="auto"/>
        </w:rPr>
        <w:t>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-262890</wp:posOffset>
            </wp:positionV>
            <wp:extent cx="7289165" cy="381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5560" w:space="720"/>
            <w:col w:w="4720"/>
          </w:cols>
          <w:pgMar w:left="440" w:top="382" w:right="459" w:bottom="1440" w:gutter="0" w:footer="0" w:header="0"/>
        </w:sectPr>
      </w:pPr>
    </w:p>
    <w:p>
      <w:pPr>
        <w:ind w:left="900"/>
        <w:spacing w:after="0"/>
        <w:rPr>
          <w:sz w:val="20"/>
          <w:szCs w:val="20"/>
          <w:color w:val="auto"/>
        </w:rPr>
      </w:pPr>
      <w:r>
        <w:rPr>
          <w:rFonts w:ascii="Arial" w:cs="Arial" w:eastAsia="Arial" w:hAnsi="Arial"/>
          <w:sz w:val="15"/>
          <w:szCs w:val="15"/>
          <w:color w:val="auto"/>
        </w:rPr>
        <w:t>Patent Challenge</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6"/>
          <w:szCs w:val="16"/>
          <w:color w:val="auto"/>
        </w:rPr>
        <w:t>Section 15.4</w:t>
      </w:r>
    </w:p>
    <w:p>
      <w:pPr>
        <w:spacing w:after="0" w:line="140"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Practical Application</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5"/>
          <w:szCs w:val="15"/>
          <w:color w:val="auto"/>
        </w:rPr>
        <w:t>Section 4.2</w:t>
      </w:r>
    </w:p>
    <w:p>
      <w:pPr>
        <w:spacing w:after="0" w:line="151"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Pulmokine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Preamble</w:t>
      </w:r>
    </w:p>
    <w:p>
      <w:pPr>
        <w:spacing w:after="0" w:line="151"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Pulmokine 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9.1(a)</w:t>
      </w:r>
    </w:p>
    <w:p>
      <w:pPr>
        <w:spacing w:after="0" w:line="140"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Pulmokine Indemnitees</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6"/>
          <w:szCs w:val="16"/>
          <w:color w:val="auto"/>
        </w:rPr>
        <w:t>Section 12.1</w:t>
      </w:r>
    </w:p>
    <w:p>
      <w:pPr>
        <w:spacing w:after="0" w:line="140"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Regulatory Milestone</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5"/>
          <w:szCs w:val="15"/>
          <w:color w:val="auto"/>
        </w:rPr>
        <w:t>Section 3.3</w:t>
      </w:r>
    </w:p>
    <w:p>
      <w:pPr>
        <w:spacing w:after="0" w:line="151"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Sales Milestone</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5"/>
          <w:szCs w:val="15"/>
          <w:color w:val="auto"/>
        </w:rPr>
        <w:t>Section 3.4</w:t>
      </w:r>
    </w:p>
    <w:p>
      <w:pPr>
        <w:spacing w:after="0" w:line="151"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Senior Executives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16.4(a)</w:t>
      </w:r>
    </w:p>
    <w:p>
      <w:pPr>
        <w:spacing w:after="0" w:line="140"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Article 14</w:t>
      </w:r>
    </w:p>
    <w:p>
      <w:pPr>
        <w:spacing w:after="0" w:line="129"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Up-front Closing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3.1</w:t>
      </w:r>
    </w:p>
    <w:p>
      <w:pPr>
        <w:spacing w:after="0" w:line="211" w:lineRule="exact"/>
        <w:rPr>
          <w:sz w:val="20"/>
          <w:szCs w:val="20"/>
          <w:color w:val="auto"/>
        </w:rPr>
      </w:pPr>
    </w:p>
    <w:p>
      <w:pPr>
        <w:sectPr>
          <w:pgSz w:w="11900" w:h="16838" w:orient="portrait"/>
          <w:cols w:equalWidth="0" w:num="2">
            <w:col w:w="5560" w:space="720"/>
            <w:col w:w="4720"/>
          </w:cols>
          <w:pgMar w:left="440" w:top="382" w:right="459" w:bottom="1440" w:gutter="0" w:footer="0" w:header="0"/>
          <w:type w:val="continuous"/>
        </w:sectPr>
      </w:pP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 Rules of Construction.</w:t>
      </w:r>
    </w:p>
    <w:p>
      <w:pPr>
        <w:spacing w:after="0" w:line="121"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The definitions set forth in Section 1.1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“but not limited to.” The use of the words “or” and “any” shall not be exclusive except where the context indicates otherwise. All references herein to Articles, Sections and Exhibits shall be deemed references to Articles and Sections of, and Exhibits to, this Agreement unless the context shall otherwise require. All Exhibits attached to this Agreement shall be deemed incorporated herein by reference as if fully set forth herein. Words such as “herein,” “hereof,” “hereto,” “hereby” and “hereunder” refer to this Agreement and to the Exhibits, taken as a whole. Except as otherwise expressly provided herein: (a) any reference in this Agreement to any agreement shall mean such agreement as amended, restated, supplemented or otherwise modified from time to time; and (b) any reference in this Agreement to any Law shall include corresponding provisions of any successor Law and any regulations and rules promulgated pursuant to such Law or such successor Law.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GRANT OF LICENSE; OTHER RIGHTS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Licenses to Licensee Under Licensed Technology; Sublicenses.</w:t>
      </w:r>
    </w:p>
    <w:p>
      <w:pPr>
        <w:spacing w:after="0" w:line="121" w:lineRule="exact"/>
        <w:rPr>
          <w:sz w:val="20"/>
          <w:szCs w:val="20"/>
          <w:color w:val="auto"/>
        </w:rPr>
      </w:pPr>
    </w:p>
    <w:p>
      <w:pPr>
        <w:ind w:right="80" w:firstLine="885"/>
        <w:spacing w:after="0" w:line="257" w:lineRule="auto"/>
        <w:tabs>
          <w:tab w:leader="none" w:pos="1126" w:val="left"/>
        </w:tabs>
        <w:numPr>
          <w:ilvl w:val="0"/>
          <w:numId w:val="689"/>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Pulmokine hereby grants to Licensee: (i) an exclusive right and license (and sub-license under the Gilead License and RCTR License), with the right to grant sublicenses through multiple tiers in accordance with this Section 2.1, under the Licensed Patents; and (ii) an exclusive right and license, with the right to grant sublicenses in accordance with this Section 2.1, under the Licensed Know-How, in each of (i) and (ii) to research, develop, commercialize, manufacture, make, have made, use, sell, offer for sale, have sold, import, export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382" w:right="459" w:bottom="1440" w:gutter="0" w:footer="0" w:header="0"/>
          <w:type w:val="continuous"/>
        </w:sectPr>
      </w:pPr>
    </w:p>
    <w:bookmarkStart w:id="810" w:name="page811"/>
    <w:bookmarkEnd w:id="8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commercially exploit Licensed Products in the Licensed Product Field in the Territory (the “</w:t>
      </w:r>
      <w:r>
        <w:rPr>
          <w:rFonts w:ascii="Arial" w:cs="Arial" w:eastAsia="Arial" w:hAnsi="Arial"/>
          <w:sz w:val="18"/>
          <w:szCs w:val="18"/>
          <w:b w:val="1"/>
          <w:bCs w:val="1"/>
          <w:color w:val="auto"/>
        </w:rPr>
        <w:t>Licenses</w:t>
      </w:r>
      <w:r>
        <w:rPr>
          <w:rFonts w:ascii="Arial" w:cs="Arial" w:eastAsia="Arial" w:hAnsi="Arial"/>
          <w:sz w:val="18"/>
          <w:szCs w:val="18"/>
          <w:color w:val="auto"/>
        </w:rPr>
        <w:t>”).</w:t>
      </w:r>
    </w:p>
    <w:p>
      <w:pPr>
        <w:spacing w:after="0" w:line="121" w:lineRule="exact"/>
        <w:rPr>
          <w:sz w:val="20"/>
          <w:szCs w:val="20"/>
          <w:color w:val="auto"/>
        </w:rPr>
      </w:pPr>
    </w:p>
    <w:p>
      <w:pPr>
        <w:ind w:right="40" w:firstLine="885"/>
        <w:spacing w:after="0" w:line="271" w:lineRule="auto"/>
        <w:tabs>
          <w:tab w:leader="none" w:pos="1136" w:val="left"/>
        </w:tabs>
        <w:numPr>
          <w:ilvl w:val="0"/>
          <w:numId w:val="690"/>
        </w:numPr>
        <w:rPr>
          <w:rFonts w:ascii="Arial" w:cs="Arial" w:eastAsia="Arial" w:hAnsi="Arial"/>
          <w:sz w:val="17"/>
          <w:szCs w:val="17"/>
          <w:color w:val="auto"/>
        </w:rPr>
      </w:pPr>
      <w:r>
        <w:rPr>
          <w:rFonts w:ascii="Arial" w:cs="Arial" w:eastAsia="Arial" w:hAnsi="Arial"/>
          <w:sz w:val="17"/>
          <w:szCs w:val="17"/>
          <w:color w:val="auto"/>
        </w:rPr>
        <w:t>Licensee may grant sublicenses to its Affiliates and/or Third Parties under the Licensed Patents and Licensed Know-How without Pulmokine’s consent. Each sublicense shall be consistent with the applicable terms and conditions under this Agreement and any sublicenses granted to Third Parties shall be negotiated at arms-length and shall be for such consideration and on such terms as Licensee believes in good faith are commercially reasonable. Licensee shall, within [***] after entering into any sublicense agreement, provide Pulmokine with a copy of such sublicense agreement, which may be redacted to remove any sensitive information not necessary for Pulmokine to verify its compliance with the terms of this Agreement and which sensitive information, for the purposes of this Section 2.1(b), shall [***]. Notwithstanding the foregoing, within [***] after entering into any sublicense agreement pursuant to which Licensee grants sublicenses [***], Licensee shall provide Pulmokine with a true and complete copy of such sublicense agreement, [***] such breach or terminating such sublicense agreement.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Gilead and RCTR Licenses.</w:t>
      </w:r>
    </w:p>
    <w:p>
      <w:pPr>
        <w:spacing w:after="0" w:line="121" w:lineRule="exact"/>
        <w:rPr>
          <w:sz w:val="20"/>
          <w:szCs w:val="20"/>
          <w:color w:val="auto"/>
        </w:rPr>
      </w:pPr>
    </w:p>
    <w:p>
      <w:pPr>
        <w:ind w:right="60" w:firstLine="885"/>
        <w:spacing w:after="0" w:line="257" w:lineRule="auto"/>
        <w:tabs>
          <w:tab w:leader="none" w:pos="112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 xml:space="preserve">Licensee acknowledges and agrees that the licenses and rights are granted by Pulmokine to Licensee under: (i) the Gilead Background Patents and the Pulmokine-Gilead Joint Patents which are licensed from Gilead pursuant to the Gilead License; and (ii) the Biomarker Patents, which are licensed from RCTR pursuant to the RCTR License and remain subject to the terms of such RCTR License, including the terms set forth in Sections 5.1-5.4, 8.1, 10.1, 10.2, 12.5 and 13.8-13.10 of the RCTR License, which have been reproduced in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and shall be binding upon Licensee as if it were a party to such RCTR License.</w:t>
      </w:r>
    </w:p>
    <w:p>
      <w:pPr>
        <w:spacing w:after="0" w:line="80" w:lineRule="exact"/>
        <w:rPr>
          <w:rFonts w:ascii="Arial" w:cs="Arial" w:eastAsia="Arial" w:hAnsi="Arial"/>
          <w:sz w:val="18"/>
          <w:szCs w:val="18"/>
          <w:color w:val="auto"/>
        </w:rPr>
      </w:pPr>
    </w:p>
    <w:p>
      <w:pPr>
        <w:ind w:left="1140" w:hanging="255"/>
        <w:spacing w:after="0"/>
        <w:tabs>
          <w:tab w:leader="none" w:pos="1140" w:val="left"/>
        </w:tabs>
        <w:numPr>
          <w:ilvl w:val="0"/>
          <w:numId w:val="691"/>
        </w:numPr>
        <w:rPr>
          <w:rFonts w:ascii="Arial" w:cs="Arial" w:eastAsia="Arial" w:hAnsi="Arial"/>
          <w:sz w:val="16"/>
          <w:szCs w:val="16"/>
          <w:color w:val="auto"/>
        </w:rPr>
      </w:pPr>
      <w:r>
        <w:rPr>
          <w:rFonts w:ascii="Arial" w:cs="Arial" w:eastAsia="Arial" w:hAnsi="Arial"/>
          <w:sz w:val="16"/>
          <w:szCs w:val="16"/>
          <w:color w:val="auto"/>
        </w:rPr>
        <w:t>In the event that the Gilead License is terminated, this Agreement shall survive in accordance with the terms of Section 9.4 of the Gilead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License.</w:t>
      </w:r>
    </w:p>
    <w:p>
      <w:pPr>
        <w:spacing w:after="0" w:line="102" w:lineRule="exact"/>
        <w:rPr>
          <w:rFonts w:ascii="Arial" w:cs="Arial" w:eastAsia="Arial" w:hAnsi="Arial"/>
          <w:sz w:val="16"/>
          <w:szCs w:val="16"/>
          <w:color w:val="auto"/>
        </w:rPr>
      </w:pPr>
    </w:p>
    <w:p>
      <w:pPr>
        <w:ind w:right="40" w:firstLine="885"/>
        <w:spacing w:after="0" w:line="286" w:lineRule="auto"/>
        <w:tabs>
          <w:tab w:leader="none" w:pos="1126" w:val="left"/>
        </w:tabs>
        <w:numPr>
          <w:ilvl w:val="0"/>
          <w:numId w:val="691"/>
        </w:numPr>
        <w:rPr>
          <w:rFonts w:ascii="Arial" w:cs="Arial" w:eastAsia="Arial" w:hAnsi="Arial"/>
          <w:sz w:val="17"/>
          <w:szCs w:val="17"/>
          <w:color w:val="auto"/>
        </w:rPr>
      </w:pPr>
      <w:r>
        <w:rPr>
          <w:rFonts w:ascii="Arial" w:cs="Arial" w:eastAsia="Arial" w:hAnsi="Arial"/>
          <w:sz w:val="17"/>
          <w:szCs w:val="17"/>
          <w:color w:val="auto"/>
        </w:rPr>
        <w:t>In the event that the RCTR License is terminated, at FSG’s option and in accordance with Section 4.3 of the RCTR License, the rights in and to the Biomarker Patents that are sublicensed to FSG in Section 2.1(a) shall be terminated or, subject to RCTR’s approval and contingent upon FSG’s acceptance of the provisions of the RCTR License, converted to a license directly between FSG and RCTR.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Use of Affiliates and Third Party Contractors.</w:t>
      </w:r>
    </w:p>
    <w:p>
      <w:pPr>
        <w:spacing w:after="0" w:line="121"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Subject at all times to Licensee’s compliance with Section 2.1(b) hereof, the Licenses granted under this Agreement include the right of Licensee to freely engage its Affiliates and Third Party contractors in exercising such rights and in carrying out its activities and obligations under this Agreement.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Registration and Recordation of Licenses.</w:t>
      </w:r>
    </w:p>
    <w:p>
      <w:pPr>
        <w:spacing w:after="0" w:line="121"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Notwithstanding anything to the contrary in Article 9, Licensee may register and/or record the Licenses granted under this Agreement in any country in the Territory. Upon request by Licensee, Pulmokine agrees promptly to execute any “short form” licenses consistent with the terms and conditions of this Agreement submitted to it by Licensee reasonably necessary to effect the foregoing registration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46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9" w:lineRule="exact"/>
        <w:rPr>
          <w:sz w:val="20"/>
          <w:szCs w:val="20"/>
          <w:color w:val="auto"/>
        </w:rPr>
      </w:pPr>
    </w:p>
    <w:p>
      <w:pPr>
        <w:ind w:left="440" w:right="460" w:hanging="436"/>
        <w:spacing w:after="0" w:line="277" w:lineRule="auto"/>
        <w:tabs>
          <w:tab w:leader="none" w:pos="440" w:val="left"/>
        </w:tabs>
        <w:numPr>
          <w:ilvl w:val="0"/>
          <w:numId w:val="69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811" w:name="page812"/>
    <w:bookmarkEnd w:id="81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No Implied Licenses; Retained Rights.</w:t>
      </w:r>
    </w:p>
    <w:p>
      <w:pPr>
        <w:spacing w:after="0" w:line="121"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Except as expressly set forth herein, neither Party shall acquire any license or other right or interest, by implication or otherwise, under any Information, patents, trademarks, copyrights or any other intellectual property of the other Party or its Affiliates. Solely with respect to any Licensed Patents supported by federal funding, if any, the rights and licenses granted to Licensee by Pulmokine hereunder are subject to the rights, conditions and limitations imposed by United States Law (see 35 U.S.C. § 202 et seq. and regulations pertaining thereto), including without limitation: (i) the royalty-free, non-exclusive license granted to the U.S. government; and (ii) the requirement that any Licensed Product used or sold in the United States shall normally be manufactured substantially in the United States.</w:t>
      </w:r>
    </w:p>
    <w:p>
      <w:pPr>
        <w:spacing w:after="0" w:line="178"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All rights not expressly granted by Pulmokine under this Agreement are reserved by Pulmokine and may be used or otherwise exploited by Pulmokine for any purpose. [***]. In the event of an assignment of this Agreement by Pulmokine in accordance with Section 16.1, no rights or licenses to the intellectual property rights Controlled by Pulmokine’s successor shall be granted to Licensee by virtue of such an assignment, beyond the rights and licenses that are expressly granted to Licensee by Pulmokine herein.</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Exclusivity.</w:t>
      </w:r>
    </w:p>
    <w:p>
      <w:pPr>
        <w:spacing w:after="0" w:line="121"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After the Effective Date and during the Term, neither Pulmokine nor any of its Affiliates shall research, develop or commercialize, directly or indirectly, or grant any Third Party any rights to any molecule that is an inhibitor of PDGFR kinase, including the Compound, Backup Compound, Asthma Compounds and Licensed Product; provided, however, that the foregoing shall in no way preclude or otherwise limit Pulmokine’s performance and completion of the ongoing Phase 1A clinical trial, as described in Pulmokine’s IND 122593 until such time as IND 122593 has been transferred to Licensee or its designee, and Pulmokine’s NIH SBIR Grants (R44HL102946 for PK10571 and 1R43HL132709-01 for asthma) have been transferred to Licensee or its designee.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Field Expansion Option.</w:t>
      </w:r>
    </w:p>
    <w:p>
      <w:pPr>
        <w:spacing w:after="0" w:line="121" w:lineRule="exact"/>
        <w:rPr>
          <w:sz w:val="20"/>
          <w:szCs w:val="20"/>
          <w:color w:val="auto"/>
        </w:rPr>
      </w:pPr>
    </w:p>
    <w:p>
      <w:pPr>
        <w:ind w:right="40" w:firstLine="885"/>
        <w:spacing w:after="0" w:line="269" w:lineRule="auto"/>
        <w:tabs>
          <w:tab w:leader="none" w:pos="1126" w:val="left"/>
        </w:tabs>
        <w:numPr>
          <w:ilvl w:val="1"/>
          <w:numId w:val="693"/>
        </w:numPr>
        <w:rPr>
          <w:rFonts w:ascii="Arial" w:cs="Arial" w:eastAsia="Arial" w:hAnsi="Arial"/>
          <w:sz w:val="17"/>
          <w:szCs w:val="17"/>
          <w:color w:val="auto"/>
        </w:rPr>
      </w:pPr>
      <w:r>
        <w:rPr>
          <w:rFonts w:ascii="Arial" w:cs="Arial" w:eastAsia="Arial" w:hAnsi="Arial"/>
          <w:sz w:val="17"/>
          <w:szCs w:val="17"/>
          <w:color w:val="auto"/>
        </w:rPr>
        <w:t>If Licensee, its Affiliates or Sublicensees identifies a potential application of a Background Product (as defined in the Gilead License) outside of the Background Patent Field (as defined in the Gilead License), then Licensee may provide Pulmokine notice of such application and request that Pulmokine engage Gilead to request that the field of use be expanded to include the potential application. Upon receipt of such notice Pulmokine shall engage Gilead to request an amendment to the Gilead License to expand the Background Patent Field (as defined in the Gilead License) up to and including the Broad Field (as defined in the Gilead License) for the Background Product(s) and, following completion of the same, if successful, Pulmokine shall provide Licensee with written notice thereof accompanied by a copy of such Gilead License amendment (the “</w:t>
      </w:r>
      <w:r>
        <w:rPr>
          <w:rFonts w:ascii="Arial" w:cs="Arial" w:eastAsia="Arial" w:hAnsi="Arial"/>
          <w:sz w:val="17"/>
          <w:szCs w:val="17"/>
          <w:b w:val="1"/>
          <w:bCs w:val="1"/>
          <w:color w:val="auto"/>
        </w:rPr>
        <w:t>Field Expansion</w:t>
      </w:r>
      <w:r>
        <w:rPr>
          <w:rFonts w:ascii="Arial" w:cs="Arial" w:eastAsia="Arial" w:hAnsi="Arial"/>
          <w:sz w:val="17"/>
          <w:szCs w:val="17"/>
          <w:color w:val="auto"/>
        </w:rPr>
        <w:t>”). Representatives of Licensee may elect to participate with Pulmokine, and Pulmokine shall use good faith efforts to facilitate Licensee’s participation, in any discussions or negotiations with Gilead concerning such proposed field of use expansion, [***]. To the extent that any additional amounts are required to be paid to Gilead as consideration for the expansion of the field of use, then, prior to amending the Gilead License to expand such field of use, Pulmokine and Licensee shall discuss in good faith the commercial reasonableness of the consideration required by Gilead for the proposed expansion of the field of use. If such consideration is commercially reasonable Pulmokine shall execute the amendment and [***]. Licensee shall be permitted to [***] in connection with such</w:t>
      </w:r>
    </w:p>
    <w:p>
      <w:pPr>
        <w:spacing w:after="0" w:line="152" w:lineRule="exact"/>
        <w:rPr>
          <w:rFonts w:ascii="Arial" w:cs="Arial" w:eastAsia="Arial" w:hAnsi="Arial"/>
          <w:sz w:val="17"/>
          <w:szCs w:val="17"/>
          <w:color w:val="auto"/>
        </w:rPr>
      </w:pPr>
    </w:p>
    <w:p>
      <w:pPr>
        <w:ind w:left="440" w:right="400" w:hanging="436"/>
        <w:spacing w:after="0" w:line="277" w:lineRule="auto"/>
        <w:tabs>
          <w:tab w:leader="none" w:pos="440" w:val="left"/>
        </w:tabs>
        <w:numPr>
          <w:ilvl w:val="0"/>
          <w:numId w:val="69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69" w:right="499" w:bottom="1440" w:gutter="0" w:footer="0" w:header="0"/>
        </w:sectPr>
      </w:pPr>
    </w:p>
    <w:bookmarkStart w:id="812" w:name="page813"/>
    <w:bookmarkEnd w:id="812"/>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expansion of the field of use [***] that are covered by the Field Expansion but would not have been covered by the Field (as defined in the Gilead License).</w:t>
      </w:r>
    </w:p>
    <w:p>
      <w:pPr>
        <w:spacing w:after="0" w:line="62" w:lineRule="exact"/>
        <w:rPr>
          <w:sz w:val="20"/>
          <w:szCs w:val="20"/>
          <w:color w:val="auto"/>
        </w:rPr>
      </w:pPr>
    </w:p>
    <w:p>
      <w:pPr>
        <w:ind w:right="180" w:firstLine="885"/>
        <w:spacing w:after="0" w:line="277" w:lineRule="auto"/>
        <w:tabs>
          <w:tab w:leader="none" w:pos="1136" w:val="left"/>
        </w:tabs>
        <w:numPr>
          <w:ilvl w:val="0"/>
          <w:numId w:val="694"/>
        </w:numPr>
        <w:rPr>
          <w:rFonts w:ascii="Arial" w:cs="Arial" w:eastAsia="Arial" w:hAnsi="Arial"/>
          <w:sz w:val="18"/>
          <w:szCs w:val="18"/>
          <w:color w:val="auto"/>
        </w:rPr>
      </w:pPr>
      <w:r>
        <w:rPr>
          <w:rFonts w:ascii="Arial" w:cs="Arial" w:eastAsia="Arial" w:hAnsi="Arial"/>
          <w:sz w:val="18"/>
          <w:szCs w:val="18"/>
          <w:color w:val="auto"/>
        </w:rPr>
        <w:t>In the event that the Field Expansion includes at least all indication(s) related to [***] and all Future New Inventions (as defined in the Gilead License) (the [***]), then Licensee [***].</w:t>
      </w:r>
    </w:p>
    <w:p>
      <w:pPr>
        <w:spacing w:after="0" w:line="62" w:lineRule="exact"/>
        <w:rPr>
          <w:rFonts w:ascii="Arial" w:cs="Arial" w:eastAsia="Arial" w:hAnsi="Arial"/>
          <w:sz w:val="18"/>
          <w:szCs w:val="18"/>
          <w:color w:val="auto"/>
        </w:rPr>
      </w:pPr>
    </w:p>
    <w:p>
      <w:pPr>
        <w:ind w:right="160" w:firstLine="885"/>
        <w:spacing w:after="0" w:line="264" w:lineRule="auto"/>
        <w:tabs>
          <w:tab w:leader="none" w:pos="1126" w:val="left"/>
        </w:tabs>
        <w:numPr>
          <w:ilvl w:val="0"/>
          <w:numId w:val="694"/>
        </w:numPr>
        <w:rPr>
          <w:rFonts w:ascii="Arial" w:cs="Arial" w:eastAsia="Arial" w:hAnsi="Arial"/>
          <w:sz w:val="18"/>
          <w:szCs w:val="18"/>
          <w:color w:val="auto"/>
        </w:rPr>
      </w:pPr>
      <w:r>
        <w:rPr>
          <w:rFonts w:ascii="Arial" w:cs="Arial" w:eastAsia="Arial" w:hAnsi="Arial"/>
          <w:sz w:val="18"/>
          <w:szCs w:val="18"/>
          <w:color w:val="auto"/>
        </w:rPr>
        <w:t>Licensee hereby acknowledges and agrees that Pulmokine’s ability to successfully amend the Gilead License, as contemplated by this Section 2.7, remains subject to certain factors that are outside of Pulmokine’s reasonable control, [***] the Licensee’s requested amendment(s) of such Gilead License to expand the field.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CONSIDERATION</w:t>
      </w:r>
    </w:p>
    <w:p>
      <w:pPr>
        <w:spacing w:after="0" w:line="12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In consideration of the Licenses and other rights granted to Licensee under this Agreement, Licensee shall pay to Pulmokine the payments as described in this Article 3.</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Up-front Closing and Field Expansion Payment.</w:t>
      </w:r>
    </w:p>
    <w:p>
      <w:pPr>
        <w:spacing w:after="0" w:line="117" w:lineRule="exact"/>
        <w:rPr>
          <w:sz w:val="20"/>
          <w:szCs w:val="20"/>
          <w:color w:val="auto"/>
        </w:rPr>
      </w:pPr>
    </w:p>
    <w:p>
      <w:pPr>
        <w:ind w:firstLine="885"/>
        <w:spacing w:after="0" w:line="282" w:lineRule="auto"/>
        <w:tabs>
          <w:tab w:leader="none" w:pos="1126" w:val="left"/>
        </w:tabs>
        <w:numPr>
          <w:ilvl w:val="0"/>
          <w:numId w:val="695"/>
        </w:numPr>
        <w:rPr>
          <w:rFonts w:ascii="Arial" w:cs="Arial" w:eastAsia="Arial" w:hAnsi="Arial"/>
          <w:sz w:val="18"/>
          <w:szCs w:val="18"/>
          <w:color w:val="auto"/>
        </w:rPr>
      </w:pPr>
      <w:r>
        <w:rPr>
          <w:rFonts w:ascii="Arial" w:cs="Arial" w:eastAsia="Arial" w:hAnsi="Arial"/>
          <w:sz w:val="18"/>
          <w:szCs w:val="18"/>
          <w:color w:val="auto"/>
        </w:rPr>
        <w:t>Upon execution of this Agreement, Licensee shall pay to Pulmokine an initial one-time, non-refundable payment (the “</w:t>
      </w:r>
      <w:r>
        <w:rPr>
          <w:rFonts w:ascii="Arial" w:cs="Arial" w:eastAsia="Arial" w:hAnsi="Arial"/>
          <w:sz w:val="18"/>
          <w:szCs w:val="18"/>
          <w:b w:val="1"/>
          <w:bCs w:val="1"/>
          <w:color w:val="auto"/>
        </w:rPr>
        <w:t>Up-front Closing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five million, and five hundred thousand USD ($5,500,000).</w:t>
      </w:r>
    </w:p>
    <w:p>
      <w:pPr>
        <w:spacing w:after="0" w:line="57" w:lineRule="exact"/>
        <w:rPr>
          <w:rFonts w:ascii="Arial" w:cs="Arial" w:eastAsia="Arial" w:hAnsi="Arial"/>
          <w:sz w:val="18"/>
          <w:szCs w:val="18"/>
          <w:color w:val="auto"/>
        </w:rPr>
      </w:pPr>
    </w:p>
    <w:p>
      <w:pPr>
        <w:ind w:left="1140" w:hanging="255"/>
        <w:spacing w:after="0"/>
        <w:tabs>
          <w:tab w:leader="none" w:pos="114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Licensee shall pay Pulmokine an additional one-time, non-refundable milestone payment of [***] dollars ($[***]) within [***].</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3.2. Development Milestones.</w:t>
      </w:r>
    </w:p>
    <w:p>
      <w:pPr>
        <w:spacing w:after="0" w:line="121"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Within [***] of Licensee or its Affiliates or Sublicensees first achieving the following development-related milestone events with respect to first Licensed Product to achieve such milestone (each, a “</w:t>
      </w:r>
      <w:r>
        <w:rPr>
          <w:rFonts w:ascii="Arial" w:cs="Arial" w:eastAsia="Arial" w:hAnsi="Arial"/>
          <w:sz w:val="18"/>
          <w:szCs w:val="18"/>
          <w:b w:val="1"/>
          <w:bCs w:val="1"/>
          <w:color w:val="auto"/>
        </w:rPr>
        <w:t>Development Milestone</w:t>
      </w:r>
      <w:r>
        <w:rPr>
          <w:rFonts w:ascii="Arial" w:cs="Arial" w:eastAsia="Arial" w:hAnsi="Arial"/>
          <w:sz w:val="18"/>
          <w:szCs w:val="18"/>
          <w:color w:val="auto"/>
        </w:rPr>
        <w:t>”), Licensee will notify Pulmokine in writing thereof and, upon receipt of an invoice from Pulmokine, will pay the below-specified non-refundable amounts to Pulmokine:</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2480" w:type="dxa"/>
            <w:vAlign w:val="bottom"/>
          </w:tcPr>
          <w:p>
            <w:pPr>
              <w:spacing w:after="0"/>
              <w:rPr>
                <w:sz w:val="14"/>
                <w:szCs w:val="14"/>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w w:val="99"/>
              </w:rPr>
              <w:t>Milestone</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3700" w:type="dxa"/>
            <w:vAlign w:val="bottom"/>
            <w:gridSpan w:val="2"/>
          </w:tcPr>
          <w:p>
            <w:pPr>
              <w:ind w:left="2340"/>
              <w:spacing w:after="0"/>
              <w:rPr>
                <w:sz w:val="20"/>
                <w:szCs w:val="20"/>
                <w:color w:val="auto"/>
              </w:rPr>
            </w:pPr>
            <w:r>
              <w:rPr>
                <w:rFonts w:ascii="Arial" w:cs="Arial" w:eastAsia="Arial" w:hAnsi="Arial"/>
                <w:sz w:val="14"/>
                <w:szCs w:val="14"/>
                <w:b w:val="1"/>
                <w:bCs w:val="1"/>
                <w:color w:val="auto"/>
              </w:rPr>
              <w:t>Payment (USD)</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23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23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For the purposes of this Section 3.2, the term “Licensed Product” shall expressly exclude any process or tangible material, which, in the course of being practiced, manufactured, used, sold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46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440" w:right="460" w:hanging="436"/>
        <w:spacing w:after="0" w:line="277" w:lineRule="auto"/>
        <w:tabs>
          <w:tab w:leader="none" w:pos="440" w:val="left"/>
        </w:tabs>
        <w:numPr>
          <w:ilvl w:val="0"/>
          <w:numId w:val="69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5" w:right="439" w:bottom="1440" w:gutter="0" w:footer="0" w:header="0"/>
        </w:sectPr>
      </w:pPr>
    </w:p>
    <w:bookmarkStart w:id="813" w:name="page814"/>
    <w:bookmarkEnd w:id="81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imported, would contain or otherwise incorporate one or more of the Biomarkers or other similar subject matter that is the subject of the Biomarker Patents. For clarity, Licensee shall be required to pay any Development Milestone payment if a subsequent Development Milestone is achieved before a preceding Development Milestone. [***].</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clarity, each Development Milestone payment is due only once regardless of the number of Licensed Products developed by Licensee.</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 Regulatory Milestones.</w:t>
      </w:r>
    </w:p>
    <w:p>
      <w:pPr>
        <w:spacing w:after="0" w:line="229"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Within [</w:t>
      </w:r>
      <w:r>
        <w:rPr>
          <w:rFonts w:ascii="Arial" w:cs="Arial" w:eastAsia="Arial" w:hAnsi="Arial"/>
          <w:sz w:val="15"/>
          <w:szCs w:val="15"/>
          <w:color w:val="auto"/>
        </w:rPr>
        <w:t>***</w:t>
      </w:r>
      <w:r>
        <w:rPr>
          <w:rFonts w:ascii="Arial" w:cs="Arial" w:eastAsia="Arial" w:hAnsi="Arial"/>
          <w:sz w:val="18"/>
          <w:szCs w:val="18"/>
          <w:color w:val="auto"/>
        </w:rPr>
        <w:t>] of Licensee or its Affiliates or Sublicensees first achieving the following regulatory milestone events with respect to the First and Second Licensed Products (each, a “</w:t>
      </w:r>
      <w:r>
        <w:rPr>
          <w:rFonts w:ascii="Arial" w:cs="Arial" w:eastAsia="Arial" w:hAnsi="Arial"/>
          <w:sz w:val="18"/>
          <w:szCs w:val="18"/>
          <w:b w:val="1"/>
          <w:bCs w:val="1"/>
          <w:color w:val="auto"/>
        </w:rPr>
        <w:t>Regulatory Milestone</w:t>
      </w:r>
      <w:r>
        <w:rPr>
          <w:rFonts w:ascii="Arial" w:cs="Arial" w:eastAsia="Arial" w:hAnsi="Arial"/>
          <w:sz w:val="18"/>
          <w:szCs w:val="18"/>
          <w:color w:val="auto"/>
        </w:rPr>
        <w:t>”), Licensee will notify Pulmokine in writing thereof and, upon receipt of an invoice from Pulmokine, will pay the below-specified non-refundable amounts to Pulmokine:</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Milestone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Payment For</w:t>
            </w: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Regulatory Milestone</w:t>
            </w:r>
          </w:p>
        </w:tc>
        <w:tc>
          <w:tcPr>
            <w:tcW w:w="2960" w:type="dxa"/>
            <w:vAlign w:val="bottom"/>
          </w:tcPr>
          <w:p>
            <w:pPr>
              <w:spacing w:after="0"/>
              <w:rPr>
                <w:sz w:val="12"/>
                <w:szCs w:val="12"/>
                <w:color w:val="auto"/>
              </w:rPr>
            </w:pPr>
          </w:p>
        </w:tc>
        <w:tc>
          <w:tcPr>
            <w:tcW w:w="13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Payment For First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Second Licensed</w:t>
            </w:r>
          </w:p>
        </w:tc>
        <w:tc>
          <w:tcPr>
            <w:tcW w:w="0" w:type="dxa"/>
            <w:vAlign w:val="bottom"/>
          </w:tcPr>
          <w:p>
            <w:pPr>
              <w:spacing w:after="0"/>
              <w:rPr>
                <w:sz w:val="1"/>
                <w:szCs w:val="1"/>
                <w:color w:val="auto"/>
              </w:rPr>
            </w:pPr>
          </w:p>
        </w:tc>
      </w:tr>
      <w:tr>
        <w:trPr>
          <w:trHeight w:val="178"/>
        </w:trPr>
        <w:tc>
          <w:tcPr>
            <w:tcW w:w="1340" w:type="dxa"/>
            <w:vAlign w:val="bottom"/>
            <w:gridSpan w:val="2"/>
            <w:vMerge w:val="continue"/>
          </w:tcPr>
          <w:p>
            <w:pPr>
              <w:spacing w:after="0"/>
              <w:rPr>
                <w:sz w:val="15"/>
                <w:szCs w:val="15"/>
                <w:color w:val="auto"/>
              </w:rPr>
            </w:pPr>
          </w:p>
        </w:tc>
        <w:tc>
          <w:tcPr>
            <w:tcW w:w="5200" w:type="dxa"/>
            <w:vAlign w:val="bottom"/>
            <w:gridSpan w:val="4"/>
          </w:tcPr>
          <w:p>
            <w:pPr>
              <w:ind w:left="2960"/>
              <w:spacing w:after="0" w:line="158" w:lineRule="exact"/>
              <w:rPr>
                <w:sz w:val="20"/>
                <w:szCs w:val="20"/>
                <w:color w:val="auto"/>
              </w:rPr>
            </w:pPr>
            <w:r>
              <w:rPr>
                <w:rFonts w:ascii="Arial" w:cs="Arial" w:eastAsia="Arial" w:hAnsi="Arial"/>
                <w:sz w:val="14"/>
                <w:szCs w:val="14"/>
                <w:b w:val="1"/>
                <w:bCs w:val="1"/>
                <w:color w:val="auto"/>
              </w:rPr>
              <w:t>Licensed Product (USD)</w:t>
            </w:r>
          </w:p>
        </w:tc>
        <w:tc>
          <w:tcPr>
            <w:tcW w:w="440" w:type="dxa"/>
            <w:vAlign w:val="bottom"/>
          </w:tcPr>
          <w:p>
            <w:pPr>
              <w:spacing w:after="0"/>
              <w:rPr>
                <w:sz w:val="15"/>
                <w:szCs w:val="15"/>
                <w:color w:val="auto"/>
              </w:rPr>
            </w:pPr>
          </w:p>
        </w:tc>
        <w:tc>
          <w:tcPr>
            <w:tcW w:w="140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Product (USD)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9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1. [***]</w:t>
            </w:r>
          </w:p>
        </w:tc>
        <w:tc>
          <w:tcPr>
            <w:tcW w:w="43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 [***]</w:t>
            </w:r>
          </w:p>
        </w:tc>
        <w:tc>
          <w:tcPr>
            <w:tcW w:w="43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3. [***]</w:t>
            </w:r>
          </w:p>
        </w:tc>
        <w:tc>
          <w:tcPr>
            <w:tcW w:w="43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4. [***]</w:t>
            </w:r>
          </w:p>
        </w:tc>
        <w:tc>
          <w:tcPr>
            <w:tcW w:w="43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5. [***]</w:t>
            </w:r>
          </w:p>
        </w:tc>
        <w:tc>
          <w:tcPr>
            <w:tcW w:w="43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6. [***]</w:t>
            </w:r>
          </w:p>
        </w:tc>
        <w:tc>
          <w:tcPr>
            <w:tcW w:w="43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7. [***]</w:t>
            </w:r>
          </w:p>
        </w:tc>
        <w:tc>
          <w:tcPr>
            <w:tcW w:w="43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8. [***]</w:t>
            </w:r>
          </w:p>
        </w:tc>
        <w:tc>
          <w:tcPr>
            <w:tcW w:w="43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For clarity, the milestone payments under this Section 3.3 shall not [***] for the first Licensed Product, $[***] for the second Licensed Product, or a total of $[***] for all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46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440" w:right="400" w:hanging="436"/>
        <w:spacing w:after="0" w:line="277" w:lineRule="auto"/>
        <w:tabs>
          <w:tab w:leader="none" w:pos="440" w:val="left"/>
        </w:tabs>
        <w:numPr>
          <w:ilvl w:val="0"/>
          <w:numId w:val="697"/>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814" w:name="page815"/>
    <w:bookmarkEnd w:id="814"/>
    <w:p>
      <w:pPr>
        <w:ind w:right="300" w:firstLine="88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Section 3.3, the term “</w:t>
      </w:r>
      <w:r>
        <w:rPr>
          <w:rFonts w:ascii="Arial" w:cs="Arial" w:eastAsia="Arial" w:hAnsi="Arial"/>
          <w:sz w:val="18"/>
          <w:szCs w:val="18"/>
          <w:b w:val="1"/>
          <w:bCs w:val="1"/>
          <w:color w:val="auto"/>
        </w:rPr>
        <w:t>First Licensed Product</w:t>
      </w:r>
      <w:r>
        <w:rPr>
          <w:rFonts w:ascii="Arial" w:cs="Arial" w:eastAsia="Arial" w:hAnsi="Arial"/>
          <w:sz w:val="18"/>
          <w:szCs w:val="18"/>
          <w:color w:val="auto"/>
        </w:rPr>
        <w:t>” shall mean a Licensed Product [***] and the term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Licensed Product</w:t>
      </w:r>
      <w:r>
        <w:rPr>
          <w:rFonts w:ascii="Arial" w:cs="Arial" w:eastAsia="Arial" w:hAnsi="Arial"/>
          <w:sz w:val="18"/>
          <w:szCs w:val="18"/>
          <w:color w:val="auto"/>
        </w:rPr>
        <w:t>” shall mean a Licensed Product [***], provided that, for clarity, each of the First Licensed Product and Second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3.4. Sales Milestones.</w:t>
      </w:r>
    </w:p>
    <w:p>
      <w:pPr>
        <w:spacing w:after="0" w:line="229"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Within [***] of Licensee or its Affiliates or Sublicensees first achieving the following sales-related milestone events during the Royalty Term with respect to aggregate annual Net Sales of the Licensed Products (each, a “</w:t>
      </w:r>
      <w:r>
        <w:rPr>
          <w:rFonts w:ascii="Arial" w:cs="Arial" w:eastAsia="Arial" w:hAnsi="Arial"/>
          <w:sz w:val="18"/>
          <w:szCs w:val="18"/>
          <w:b w:val="1"/>
          <w:bCs w:val="1"/>
          <w:color w:val="auto"/>
        </w:rPr>
        <w:t>Sales Milestone</w:t>
      </w:r>
      <w:r>
        <w:rPr>
          <w:rFonts w:ascii="Arial" w:cs="Arial" w:eastAsia="Arial" w:hAnsi="Arial"/>
          <w:sz w:val="18"/>
          <w:szCs w:val="18"/>
          <w:color w:val="auto"/>
        </w:rPr>
        <w:t>”), Licensee will notify Pulmokine in writing thereof and, upon receipt of an invoice from Pulmokine, pay the below-specified amounts to Pulmokine:</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9"/>
              </w:rPr>
              <w:t>Sales Milestone</w:t>
            </w: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w w:val="99"/>
              </w:rPr>
              <w:t>Milestone</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vMerge w:val="continue"/>
          </w:tcPr>
          <w:p>
            <w:pPr>
              <w:spacing w:after="0"/>
              <w:rPr>
                <w:sz w:val="15"/>
                <w:szCs w:val="15"/>
                <w:color w:val="auto"/>
              </w:rPr>
            </w:pPr>
          </w:p>
        </w:tc>
        <w:tc>
          <w:tcPr>
            <w:tcW w:w="6520" w:type="dxa"/>
            <w:vAlign w:val="bottom"/>
            <w:gridSpan w:val="4"/>
          </w:tcPr>
          <w:p>
            <w:pPr>
              <w:jc w:val="right"/>
              <w:ind w:right="290"/>
              <w:spacing w:after="0" w:line="158" w:lineRule="exact"/>
              <w:rPr>
                <w:sz w:val="20"/>
                <w:szCs w:val="20"/>
                <w:color w:val="auto"/>
              </w:rPr>
            </w:pPr>
            <w:r>
              <w:rPr>
                <w:rFonts w:ascii="Arial" w:cs="Arial" w:eastAsia="Arial" w:hAnsi="Arial"/>
                <w:sz w:val="14"/>
                <w:szCs w:val="14"/>
                <w:b w:val="1"/>
                <w:bCs w:val="1"/>
                <w:color w:val="auto"/>
              </w:rPr>
              <w:t>Payment (USD)</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clarity, each Sales Milestone payment is due only once regardless of the number of Licensed Products commercialized by Licensee or the number of times the Sales Milestone is met.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3.5. Royalty.</w:t>
      </w:r>
    </w:p>
    <w:p>
      <w:pPr>
        <w:spacing w:after="0" w:line="229" w:lineRule="exact"/>
        <w:rPr>
          <w:sz w:val="20"/>
          <w:szCs w:val="20"/>
          <w:color w:val="auto"/>
        </w:rPr>
      </w:pPr>
    </w:p>
    <w:p>
      <w:pPr>
        <w:ind w:right="560" w:firstLine="881"/>
        <w:spacing w:after="0" w:line="308" w:lineRule="auto"/>
        <w:rPr>
          <w:sz w:val="20"/>
          <w:szCs w:val="20"/>
          <w:color w:val="auto"/>
        </w:rPr>
      </w:pPr>
      <w:r>
        <w:rPr>
          <w:rFonts w:ascii="Arial" w:cs="Arial" w:eastAsia="Arial" w:hAnsi="Arial"/>
          <w:sz w:val="17"/>
          <w:szCs w:val="17"/>
          <w:color w:val="auto"/>
        </w:rPr>
        <w:t>During the Royalty Term, on a License Product-by-Licensed Product basis, Licensee shall pay to Pulmokine royalty payments at the following royalty rates on the applicable portion of the cumulative Territory-wide Calendar Year Net Sales of all Licensed Products:</w:t>
      </w:r>
    </w:p>
    <w:p>
      <w:pPr>
        <w:spacing w:after="0" w:line="188"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Cumulative Calendar Year Net Sales of the Licensed Products</w:t>
            </w:r>
          </w:p>
        </w:tc>
        <w:tc>
          <w:tcPr>
            <w:tcW w:w="1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Royalty Rate</w:t>
            </w:r>
          </w:p>
        </w:tc>
      </w:tr>
      <w:tr>
        <w:trPr>
          <w:trHeight w:val="418"/>
        </w:trPr>
        <w:tc>
          <w:tcPr>
            <w:tcW w:w="6080" w:type="dxa"/>
            <w:vAlign w:val="bottom"/>
          </w:tcPr>
          <w:p>
            <w:pPr>
              <w:ind w:left="720"/>
              <w:spacing w:after="0"/>
              <w:rPr>
                <w:sz w:val="20"/>
                <w:szCs w:val="20"/>
                <w:color w:val="auto"/>
              </w:rPr>
            </w:pPr>
            <w:r>
              <w:rPr>
                <w:rFonts w:ascii="Arial" w:cs="Arial" w:eastAsia="Arial" w:hAnsi="Arial"/>
                <w:sz w:val="18"/>
                <w:szCs w:val="18"/>
                <w:color w:val="auto"/>
                <w:w w:val="97"/>
              </w:rPr>
              <w:t>Portion of cumulative Calendar Year Net Sales of Licensed Products</w:t>
            </w:r>
          </w:p>
        </w:tc>
        <w:tc>
          <w:tcPr>
            <w:tcW w:w="140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 the Territory up to and including USD $[***]</w:t>
            </w:r>
          </w:p>
        </w:tc>
        <w:tc>
          <w:tcPr>
            <w:tcW w:w="140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Portion of cumulative Calendar Year Net Sales of Licensed Products</w:t>
            </w:r>
          </w:p>
        </w:tc>
        <w:tc>
          <w:tcPr>
            <w:tcW w:w="14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 the Territory between USD $[***]and USD $[***]</w:t>
            </w:r>
          </w:p>
        </w:tc>
        <w:tc>
          <w:tcPr>
            <w:tcW w:w="1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tcPr>
          <w:p>
            <w:pPr>
              <w:ind w:left="720"/>
              <w:spacing w:after="0" w:line="201" w:lineRule="exact"/>
              <w:rPr>
                <w:sz w:val="20"/>
                <w:szCs w:val="20"/>
                <w:color w:val="auto"/>
              </w:rPr>
            </w:pPr>
            <w:r>
              <w:rPr>
                <w:rFonts w:ascii="Arial" w:cs="Arial" w:eastAsia="Arial" w:hAnsi="Arial"/>
                <w:sz w:val="18"/>
                <w:szCs w:val="18"/>
                <w:color w:val="auto"/>
                <w:w w:val="97"/>
              </w:rPr>
              <w:t>Portion of cumulative Calendar Year Net Sales of Licensed Products</w:t>
            </w:r>
          </w:p>
        </w:tc>
        <w:tc>
          <w:tcPr>
            <w:tcW w:w="1400" w:type="dxa"/>
            <w:vAlign w:val="bottom"/>
          </w:tcPr>
          <w:p>
            <w:pPr>
              <w:spacing w:after="0"/>
              <w:rPr>
                <w:sz w:val="17"/>
                <w:szCs w:val="17"/>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 the Territory exceeding USD $[***]</w:t>
            </w:r>
          </w:p>
        </w:tc>
        <w:tc>
          <w:tcPr>
            <w:tcW w:w="1400" w:type="dxa"/>
            <w:vAlign w:val="bottom"/>
          </w:tcPr>
          <w:p>
            <w:pPr>
              <w:ind w:left="4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46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76" w:lineRule="exact"/>
        <w:rPr>
          <w:sz w:val="20"/>
          <w:szCs w:val="20"/>
          <w:color w:val="auto"/>
        </w:rPr>
      </w:pPr>
    </w:p>
    <w:p>
      <w:pPr>
        <w:ind w:left="440" w:right="420" w:hanging="436"/>
        <w:spacing w:after="0" w:line="277" w:lineRule="auto"/>
        <w:tabs>
          <w:tab w:leader="none" w:pos="440" w:val="left"/>
        </w:tabs>
        <w:numPr>
          <w:ilvl w:val="0"/>
          <w:numId w:val="69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69" w:right="479" w:bottom="1440" w:gutter="0" w:footer="0" w:header="0"/>
        </w:sectPr>
      </w:pPr>
    </w:p>
    <w:bookmarkStart w:id="815" w:name="page816"/>
    <w:bookmarkEnd w:id="81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 Sublicensing Income and Purchaser Income.</w:t>
      </w:r>
    </w:p>
    <w:p>
      <w:pPr>
        <w:spacing w:after="0" w:line="121" w:lineRule="exact"/>
        <w:rPr>
          <w:sz w:val="20"/>
          <w:szCs w:val="20"/>
          <w:color w:val="auto"/>
        </w:rPr>
      </w:pPr>
    </w:p>
    <w:p>
      <w:pPr>
        <w:ind w:right="260" w:firstLine="885"/>
        <w:spacing w:after="0" w:line="277" w:lineRule="auto"/>
        <w:tabs>
          <w:tab w:leader="none" w:pos="1126" w:val="left"/>
        </w:tabs>
        <w:numPr>
          <w:ilvl w:val="0"/>
          <w:numId w:val="699"/>
        </w:numPr>
        <w:rPr>
          <w:rFonts w:ascii="Arial" w:cs="Arial" w:eastAsia="Arial" w:hAnsi="Arial"/>
          <w:sz w:val="18"/>
          <w:szCs w:val="18"/>
          <w:color w:val="auto"/>
        </w:rPr>
      </w:pPr>
      <w:r>
        <w:rPr>
          <w:rFonts w:ascii="Arial" w:cs="Arial" w:eastAsia="Arial" w:hAnsi="Arial"/>
          <w:sz w:val="18"/>
          <w:szCs w:val="18"/>
          <w:color w:val="auto"/>
        </w:rPr>
        <w:t>Licensee shall pay to Pulmokine a percentage of all Sublicense Income and Purchaser Income received by Licensee or its Affiliates at the following rates:</w:t>
      </w:r>
    </w:p>
    <w:p>
      <w:pPr>
        <w:spacing w:after="0" w:line="58" w:lineRule="exact"/>
        <w:rPr>
          <w:sz w:val="20"/>
          <w:szCs w:val="20"/>
          <w:color w:val="auto"/>
        </w:rPr>
      </w:pPr>
    </w:p>
    <w:p>
      <w:pPr>
        <w:ind w:right="420" w:firstLine="885"/>
        <w:spacing w:after="0" w:line="282" w:lineRule="auto"/>
        <w:tabs>
          <w:tab w:leader="none" w:pos="109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percent ([***]%) [***] Sublicensee or a Third Party purchaser (“</w:t>
      </w:r>
      <w:r>
        <w:rPr>
          <w:rFonts w:ascii="Arial" w:cs="Arial" w:eastAsia="Arial" w:hAnsi="Arial"/>
          <w:sz w:val="18"/>
          <w:szCs w:val="18"/>
          <w:b w:val="1"/>
          <w:bCs w:val="1"/>
          <w:color w:val="auto"/>
        </w:rPr>
        <w:t>Purchaser</w:t>
      </w:r>
      <w:r>
        <w:rPr>
          <w:rFonts w:ascii="Arial" w:cs="Arial" w:eastAsia="Arial" w:hAnsi="Arial"/>
          <w:sz w:val="18"/>
          <w:szCs w:val="18"/>
          <w:color w:val="auto"/>
        </w:rPr>
        <w:t>”) pursuant to a sublicense or purchase agreement entered into with such a Sublicensee or Purchaser prior to [***];</w:t>
      </w:r>
    </w:p>
    <w:p>
      <w:pPr>
        <w:spacing w:after="0" w:line="57" w:lineRule="exact"/>
        <w:rPr>
          <w:rFonts w:ascii="Arial" w:cs="Arial" w:eastAsia="Arial" w:hAnsi="Arial"/>
          <w:sz w:val="18"/>
          <w:szCs w:val="18"/>
          <w:color w:val="auto"/>
        </w:rPr>
      </w:pPr>
    </w:p>
    <w:p>
      <w:pPr>
        <w:ind w:right="360" w:firstLine="885"/>
        <w:spacing w:after="0" w:line="264" w:lineRule="auto"/>
        <w:tabs>
          <w:tab w:leader="none" w:pos="114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percent ([***]%) of Sublicense Income or Purchaser Income paid to, or earned or accrued by, Licensee or its Affiliates from a Sublicensee or Purchaser pursuant to a sublicense or purchase agreement entered into with such a Sublicensee or Purchaser after the milestone in subparagraph (a) and [***]; and</w:t>
      </w:r>
    </w:p>
    <w:p>
      <w:pPr>
        <w:spacing w:after="0" w:line="73" w:lineRule="exact"/>
        <w:rPr>
          <w:rFonts w:ascii="Arial" w:cs="Arial" w:eastAsia="Arial" w:hAnsi="Arial"/>
          <w:sz w:val="18"/>
          <w:szCs w:val="18"/>
          <w:color w:val="auto"/>
        </w:rPr>
      </w:pPr>
    </w:p>
    <w:p>
      <w:pPr>
        <w:ind w:right="320" w:firstLine="885"/>
        <w:spacing w:after="0" w:line="308" w:lineRule="auto"/>
        <w:tabs>
          <w:tab w:leader="none" w:pos="1196" w:val="left"/>
        </w:tabs>
        <w:numPr>
          <w:ilvl w:val="0"/>
          <w:numId w:val="700"/>
        </w:numPr>
        <w:rPr>
          <w:rFonts w:ascii="Arial" w:cs="Arial" w:eastAsia="Arial" w:hAnsi="Arial"/>
          <w:sz w:val="17"/>
          <w:szCs w:val="17"/>
          <w:color w:val="auto"/>
        </w:rPr>
      </w:pPr>
      <w:r>
        <w:rPr>
          <w:rFonts w:ascii="Arial" w:cs="Arial" w:eastAsia="Arial" w:hAnsi="Arial"/>
          <w:sz w:val="17"/>
          <w:szCs w:val="17"/>
          <w:color w:val="auto"/>
        </w:rPr>
        <w:t>[***] percent ([***]%) of Sublicense Income or Purchaser Income paid to, or earned or accrued by, Licensee or its Affiliates from a Sublicensee or Purchaser pursuant to a sublicense or purchase agreement entered into with such a Sublicensee or Purchaser [***].</w:t>
      </w:r>
    </w:p>
    <w:p>
      <w:pPr>
        <w:spacing w:after="0" w:line="38" w:lineRule="exact"/>
        <w:rPr>
          <w:sz w:val="20"/>
          <w:szCs w:val="20"/>
          <w:color w:val="auto"/>
        </w:rPr>
      </w:pPr>
    </w:p>
    <w:p>
      <w:pPr>
        <w:ind w:left="1140" w:hanging="255"/>
        <w:spacing w:after="0"/>
        <w:tabs>
          <w:tab w:leader="none" w:pos="11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For any Purchaser Income due to Pulmokine pursuant to Section 3.6(a) [***].</w:t>
      </w:r>
    </w:p>
    <w:p>
      <w:pPr>
        <w:spacing w:after="0" w:line="117" w:lineRule="exact"/>
        <w:rPr>
          <w:rFonts w:ascii="Arial" w:cs="Arial" w:eastAsia="Arial" w:hAnsi="Arial"/>
          <w:sz w:val="18"/>
          <w:szCs w:val="18"/>
          <w:color w:val="auto"/>
        </w:rPr>
      </w:pPr>
    </w:p>
    <w:p>
      <w:pPr>
        <w:ind w:right="120" w:firstLine="885"/>
        <w:spacing w:after="0" w:line="264" w:lineRule="auto"/>
        <w:tabs>
          <w:tab w:leader="none" w:pos="1126" w:val="left"/>
        </w:tabs>
        <w:numPr>
          <w:ilvl w:val="1"/>
          <w:numId w:val="701"/>
        </w:numPr>
        <w:rPr>
          <w:rFonts w:ascii="Arial" w:cs="Arial" w:eastAsia="Arial" w:hAnsi="Arial"/>
          <w:sz w:val="18"/>
          <w:szCs w:val="18"/>
          <w:color w:val="auto"/>
        </w:rPr>
      </w:pPr>
      <w:r>
        <w:rPr>
          <w:rFonts w:ascii="Arial" w:cs="Arial" w:eastAsia="Arial" w:hAnsi="Arial"/>
          <w:sz w:val="18"/>
          <w:szCs w:val="18"/>
          <w:color w:val="auto"/>
        </w:rPr>
        <w:t>For payments for Sublicense Income that is earned or accrued in the relevant time period under this Section 3.6, such payments shall be due Pulmokine on Licensee’s or its Affiliates’ actual receipt of such Sublicense Income [***]. For clarity, no payments for Sublicensing Income or Purchaser Income shall be due to Pulmokine unless actually received by Licensee or its Affiliates.</w:t>
      </w:r>
    </w:p>
    <w:p>
      <w:pPr>
        <w:spacing w:after="0" w:line="69" w:lineRule="exact"/>
        <w:rPr>
          <w:rFonts w:ascii="Arial" w:cs="Arial" w:eastAsia="Arial" w:hAnsi="Arial"/>
          <w:sz w:val="18"/>
          <w:szCs w:val="18"/>
          <w:color w:val="auto"/>
        </w:rPr>
      </w:pPr>
    </w:p>
    <w:p>
      <w:pPr>
        <w:ind w:right="20" w:firstLine="885"/>
        <w:spacing w:after="0" w:line="287" w:lineRule="auto"/>
        <w:tabs>
          <w:tab w:leader="none" w:pos="1136" w:val="left"/>
        </w:tabs>
        <w:numPr>
          <w:ilvl w:val="1"/>
          <w:numId w:val="701"/>
        </w:numPr>
        <w:rPr>
          <w:rFonts w:ascii="Arial" w:cs="Arial" w:eastAsia="Arial" w:hAnsi="Arial"/>
          <w:sz w:val="16"/>
          <w:szCs w:val="16"/>
          <w:color w:val="auto"/>
        </w:rPr>
      </w:pPr>
      <w:r>
        <w:rPr>
          <w:rFonts w:ascii="Arial" w:cs="Arial" w:eastAsia="Arial" w:hAnsi="Arial"/>
          <w:sz w:val="16"/>
          <w:szCs w:val="16"/>
          <w:color w:val="auto"/>
        </w:rPr>
        <w:t>For purposes of this Section 3.6, “</w:t>
      </w:r>
      <w:r>
        <w:rPr>
          <w:rFonts w:ascii="Arial" w:cs="Arial" w:eastAsia="Arial" w:hAnsi="Arial"/>
          <w:sz w:val="16"/>
          <w:szCs w:val="16"/>
          <w:b w:val="1"/>
          <w:bCs w:val="1"/>
          <w:color w:val="auto"/>
        </w:rPr>
        <w:t>Sublicense Income</w:t>
      </w:r>
      <w:r>
        <w:rPr>
          <w:rFonts w:ascii="Arial" w:cs="Arial" w:eastAsia="Arial" w:hAnsi="Arial"/>
          <w:sz w:val="16"/>
          <w:szCs w:val="16"/>
          <w:color w:val="auto"/>
        </w:rPr>
        <w:t>” means [***], received by Licensee or its Affiliates from a Sublicensee pursuant to a sublicense of one or more of the Licensed Patents granted pursuant to this Agreement; and “</w:t>
      </w:r>
      <w:r>
        <w:rPr>
          <w:rFonts w:ascii="Arial" w:cs="Arial" w:eastAsia="Arial" w:hAnsi="Arial"/>
          <w:sz w:val="16"/>
          <w:szCs w:val="16"/>
          <w:b w:val="1"/>
          <w:bCs w:val="1"/>
          <w:color w:val="auto"/>
        </w:rPr>
        <w:t>Purchaser Income</w:t>
      </w:r>
      <w:r>
        <w:rPr>
          <w:rFonts w:ascii="Arial" w:cs="Arial" w:eastAsia="Arial" w:hAnsi="Arial"/>
          <w:sz w:val="16"/>
          <w:szCs w:val="16"/>
          <w:color w:val="auto"/>
        </w:rPr>
        <w:t>” means any payment received by Licensee or its Affiliates from a Third Party [***], or a Change of Control of Licensee. Not included in Sublicensing Income or Purchaser Income is any other consideration received by Licensee or its Affiliates from a Sublicensee or Purchaser, including income received by Licensee (i) [***]; (ii) [***];</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 (iv) [***]; (v) [***], (vi) [***], and/or (vii) [***].</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3.7. Royalty Payment Timing; Reports of Net Sales.</w:t>
      </w:r>
    </w:p>
    <w:p>
      <w:pPr>
        <w:spacing w:after="0" w:line="22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Within forty five (45) days following the end of each Calendar Quarter during which royalties accrue, Licensee shall provide to Pulmokine a quarterly report on Net Sales of Licensed Products during such Calendar Quarter. Such report shall include a written report in reasonable detail of:</w:t>
      </w:r>
    </w:p>
    <w:p>
      <w:pPr>
        <w:ind w:right="160" w:firstLine="4"/>
        <w:spacing w:after="0" w:line="255" w:lineRule="auto"/>
        <w:tabs>
          <w:tab w:leader="none" w:pos="245" w:val="left"/>
        </w:tabs>
        <w:numPr>
          <w:ilvl w:val="0"/>
          <w:numId w:val="703"/>
        </w:numPr>
        <w:rPr>
          <w:rFonts w:ascii="Arial" w:cs="Arial" w:eastAsia="Arial" w:hAnsi="Arial"/>
          <w:sz w:val="18"/>
          <w:szCs w:val="18"/>
          <w:color w:val="auto"/>
        </w:rPr>
      </w:pPr>
      <w:r>
        <w:rPr>
          <w:rFonts w:ascii="Arial" w:cs="Arial" w:eastAsia="Arial" w:hAnsi="Arial"/>
          <w:sz w:val="18"/>
          <w:szCs w:val="18"/>
          <w:color w:val="auto"/>
        </w:rPr>
        <w:t>the Net Sales of Licensed Products for the previous Calendar Quarter, broken down by country and product, (b) the royalty payment that is due and payable, and (c) the basis for calculating such royalty payment including the gross sales of Licensed Products by country and product, the rate of currency conversion and date such conversion was calculated.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6946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5" w:lineRule="exact"/>
        <w:rPr>
          <w:sz w:val="20"/>
          <w:szCs w:val="20"/>
          <w:color w:val="auto"/>
        </w:rPr>
      </w:pPr>
    </w:p>
    <w:p>
      <w:pPr>
        <w:ind w:left="440" w:right="460" w:hanging="436"/>
        <w:spacing w:after="0" w:line="277" w:lineRule="auto"/>
        <w:tabs>
          <w:tab w:leader="none" w:pos="440" w:val="left"/>
        </w:tabs>
        <w:numPr>
          <w:ilvl w:val="0"/>
          <w:numId w:val="70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1" w:right="439" w:bottom="1440" w:gutter="0" w:footer="0" w:header="0"/>
        </w:sectPr>
      </w:pPr>
    </w:p>
    <w:bookmarkStart w:id="816" w:name="page817"/>
    <w:bookmarkEnd w:id="81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 Audits.</w:t>
      </w:r>
    </w:p>
    <w:p>
      <w:pPr>
        <w:spacing w:after="0" w:line="229"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During the Royalty Term, Licensee shall keep records pertaining to the sale or other disposition of Licensed Products by Licensee, its Affiliates and Sublicensees in sufficient detail to permit Pulmokine to confirm the accuracy of the royalties and Sales Milestone payments due hereunder. All such records shall be kept at Licensee’s principal place of business for a period of not less than [</w:t>
      </w:r>
      <w:r>
        <w:rPr>
          <w:rFonts w:ascii="Arial" w:cs="Arial" w:eastAsia="Arial" w:hAnsi="Arial"/>
          <w:sz w:val="13"/>
          <w:szCs w:val="13"/>
          <w:color w:val="auto"/>
        </w:rPr>
        <w:t>***</w:t>
      </w:r>
      <w:r>
        <w:rPr>
          <w:rFonts w:ascii="Arial" w:cs="Arial" w:eastAsia="Arial" w:hAnsi="Arial"/>
          <w:sz w:val="16"/>
          <w:szCs w:val="16"/>
          <w:color w:val="auto"/>
        </w:rPr>
        <w:t>] following the end of the Calendar Year to which they pertain. Pulmokine shall have the right to cause an independent accounting firm reasonably acceptable to Licensee to audit such records for the purpose of confirming Net Sales and royalties. Such audits may be exercised during normal business hours upon reasonable prior written notice (not to be less than thirty (30) days) to Licensee. Upon request, such accounting firm shall execute a confidentiality agreement with Licensee prior to commencing the audit. Adjustments (including remittances of underpayments or overpayments disclosed by such audit) shall be made by the Parties to reflect the results of such audit, which adjustments shall be paid promptly following receipt of an invoice therefor. Pulmokine shall bear the full cost and expense of such audit unless such audit discloses an underpayment by Licensee of [***] percent ([***]%) or more of the amount of royalties due under this Agreement for the audited period, in which case Licensee shall bear the cost and expense of such audit.</w:t>
      </w:r>
    </w:p>
    <w:p>
      <w:pPr>
        <w:spacing w:after="0" w:line="169" w:lineRule="exact"/>
        <w:rPr>
          <w:sz w:val="20"/>
          <w:szCs w:val="20"/>
          <w:color w:val="auto"/>
        </w:rPr>
      </w:pPr>
    </w:p>
    <w:p>
      <w:pPr>
        <w:ind w:right="340" w:firstLine="881"/>
        <w:spacing w:after="0" w:line="291" w:lineRule="auto"/>
        <w:rPr>
          <w:sz w:val="20"/>
          <w:szCs w:val="20"/>
          <w:color w:val="auto"/>
        </w:rPr>
      </w:pPr>
      <w:r>
        <w:rPr>
          <w:rFonts w:ascii="Arial" w:cs="Arial" w:eastAsia="Arial" w:hAnsi="Arial"/>
          <w:sz w:val="16"/>
          <w:szCs w:val="16"/>
          <w:color w:val="auto"/>
        </w:rPr>
        <w:t>If Licensee in good faith disputes the conclusion of the accounting firm under the first paragraph of this Section 3.8 that Licensee owes additional royalties or other payments, or any specific aspect of the conclusion, then Licensee will inform Pulmokine by written notice within sixty</w:t>
      </w:r>
    </w:p>
    <w:p>
      <w:pPr>
        <w:ind w:right="320" w:firstLine="4"/>
        <w:spacing w:after="0" w:line="261" w:lineRule="auto"/>
        <w:tabs>
          <w:tab w:leader="none" w:pos="345" w:val="left"/>
        </w:tabs>
        <w:numPr>
          <w:ilvl w:val="0"/>
          <w:numId w:val="705"/>
        </w:numPr>
        <w:rPr>
          <w:rFonts w:ascii="Arial" w:cs="Arial" w:eastAsia="Arial" w:hAnsi="Arial"/>
          <w:sz w:val="18"/>
          <w:szCs w:val="18"/>
          <w:color w:val="auto"/>
        </w:rPr>
      </w:pPr>
      <w:r>
        <w:rPr>
          <w:rFonts w:ascii="Arial" w:cs="Arial" w:eastAsia="Arial" w:hAnsi="Arial"/>
          <w:sz w:val="18"/>
          <w:szCs w:val="18"/>
          <w:color w:val="auto"/>
        </w:rPr>
        <w:t>days of receiving a copy of the audit containing such conclusion, specifying in detail the reasons for Licensee’s disputing such conclusion. The Parties will promptly thereafter meet and negotiate in good faith a resolution to such dispute.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3.9. Currency.</w:t>
      </w:r>
    </w:p>
    <w:p>
      <w:pPr>
        <w:spacing w:after="0" w:line="229" w:lineRule="exact"/>
        <w:rPr>
          <w:sz w:val="20"/>
          <w:szCs w:val="20"/>
          <w:color w:val="auto"/>
        </w:rPr>
      </w:pPr>
    </w:p>
    <w:p>
      <w:pPr>
        <w:jc w:val="both"/>
        <w:ind w:right="100" w:firstLine="881"/>
        <w:spacing w:after="0" w:line="286" w:lineRule="auto"/>
        <w:rPr>
          <w:sz w:val="20"/>
          <w:szCs w:val="20"/>
          <w:color w:val="auto"/>
        </w:rPr>
      </w:pPr>
      <w:r>
        <w:rPr>
          <w:rFonts w:ascii="Arial" w:cs="Arial" w:eastAsia="Arial" w:hAnsi="Arial"/>
          <w:sz w:val="17"/>
          <w:szCs w:val="17"/>
          <w:color w:val="auto"/>
        </w:rPr>
        <w:t>All payments under this Article 3 will be made in USD. With respect to sales of Licensed Products invoiced in a currency other than USD, all amounts reported and payable under this Agreement shall be calculated based on the domestic currency where such sale is made and converted (as applicable) into the USD equivalent. The USD equivalent shall be calculated in accordance with U.S.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3.10. Account.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payments to be made to Pulmokine under this Agreement will be made by wire transfer to the following account: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or such other account as may be specified by Pulmokine in writing to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46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00" w:lineRule="exact"/>
        <w:rPr>
          <w:sz w:val="20"/>
          <w:szCs w:val="20"/>
          <w:color w:val="auto"/>
        </w:rPr>
      </w:pPr>
    </w:p>
    <w:p>
      <w:pPr>
        <w:ind w:left="440" w:right="400" w:hanging="436"/>
        <w:spacing w:after="0" w:line="277" w:lineRule="auto"/>
        <w:tabs>
          <w:tab w:leader="none" w:pos="440" w:val="left"/>
        </w:tabs>
        <w:numPr>
          <w:ilvl w:val="0"/>
          <w:numId w:val="70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0" w:right="499" w:bottom="1440" w:gutter="0" w:footer="0" w:header="0"/>
        </w:sectPr>
      </w:pPr>
    </w:p>
    <w:bookmarkStart w:id="817" w:name="page818"/>
    <w:bookmarkEnd w:id="81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3.11. Taxes.</w:t>
      </w:r>
    </w:p>
    <w:p>
      <w:pPr>
        <w:spacing w:after="0" w:line="121"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Each Party shall be responsible for any and all taxes required by Law that are levied on the payments it receives under this Agreement. If applicable Law requires that taxes be withheld from a payment made by FSG to Pulmokine under this Agreement, FSG shall (a) deduct those taxes from the remittable payment, (b) pay the taxes to the proper taxing authority, and (c) send evidence of the obligation together with proof of payment to Pulmokine within thirty (30) days following that payment. Each Party agrees to cooperate with the other Party in claiming exemption from such deductions or withholdings under any relevant agreement or treaty which is in effect and, to the extent permitted by applicable Law, minimizing the amount of tax payable with respect to payments made and received under this Agreement. In addition, the Parties shall cooperate in accordance with applicable Law to minimize indirect taxes (such as value added tax, sales tax, consumption tax and other similar taxes) in connection with this Agreement.</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3.12. Interest on Late Payments.</w:t>
      </w:r>
    </w:p>
    <w:p>
      <w:pPr>
        <w:spacing w:after="0" w:line="121"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Interest shall be payable on any payments that are not paid on or before the date [</w:t>
      </w:r>
      <w:r>
        <w:rPr>
          <w:rFonts w:ascii="Arial" w:cs="Arial" w:eastAsia="Arial" w:hAnsi="Arial"/>
          <w:sz w:val="15"/>
          <w:szCs w:val="15"/>
          <w:color w:val="auto"/>
        </w:rPr>
        <w:t>***</w:t>
      </w:r>
      <w:r>
        <w:rPr>
          <w:rFonts w:ascii="Arial" w:cs="Arial" w:eastAsia="Arial" w:hAnsi="Arial"/>
          <w:sz w:val="18"/>
          <w:szCs w:val="18"/>
          <w:color w:val="auto"/>
        </w:rPr>
        <w:t>] after the date such payments are due under this Agreement at the per-annum rate of prime (as reported in The Wall Street Journal (U.S., Eastern Edition)) plus [***] percentage points or the maximum rate allowable by Law, whichever is less.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3.13. Permitted Reductions.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Notwithstanding the provisions of Section 3.5,</w:t>
      </w:r>
    </w:p>
    <w:p>
      <w:pPr>
        <w:spacing w:after="0" w:line="117" w:lineRule="exact"/>
        <w:rPr>
          <w:sz w:val="20"/>
          <w:szCs w:val="20"/>
          <w:color w:val="auto"/>
        </w:rPr>
      </w:pPr>
    </w:p>
    <w:p>
      <w:pPr>
        <w:ind w:firstLine="885"/>
        <w:spacing w:after="0" w:line="255" w:lineRule="auto"/>
        <w:tabs>
          <w:tab w:leader="none" w:pos="1126" w:val="left"/>
        </w:tabs>
        <w:numPr>
          <w:ilvl w:val="0"/>
          <w:numId w:val="707"/>
        </w:numPr>
        <w:rPr>
          <w:rFonts w:ascii="Arial" w:cs="Arial" w:eastAsia="Arial" w:hAnsi="Arial"/>
          <w:sz w:val="18"/>
          <w:szCs w:val="18"/>
          <w:color w:val="auto"/>
        </w:rPr>
      </w:pPr>
      <w:r>
        <w:rPr>
          <w:rFonts w:ascii="Arial" w:cs="Arial" w:eastAsia="Arial" w:hAnsi="Arial"/>
          <w:sz w:val="18"/>
          <w:szCs w:val="18"/>
          <w:color w:val="auto"/>
        </w:rPr>
        <w:t>in the event that Licensee reasonably determines that it is necessary for Licensee to obtain a license from a Third Party to research, develop, make, have made, use, offer to sell, sell, have sold or import any Licensed Product (“</w:t>
      </w:r>
      <w:r>
        <w:rPr>
          <w:rFonts w:ascii="Arial" w:cs="Arial" w:eastAsia="Arial" w:hAnsi="Arial"/>
          <w:sz w:val="18"/>
          <w:szCs w:val="18"/>
          <w:b w:val="1"/>
          <w:bCs w:val="1"/>
          <w:color w:val="auto"/>
        </w:rPr>
        <w:t>Additional Third Party Licenses</w:t>
      </w:r>
      <w:r>
        <w:rPr>
          <w:rFonts w:ascii="Arial" w:cs="Arial" w:eastAsia="Arial" w:hAnsi="Arial"/>
          <w:sz w:val="18"/>
          <w:szCs w:val="18"/>
          <w:color w:val="auto"/>
        </w:rPr>
        <w:t>”) and Licensee obtains such an Additional Third Party License, then Licensee may deduct from the royalty payment that would otherwise have been due to Pulmokine, an amount equal to [***] percent ([***]%) of the royalties actually paid to such Third Party under such Additional Third Party Licenses by Licensee to research, develop, make, have made, use, offer to sell, sell, have sold or import, as applicable, such Licensed Product; provided, that in the case of [***], this Section 3.13(a) applies [***] provided, further, that in no event shall the royalties owed by Licensee to Pulmokine be reduced by more than [***] percent ([***]%) pursuant to this paragraph 3.13(a);</w:t>
      </w:r>
    </w:p>
    <w:p>
      <w:pPr>
        <w:spacing w:after="0" w:line="81" w:lineRule="exact"/>
        <w:rPr>
          <w:rFonts w:ascii="Arial" w:cs="Arial" w:eastAsia="Arial" w:hAnsi="Arial"/>
          <w:sz w:val="18"/>
          <w:szCs w:val="18"/>
          <w:color w:val="auto"/>
        </w:rPr>
      </w:pPr>
    </w:p>
    <w:p>
      <w:pPr>
        <w:ind w:firstLine="885"/>
        <w:spacing w:after="0" w:line="286" w:lineRule="auto"/>
        <w:tabs>
          <w:tab w:leader="none" w:pos="1136" w:val="left"/>
        </w:tabs>
        <w:numPr>
          <w:ilvl w:val="0"/>
          <w:numId w:val="707"/>
        </w:numPr>
        <w:rPr>
          <w:rFonts w:ascii="Arial" w:cs="Arial" w:eastAsia="Arial" w:hAnsi="Arial"/>
          <w:sz w:val="17"/>
          <w:szCs w:val="17"/>
          <w:color w:val="auto"/>
        </w:rPr>
      </w:pPr>
      <w:r>
        <w:rPr>
          <w:rFonts w:ascii="Arial" w:cs="Arial" w:eastAsia="Arial" w:hAnsi="Arial"/>
          <w:sz w:val="17"/>
          <w:szCs w:val="17"/>
          <w:color w:val="auto"/>
        </w:rPr>
        <w:t>in the event that, on a Licensed Product-by-Licensed Product and country-by-country basis, Generic Product Competition is present with respect to such Licensed Product in such country, then [***] Net Sales of such Licensed Products in such countries, and for purposes of this paragraph, “</w:t>
      </w:r>
      <w:r>
        <w:rPr>
          <w:rFonts w:ascii="Arial" w:cs="Arial" w:eastAsia="Arial" w:hAnsi="Arial"/>
          <w:sz w:val="17"/>
          <w:szCs w:val="17"/>
          <w:b w:val="1"/>
          <w:bCs w:val="1"/>
          <w:color w:val="auto"/>
        </w:rPr>
        <w:t>Generic Product Competition</w:t>
      </w:r>
      <w:r>
        <w:rPr>
          <w:rFonts w:ascii="Arial" w:cs="Arial" w:eastAsia="Arial" w:hAnsi="Arial"/>
          <w:sz w:val="17"/>
          <w:szCs w:val="17"/>
          <w:color w:val="auto"/>
        </w:rPr>
        <w:t>” shall mean with respect to a Licensed Product on a country-by-country basis, [***];</w:t>
      </w:r>
    </w:p>
    <w:p>
      <w:pPr>
        <w:spacing w:after="0" w:line="57" w:lineRule="exact"/>
        <w:rPr>
          <w:rFonts w:ascii="Arial" w:cs="Arial" w:eastAsia="Arial" w:hAnsi="Arial"/>
          <w:sz w:val="17"/>
          <w:szCs w:val="17"/>
          <w:color w:val="auto"/>
        </w:rPr>
      </w:pPr>
    </w:p>
    <w:p>
      <w:pPr>
        <w:ind w:right="260" w:firstLine="885"/>
        <w:spacing w:after="0" w:line="342" w:lineRule="auto"/>
        <w:tabs>
          <w:tab w:leader="none" w:pos="1126" w:val="left"/>
        </w:tabs>
        <w:numPr>
          <w:ilvl w:val="0"/>
          <w:numId w:val="707"/>
        </w:numPr>
        <w:rPr>
          <w:rFonts w:ascii="Arial" w:cs="Arial" w:eastAsia="Arial" w:hAnsi="Arial"/>
          <w:sz w:val="16"/>
          <w:szCs w:val="16"/>
          <w:color w:val="auto"/>
        </w:rPr>
      </w:pPr>
      <w:r>
        <w:rPr>
          <w:rFonts w:ascii="Arial" w:cs="Arial" w:eastAsia="Arial" w:hAnsi="Arial"/>
          <w:sz w:val="16"/>
          <w:szCs w:val="16"/>
          <w:color w:val="auto"/>
        </w:rPr>
        <w:t>in countries in the Territory where a Licensed Product is not Covered by a Valid Claim of a Licensed Patent in the country of sale and there is no Marketing Exclusivity in such countries for the Licensed Product, [***] in such countries with respect to the Royalty Term [***]; and</w:t>
      </w:r>
    </w:p>
    <w:p>
      <w:pPr>
        <w:spacing w:after="0" w:line="15" w:lineRule="exact"/>
        <w:rPr>
          <w:rFonts w:ascii="Arial" w:cs="Arial" w:eastAsia="Arial" w:hAnsi="Arial"/>
          <w:sz w:val="16"/>
          <w:szCs w:val="16"/>
          <w:color w:val="auto"/>
        </w:rPr>
      </w:pPr>
    </w:p>
    <w:p>
      <w:pPr>
        <w:ind w:right="80" w:firstLine="885"/>
        <w:spacing w:after="0" w:line="342" w:lineRule="auto"/>
        <w:tabs>
          <w:tab w:leader="none" w:pos="1136" w:val="left"/>
        </w:tabs>
        <w:numPr>
          <w:ilvl w:val="0"/>
          <w:numId w:val="707"/>
        </w:numPr>
        <w:rPr>
          <w:rFonts w:ascii="Arial" w:cs="Arial" w:eastAsia="Arial" w:hAnsi="Arial"/>
          <w:sz w:val="16"/>
          <w:szCs w:val="16"/>
          <w:color w:val="auto"/>
        </w:rPr>
      </w:pPr>
      <w:r>
        <w:rPr>
          <w:rFonts w:ascii="Arial" w:cs="Arial" w:eastAsia="Arial" w:hAnsi="Arial"/>
          <w:sz w:val="16"/>
          <w:szCs w:val="16"/>
          <w:color w:val="auto"/>
        </w:rPr>
        <w:t>Except as otherwise set forth in Section 3.13(b), in no event shall the royalties owed by Licensee to Pulmokine for a particular Licensed Product be reduced to less than the amount owed by Pulmokine under the Gilead License and the RCTR License for such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6946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98" w:lineRule="exact"/>
        <w:rPr>
          <w:sz w:val="20"/>
          <w:szCs w:val="20"/>
          <w:color w:val="auto"/>
        </w:rPr>
      </w:pPr>
    </w:p>
    <w:p>
      <w:pPr>
        <w:ind w:left="440" w:right="440" w:hanging="436"/>
        <w:spacing w:after="0" w:line="277" w:lineRule="auto"/>
        <w:tabs>
          <w:tab w:leader="none" w:pos="440" w:val="left"/>
        </w:tabs>
        <w:numPr>
          <w:ilvl w:val="0"/>
          <w:numId w:val="70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818" w:name="page819"/>
    <w:bookmarkEnd w:id="81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 FSG Guaranty.</w:t>
      </w:r>
    </w:p>
    <w:p>
      <w:pPr>
        <w:spacing w:after="0" w:line="121"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FSG irrevocably and unconditionally guarantees the payment of each and every payment obligation of Licensee to Pulmokine under this Article 3, whether now existing or hereafter arising. FSG shall promptly pay to Pulmokine any amount properly due to Pulmokine upon demand following any failure on the part of Licensee to cure a payment default in accordance with Section 15.3, provided that Pulmokine is not then in breach of this Agreement, Pulmokine waives the Licensee’s corresponding payment default (subject to FSG’s cure thereof), and any and all then exiting breaches (or alleged breaches) of the Agreement by Licensee that are known to Pulmokine shall be made known to Licensee and FSG at the time of Pulmokine’s demand following such a failure on the part of Licensee. Notwithstanding anything to the contrary herein, FSG’s obligations under this Section 3.14 shall exists only as long as Licensee is an Affiliate of FSG and Licensee has not assigned this Agreement to a third party.</w:t>
      </w:r>
    </w:p>
    <w:p>
      <w:pPr>
        <w:spacing w:after="0" w:line="271" w:lineRule="exact"/>
        <w:rPr>
          <w:sz w:val="20"/>
          <w:szCs w:val="20"/>
          <w:color w:val="auto"/>
        </w:rPr>
      </w:pPr>
    </w:p>
    <w:p>
      <w:pPr>
        <w:ind w:left="440" w:right="4580" w:hanging="436"/>
        <w:spacing w:after="0" w:line="378" w:lineRule="auto"/>
        <w:tabs>
          <w:tab w:leader="none" w:pos="179" w:val="left"/>
        </w:tabs>
        <w:numPr>
          <w:ilvl w:val="0"/>
          <w:numId w:val="709"/>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 OF LICENSED PRODUCTS 4.1. Know-How and Regulatory Filings.</w:t>
      </w:r>
    </w:p>
    <w:p>
      <w:pPr>
        <w:ind w:right="60" w:firstLine="881"/>
        <w:spacing w:after="0" w:line="255" w:lineRule="auto"/>
        <w:rPr>
          <w:sz w:val="20"/>
          <w:szCs w:val="20"/>
          <w:color w:val="auto"/>
        </w:rPr>
      </w:pPr>
      <w:r>
        <w:rPr>
          <w:rFonts w:ascii="Arial" w:cs="Arial" w:eastAsia="Arial" w:hAnsi="Arial"/>
          <w:sz w:val="18"/>
          <w:szCs w:val="18"/>
          <w:color w:val="auto"/>
        </w:rPr>
        <w:t>Pulmokine shall disclose to Licensee, at Pulmokine’s cost and expense, the Licensed Know-How as Controlled by Pulmokine as of the Effective Date, including all Scientific Information, Data and other Information related to the Compound, the Backup Compound, the Asthma Compounds, Biomarkers and Licensed Products. Subject at all times to Section 15.7, Pulmokine shall transfer all Regulatory Filings existing as of the Effective Date for the Compound, Backup Compound, Asthma Compounds, Biomarkers and Licensed Products in the Licensed Product Field in the Territory to Licensee. All Licensed Know-How required to be disclosed and all Regulatory Filings required to be transferred under this Section 4.1 shall be the Confidential Information of Licensee.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General.</w:t>
      </w:r>
    </w:p>
    <w:p>
      <w:pPr>
        <w:spacing w:after="0" w:line="121"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Except as expressly set forth herein, Licensee (either by itself or through its Affiliates or Sublicensees) shall be solely responsible for and shall use Commercially Reasonable Efforts to develop and commercialize at least one (1) Licensed Product that contains or otherwise incorporates one or more of the [***] in the Licensed Product Field in the United States and at least two (2) countries in the European Union, at its own cost and expense.</w:t>
      </w:r>
    </w:p>
    <w:p>
      <w:pPr>
        <w:spacing w:after="0" w:line="147" w:lineRule="exact"/>
        <w:rPr>
          <w:sz w:val="20"/>
          <w:szCs w:val="20"/>
          <w:color w:val="auto"/>
        </w:rPr>
      </w:pPr>
    </w:p>
    <w:p>
      <w:pPr>
        <w:ind w:right="20" w:firstLine="881"/>
        <w:spacing w:after="0" w:line="254" w:lineRule="auto"/>
        <w:rPr>
          <w:sz w:val="20"/>
          <w:szCs w:val="20"/>
          <w:color w:val="auto"/>
        </w:rPr>
      </w:pPr>
      <w:r>
        <w:rPr>
          <w:rFonts w:ascii="Arial" w:cs="Arial" w:eastAsia="Arial" w:hAnsi="Arial"/>
          <w:sz w:val="18"/>
          <w:szCs w:val="18"/>
          <w:color w:val="auto"/>
        </w:rPr>
        <w:t>The Licensee shall report to Pulmokine the dates of the First Commercial Sale of each Licensed Product in each country in the Territory within fourteen (14) days of such occurrences. Additionally, with respect to any Licensed Product that contains or otherwise incorporates [***], Licensee agrees to: (a) use its Commercially Reasonable Efforts to [***]; (b) upon the First Commercial Sale thereof and continuing until the expiration or termination of this Agreement, [***]; (c) after the First Commercial Sale thereof, to [***]; (d) after the First Commercial Sale and as part of its [***]; and (e) to [***]. For the purposes of this Section 4.2, the term “</w:t>
      </w:r>
      <w:r>
        <w:rPr>
          <w:rFonts w:ascii="Arial" w:cs="Arial" w:eastAsia="Arial" w:hAnsi="Arial"/>
          <w:sz w:val="18"/>
          <w:szCs w:val="18"/>
          <w:b w:val="1"/>
          <w:bCs w:val="1"/>
          <w:i w:val="1"/>
          <w:iCs w:val="1"/>
          <w:color w:val="auto"/>
        </w:rPr>
        <w:t>Practical Application</w:t>
      </w:r>
      <w:r>
        <w:rPr>
          <w:rFonts w:ascii="Arial" w:cs="Arial" w:eastAsia="Arial" w:hAnsi="Arial"/>
          <w:sz w:val="18"/>
          <w:szCs w:val="18"/>
          <w:color w:val="auto"/>
        </w:rPr>
        <w:t>” means to manufacture in the case of a composition or product, to practice in the case of a process or method, or to operate in the case of a machine or system; and in each case, under these conditions as to establish that the invention that is the subject of [***] and that its benefits are to the extent permitted by law or regulations of the United States Government available to the public on reasonable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6946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7" w:lineRule="exact"/>
        <w:rPr>
          <w:sz w:val="20"/>
          <w:szCs w:val="20"/>
          <w:color w:val="auto"/>
        </w:rPr>
      </w:pPr>
    </w:p>
    <w:p>
      <w:pPr>
        <w:ind w:left="440" w:right="460" w:hanging="436"/>
        <w:spacing w:after="0" w:line="277" w:lineRule="auto"/>
        <w:tabs>
          <w:tab w:leader="none" w:pos="440" w:val="left"/>
        </w:tabs>
        <w:numPr>
          <w:ilvl w:val="0"/>
          <w:numId w:val="71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1" w:right="439" w:bottom="1440" w:gutter="0" w:footer="0" w:header="0"/>
        </w:sectPr>
      </w:pPr>
    </w:p>
    <w:bookmarkStart w:id="819" w:name="page820"/>
    <w:bookmarkEnd w:id="81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Regulatory.</w:t>
      </w:r>
    </w:p>
    <w:p>
      <w:pPr>
        <w:spacing w:after="0" w:line="121"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Except as expressly set forth herein, Licensee shall have the sole right to apply for and maintain, at Licensee’s cost and expense, all Regulatory Approvals of Licensed Products in the Licensed Product Field in the Territory. [***]. Licensee shall have the sole right to prepare, file and otherwise handle all regulatory materials and all communications and interactions with Regulatory Authorities with respect to Licensed Products in the Licensed Product Field in the Territory, both prior to and subsequent to Regulatory Approval. Unless otherwise prohibited by Applicable Law, [***] concerning a Licensed Product. Licensee shall have the sole right to file and maintain all required regulatory dossiers to obtain (and maintain) Regulatory Approvals of Licensed Products in the Licensed Product Field in the Territory and shall be the holder of any such Regulatory Approvals. Pulmokine shall reasonably cooperate with Licensee in obtaining Regulatory Approvals of Licensed Products. Licensee shall have sole responsibility and control with respect to all safety and pharmacovigilance activities with respect to the Licensed Products under Law, and Pulmokine agrees to provide Licensee with any safety or pharmacovigilance-related Information in Pulmokine’s possession, as Licensee may reasonably request from time to time.</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 Reporting.</w:t>
      </w:r>
    </w:p>
    <w:p>
      <w:pPr>
        <w:spacing w:after="0" w:line="121" w:lineRule="exact"/>
        <w:rPr>
          <w:sz w:val="20"/>
          <w:szCs w:val="20"/>
          <w:color w:val="auto"/>
        </w:rPr>
      </w:pPr>
    </w:p>
    <w:p>
      <w:pPr>
        <w:ind w:right="120" w:firstLine="881"/>
        <w:spacing w:after="0" w:line="276" w:lineRule="auto"/>
        <w:rPr>
          <w:sz w:val="20"/>
          <w:szCs w:val="20"/>
          <w:color w:val="auto"/>
        </w:rPr>
      </w:pPr>
      <w:r>
        <w:rPr>
          <w:rFonts w:ascii="Arial" w:cs="Arial" w:eastAsia="Arial" w:hAnsi="Arial"/>
          <w:sz w:val="17"/>
          <w:szCs w:val="17"/>
          <w:color w:val="auto"/>
        </w:rPr>
        <w:t>Licensee shall keep Pulmokine reasonably informed on the development and commercialization of the Licensed Products, including with respect to receipt of any Regulatory Approvals. During the period beginning with the commencement of the Phase 2 Clinical Trial for the initial Licensed Product, and ending on the date of receipt of Regulatory Approval for such Licensed Product, Licensee shall provide Pulmokine with reasonably detailed written reports [***] summarizing Licensee’s activities with respect to the development of the Licensed Product since the last such report. In addition, Licensee shall provide Pulmokine with reports under Section 3.7.</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4.5. Supply of Licensed Product.</w:t>
      </w:r>
    </w:p>
    <w:p>
      <w:pPr>
        <w:spacing w:after="0" w:line="121"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Except as otherwise agreed upon by the Parties, Licensee shall be solely responsible for manufacturing or having manufactured, at its cost and expense and in accordance with applicable Law, sufficient clinical and commercial quantities of the Licensed Product to fulfill Licensee’s development and commercial obligations hereunder. Notwithstanding the foregoing, upon request by Licensee, Pulmokine shall sell to Licensee at Pulmokine’s cost of goods plus delivery costs some or all quantities of the Backup Compound or Asthma Compounds active pharmaceutical ingredient (API) and/or Licensed Product containing same and/or Biomarkers in Pulmokine’s possession and some or all quantities of the Compound active pharmaceutical ingredient (API) and/or Licensed Product containing same in Pulmokine’s possession following its completion of the Phase 1A clinical trial.</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4.6. Technology Transfer.</w:t>
      </w:r>
    </w:p>
    <w:p>
      <w:pPr>
        <w:spacing w:after="0" w:line="121"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As soon as reasonably practicable after the Effective Date, Pulmokine shall disclose and deliver to Licensee (or its designee) all tangible embodiments of all Licensed Know-How in its possession and Control that is useful or necessary to research, develop, make ,use, sell, offer for sale or import the Licensed Products. Pulmokine shall make such Licensed Know-How available in a mutually agreed upon format and where feasible in electronic form. Without limiting the foregoing, Pulmokine will provide reasonable assistance to Licensee or its designee in connection with understanding and using the Licensed Know-How related to the Licensed Products, including assistance from its professional staff for meetings, telephone calls, and other reasonable assistance as requested by Licensee to enable it to understand and use such Licensed Know-How. In addition, upon the reasonable request of Licensee, Pulmokine shall reasonably cooperate with Licensee to transition the manufacture of the applicable Licensed Products to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6946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5" w:lineRule="exact"/>
        <w:rPr>
          <w:sz w:val="20"/>
          <w:szCs w:val="20"/>
          <w:color w:val="auto"/>
        </w:rPr>
      </w:pPr>
    </w:p>
    <w:p>
      <w:pPr>
        <w:ind w:left="440" w:right="440" w:hanging="436"/>
        <w:spacing w:after="0" w:line="277" w:lineRule="auto"/>
        <w:tabs>
          <w:tab w:leader="none" w:pos="440" w:val="left"/>
        </w:tabs>
        <w:numPr>
          <w:ilvl w:val="0"/>
          <w:numId w:val="71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820" w:name="page821"/>
    <w:bookmarkEnd w:id="82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manufacturing organization designated by Licensee. Licensee agrees to reimburse Pulmokine for its reasonable costs and expenses incurred in connection with Pulmokine’s delivery of the Licensed Know-How and the provision of related support under this Section 4.6, provided that Pulmokine provides documentation of such costs and expenses reasonably acceptable to Licensee. All information and material required to be disclosed and delivered under this Section 4.6 shall be the Confidential Information of Licensee.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JOINT DEVELOPMENT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Formation; Composition.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Within thirty (30) days after the Effective Date, the Parties shall establish a Joint Development Committee composed of no more than three</w:t>
      </w:r>
    </w:p>
    <w:p>
      <w:pPr>
        <w:spacing w:after="0" w:line="46" w:lineRule="exact"/>
        <w:rPr>
          <w:sz w:val="20"/>
          <w:szCs w:val="20"/>
          <w:color w:val="auto"/>
        </w:rPr>
      </w:pPr>
    </w:p>
    <w:p>
      <w:pPr>
        <w:jc w:val="both"/>
        <w:ind w:right="160" w:firstLine="4"/>
        <w:spacing w:after="0" w:line="253" w:lineRule="auto"/>
        <w:tabs>
          <w:tab w:leader="none" w:pos="255" w:val="left"/>
        </w:tabs>
        <w:numPr>
          <w:ilvl w:val="0"/>
          <w:numId w:val="712"/>
        </w:numPr>
        <w:rPr>
          <w:rFonts w:ascii="Arial" w:cs="Arial" w:eastAsia="Arial" w:hAnsi="Arial"/>
          <w:sz w:val="18"/>
          <w:szCs w:val="18"/>
          <w:color w:val="auto"/>
        </w:rPr>
      </w:pPr>
      <w:r>
        <w:rPr>
          <w:rFonts w:ascii="Arial" w:cs="Arial" w:eastAsia="Arial" w:hAnsi="Arial"/>
          <w:sz w:val="18"/>
          <w:szCs w:val="18"/>
          <w:color w:val="auto"/>
        </w:rPr>
        <w:t>representatives of each Party. Each Party may change its representatives to the JDC from time to time in its sole discretion, effective upon notice to the other Party of such change. These representatives shall have appropriate technical credentials, experience and knowledge. A reasonable number of additional representatives of a Party may attend meetings of the JDC in a non-voting capacity. After its establishment, the JDC shall remain in place until the initial Regulatory Approval of the initial Licensed Product, unless otherwise agreed by the Parties in writing. A JDC member appointed by Licensee shall serve as chairperson of the JDC.</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Responsibilities.</w:t>
      </w:r>
    </w:p>
    <w:p>
      <w:pPr>
        <w:spacing w:after="0" w:line="121"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JDC’s overall responsibility shall be to encourage and facilitate ongoing cooperation between the Parties with respect to the development activities contemplated by this Agreement and to perform the other obligations specifically delegated to it by this Agreement, subject to the limitations set forth in this Article 5. The JDC shall also serve as the principal means by which Licensee keeps Pulmokine informed regarding Licensee’s development plans, efforts and results with respect to Licensed Products in the Licensed Product Field in the Territory, including without limitation: (a) providing a forum for the Parties to discuss regulatory, scientific and/or clinical matters and objectives relating to the development of such Licensed Products; (b) discussing and reviewing the progress and Data relating to the development of such Licensed Products and the Parties’ performance relative to any established objectives; and (c) performing such other functions as appropriate to further the purposes of this Agreement, as mutually agreed upon by the Parties in writing.</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Decision-Making.</w:t>
      </w:r>
    </w:p>
    <w:p>
      <w:pPr>
        <w:spacing w:after="0" w:line="121" w:lineRule="exact"/>
        <w:rPr>
          <w:sz w:val="20"/>
          <w:szCs w:val="20"/>
          <w:color w:val="auto"/>
        </w:rPr>
      </w:pPr>
    </w:p>
    <w:p>
      <w:pPr>
        <w:ind w:right="160" w:firstLine="881"/>
        <w:spacing w:after="0" w:line="302" w:lineRule="auto"/>
        <w:rPr>
          <w:sz w:val="20"/>
          <w:szCs w:val="20"/>
          <w:color w:val="auto"/>
        </w:rPr>
      </w:pPr>
      <w:r>
        <w:rPr>
          <w:rFonts w:ascii="Arial" w:cs="Arial" w:eastAsia="Arial" w:hAnsi="Arial"/>
          <w:sz w:val="16"/>
          <w:szCs w:val="16"/>
          <w:color w:val="auto"/>
        </w:rPr>
        <w:t>The JDC shall operate by unanimous consent of its members. In the event of an unresolved dispute regarding any development activities related to the Licensed Product in the Licensed Product Field in the Territory, the position of the members of the JDC appointed by Licensee shall control; [***]. The JDC shall not have the power to amend or waive compliance with this Agreement, or to resolve any disputes relating to intellectual property rights, including disputes relating to the inventorship, enforceability, validity or scope of patent or other intellectual property rights.</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5.4. Meetings.</w:t>
      </w:r>
    </w:p>
    <w:p>
      <w:pPr>
        <w:spacing w:after="0" w:line="12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Unless otherwise agreed upon by the Parties the JDC shall meet at least once [***] every Calendar Quarter, in each case at times mutually agreed upon by the Parties. At least one (1)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6946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7" w:lineRule="exact"/>
        <w:rPr>
          <w:sz w:val="20"/>
          <w:szCs w:val="20"/>
          <w:color w:val="auto"/>
        </w:rPr>
      </w:pPr>
    </w:p>
    <w:p>
      <w:pPr>
        <w:ind w:left="440" w:right="460" w:hanging="436"/>
        <w:spacing w:after="0" w:line="258" w:lineRule="auto"/>
        <w:tabs>
          <w:tab w:leader="none" w:pos="440" w:val="left"/>
        </w:tabs>
        <w:numPr>
          <w:ilvl w:val="0"/>
          <w:numId w:val="71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 w:lineRule="exact"/>
        <w:rPr>
          <w:rFonts w:ascii="Arial" w:cs="Arial" w:eastAsia="Arial" w:hAnsi="Arial"/>
          <w:sz w:val="15"/>
          <w:szCs w:val="15"/>
          <w:color w:val="auto"/>
        </w:rPr>
      </w:pPr>
    </w:p>
    <w:p>
      <w:pPr>
        <w:ind w:left="440" w:right="460" w:hanging="436"/>
        <w:spacing w:after="0" w:line="261" w:lineRule="auto"/>
        <w:tabs>
          <w:tab w:leader="none" w:pos="440" w:val="left"/>
        </w:tabs>
        <w:numPr>
          <w:ilvl w:val="0"/>
          <w:numId w:val="71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821" w:name="page822"/>
    <w:bookmarkEnd w:id="821"/>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meetings per Calendar Year shall be held in person, and all other such meetings may be held by teleconference or videoconference. The location of the meetings of the JDC to be held in person shall be agreed upon by the Parties. Each Party shall bear all expenses of its representatives on the JDC.</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5.5. Meeting Agenda; Minutes.</w:t>
      </w:r>
    </w:p>
    <w:p>
      <w:pPr>
        <w:spacing w:after="0" w:line="121"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The JDC chairperson shall be responsible for preparing and circulating an agenda in advance of each meeting of the JDC and for preparing and issuing minutes of each meeting within thirty (30) days thereafter. Such minutes will not be finalized until both Parties’ representatives on the JDC review and confirm the accuracy of such minutes in writing. Each Party will disclose to the other Party any other proposed agenda items along with appropriate information at [***] Business Days in advance of each meeting of the JDC; provided that, under exigent circumstances requiring the JDC’s input, a Party may provide its agenda items to the other Party within a lesser period of time in advance of the meeting so long as such other Party consents to such later addition of such agenda items for such JDC meeting.</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5.6. Dissolution on Change of Control.</w:t>
      </w:r>
    </w:p>
    <w:p>
      <w:pPr>
        <w:spacing w:after="0" w:line="12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At any time following the completion of the ongoing Phase IA clinical trial, Licensee may, in its sole discretion, dissolve the JDC in the event of a Change of Control of Pulmokine.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INTELLECTUAL PROPERTY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Patent Prosecution and Maintenance.</w:t>
      </w:r>
    </w:p>
    <w:p>
      <w:pPr>
        <w:spacing w:after="0" w:line="121" w:lineRule="exact"/>
        <w:rPr>
          <w:sz w:val="20"/>
          <w:szCs w:val="20"/>
          <w:color w:val="auto"/>
        </w:rPr>
      </w:pPr>
    </w:p>
    <w:p>
      <w:pPr>
        <w:ind w:right="20" w:firstLine="881"/>
        <w:spacing w:after="0" w:line="284" w:lineRule="auto"/>
        <w:rPr>
          <w:sz w:val="20"/>
          <w:szCs w:val="20"/>
          <w:color w:val="auto"/>
        </w:rPr>
      </w:pPr>
      <w:r>
        <w:rPr>
          <w:rFonts w:ascii="Arial" w:cs="Arial" w:eastAsia="Arial" w:hAnsi="Arial"/>
          <w:sz w:val="16"/>
          <w:szCs w:val="16"/>
          <w:color w:val="auto"/>
        </w:rPr>
        <w:t>As between the Parties, Licensed Patents shall be diligently prepared, filed, prosecuted and maintained by Pulmokine and in accordance with this Section 6.1. [***], and Licensee shall reimburse Pulmokine for [***] of receipt of invoice therefor. [***] Pulmokine shall: (a) keep Licensee reasonably informed of the preparation, filing, prosecution and maintenance of Licensed Patents, (b) provide Licensee with the opportunity to review and comment on any and all such prosecution efforts, and in no event less than thirty (30) days prior to any filing deadlines, provide Licensee copies of all documents relevant to any such prosecution efforts, including any drafts of any material filings or responses to communications with Regulatory Authorities, (c) take into consideration in good faith any comments from Licensee on such prosecution efforts, and (d) provide Licensee with a copy of all material communications from Regulatory Authorities in the Territory regarding the Licensed Patents. If Pulmokine desires to [***] allow any Licensed Patents to lapse or to abandon any Licensed Patents, Pulmokine shall notify Licensee in writing not less than [***] prior to taking such action</w:t>
      </w:r>
    </w:p>
    <w:p>
      <w:pPr>
        <w:spacing w:after="0" w:line="1" w:lineRule="exact"/>
        <w:rPr>
          <w:sz w:val="20"/>
          <w:szCs w:val="20"/>
          <w:color w:val="auto"/>
        </w:rPr>
      </w:pPr>
    </w:p>
    <w:p>
      <w:pPr>
        <w:ind w:firstLine="4"/>
        <w:spacing w:after="0" w:line="261" w:lineRule="auto"/>
        <w:tabs>
          <w:tab w:leader="none" w:pos="435" w:val="left"/>
        </w:tabs>
        <w:numPr>
          <w:ilvl w:val="0"/>
          <w:numId w:val="714"/>
        </w:numPr>
        <w:rPr>
          <w:rFonts w:ascii="Arial" w:cs="Arial" w:eastAsia="Arial" w:hAnsi="Arial"/>
          <w:sz w:val="18"/>
          <w:szCs w:val="18"/>
          <w:color w:val="auto"/>
        </w:rPr>
      </w:pPr>
      <w:r>
        <w:rPr>
          <w:rFonts w:ascii="Arial" w:cs="Arial" w:eastAsia="Arial" w:hAnsi="Arial"/>
          <w:sz w:val="18"/>
          <w:szCs w:val="18"/>
          <w:color w:val="auto"/>
        </w:rPr>
        <w:t>and [***] Licensee shall have the right (but not the obligation) to assume the responsibility for and control of the prosecution and maintenance of such Licensed Patents, as applicable, [***].</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Enforcement of Intellectual Property Rights.</w:t>
      </w:r>
    </w:p>
    <w:p>
      <w:pPr>
        <w:spacing w:after="0" w:line="117" w:lineRule="exact"/>
        <w:rPr>
          <w:sz w:val="20"/>
          <w:szCs w:val="20"/>
          <w:color w:val="auto"/>
        </w:rPr>
      </w:pPr>
    </w:p>
    <w:p>
      <w:pPr>
        <w:ind w:right="100" w:firstLine="885"/>
        <w:spacing w:after="0" w:line="266" w:lineRule="auto"/>
        <w:tabs>
          <w:tab w:leader="none" w:pos="1126" w:val="left"/>
        </w:tabs>
        <w:numPr>
          <w:ilvl w:val="0"/>
          <w:numId w:val="715"/>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Each Party will promptly notify the other Party of any infringement or misappropriation or suspected infringement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misappropriation that may come to its attention relating to the Licensed Technology and will provide the other Party with reasonable information with respect thereto.</w:t>
      </w:r>
    </w:p>
    <w:p>
      <w:pPr>
        <w:spacing w:after="0" w:line="68" w:lineRule="exact"/>
        <w:rPr>
          <w:rFonts w:ascii="Arial" w:cs="Arial" w:eastAsia="Arial" w:hAnsi="Arial"/>
          <w:sz w:val="18"/>
          <w:szCs w:val="18"/>
          <w:color w:val="auto"/>
        </w:rPr>
      </w:pPr>
    </w:p>
    <w:p>
      <w:pPr>
        <w:jc w:val="both"/>
        <w:ind w:right="60" w:firstLine="885"/>
        <w:spacing w:after="0" w:line="266" w:lineRule="auto"/>
        <w:tabs>
          <w:tab w:leader="none" w:pos="1136" w:val="left"/>
        </w:tabs>
        <w:numPr>
          <w:ilvl w:val="0"/>
          <w:numId w:val="715"/>
        </w:numPr>
        <w:rPr>
          <w:rFonts w:ascii="Arial" w:cs="Arial" w:eastAsia="Arial" w:hAnsi="Arial"/>
          <w:sz w:val="18"/>
          <w:szCs w:val="18"/>
          <w:color w:val="auto"/>
        </w:rPr>
      </w:pPr>
      <w:r>
        <w:rPr>
          <w:rFonts w:ascii="Arial" w:cs="Arial" w:eastAsia="Arial" w:hAnsi="Arial"/>
          <w:sz w:val="18"/>
          <w:szCs w:val="18"/>
          <w:b w:val="1"/>
          <w:bCs w:val="1"/>
          <w:color w:val="auto"/>
        </w:rPr>
        <w:t xml:space="preserve">Licensee First Right in the Territory. </w:t>
      </w:r>
      <w:r>
        <w:rPr>
          <w:rFonts w:ascii="Arial" w:cs="Arial" w:eastAsia="Arial" w:hAnsi="Arial"/>
          <w:sz w:val="18"/>
          <w:szCs w:val="18"/>
          <w:color w:val="auto"/>
        </w:rPr>
        <w:t>If a Third Party infringes or misappropriates any Licensed Patents or Licensed Know-How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infringement or misappropriation relates to Licensed Products in the Licensed Product Field in the Territory, then, [***], as applicable, [***] will have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6946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55" w:lineRule="exact"/>
        <w:rPr>
          <w:sz w:val="20"/>
          <w:szCs w:val="20"/>
          <w:color w:val="auto"/>
        </w:rPr>
      </w:pPr>
    </w:p>
    <w:p>
      <w:pPr>
        <w:ind w:left="440" w:right="360" w:hanging="436"/>
        <w:spacing w:after="0" w:line="277" w:lineRule="auto"/>
        <w:tabs>
          <w:tab w:leader="none" w:pos="440" w:val="left"/>
        </w:tabs>
        <w:numPr>
          <w:ilvl w:val="0"/>
          <w:numId w:val="71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3" w:right="539" w:bottom="1440" w:gutter="0" w:footer="0" w:header="0"/>
        </w:sectPr>
      </w:pPr>
    </w:p>
    <w:bookmarkStart w:id="822" w:name="page823"/>
    <w:bookmarkEnd w:id="82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(but not the obligation), at its own expense, to pursue any and all remedies against such Third Party, and [***] will have the right to participate in such action at its own expense. [***], as applicable, should [***] determine not to pursue remedies with respect to any such infringement or misappropriation of Licensed Patents or Licensed Know-How within (a) [***] following the notice of alleged infringement or (b) [***] before the time limit, if any, set forth in the applicable Laws for the filing of such actions, whichever comes first, then [***] will have the right (but not the obligation), at its own expense, to pursue remedies against such Third Party with respect to the Licensed Patents and Licensed Know-How, and [***] shall have the right to participate in such action at its own expense.</w:t>
      </w:r>
    </w:p>
    <w:p>
      <w:pPr>
        <w:spacing w:after="0" w:line="81" w:lineRule="exact"/>
        <w:rPr>
          <w:sz w:val="20"/>
          <w:szCs w:val="20"/>
          <w:color w:val="auto"/>
        </w:rPr>
      </w:pPr>
    </w:p>
    <w:p>
      <w:pPr>
        <w:ind w:right="20" w:firstLine="885"/>
        <w:spacing w:after="0" w:line="298" w:lineRule="auto"/>
        <w:tabs>
          <w:tab w:leader="none" w:pos="1126" w:val="left"/>
        </w:tabs>
        <w:numPr>
          <w:ilvl w:val="0"/>
          <w:numId w:val="717"/>
        </w:numPr>
        <w:rPr>
          <w:rFonts w:ascii="Arial" w:cs="Arial" w:eastAsia="Arial" w:hAnsi="Arial"/>
          <w:sz w:val="16"/>
          <w:szCs w:val="16"/>
          <w:color w:val="auto"/>
        </w:rPr>
      </w:pPr>
      <w:r>
        <w:rPr>
          <w:rFonts w:ascii="Arial" w:cs="Arial" w:eastAsia="Arial" w:hAnsi="Arial"/>
          <w:sz w:val="16"/>
          <w:szCs w:val="16"/>
          <w:b w:val="1"/>
          <w:bCs w:val="1"/>
          <w:color w:val="auto"/>
        </w:rPr>
        <w:t xml:space="preserve">Assistance and Cooperation; Recoveries. </w:t>
      </w:r>
      <w:r>
        <w:rPr>
          <w:rFonts w:ascii="Arial" w:cs="Arial" w:eastAsia="Arial" w:hAnsi="Arial"/>
          <w:sz w:val="16"/>
          <w:szCs w:val="16"/>
          <w:color w:val="auto"/>
        </w:rPr>
        <w:t>If a Party pursues remedies hereunder with respect to infringement or misappropriation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Patents or Licensed Know-How, the other Party shall assist and cooperate fully with the Party pursuing such remedies, including, if required to bring such action, joining in any action as set forth in this Section 6.2 or providing a power of attorney. [***], as applicable, [***], any damages or other amounts collected will be distributed, first, to the Party that pursued remedies to cover its costs and expenses and, second, to the other Party to cover its costs and expenses, if any, relating to the pursuit of such remedies; and any remaining amount will be distributed to the Parties in equal amounts; [***].</w:t>
      </w:r>
    </w:p>
    <w:p>
      <w:pPr>
        <w:spacing w:after="0" w:line="46" w:lineRule="exact"/>
        <w:rPr>
          <w:rFonts w:ascii="Arial" w:cs="Arial" w:eastAsia="Arial" w:hAnsi="Arial"/>
          <w:sz w:val="16"/>
          <w:szCs w:val="16"/>
          <w:color w:val="auto"/>
        </w:rPr>
      </w:pPr>
    </w:p>
    <w:p>
      <w:pPr>
        <w:ind w:right="20" w:firstLine="885"/>
        <w:spacing w:after="0" w:line="266" w:lineRule="auto"/>
        <w:tabs>
          <w:tab w:leader="none" w:pos="1136" w:val="left"/>
        </w:tabs>
        <w:numPr>
          <w:ilvl w:val="0"/>
          <w:numId w:val="717"/>
        </w:numPr>
        <w:rPr>
          <w:rFonts w:ascii="Arial" w:cs="Arial" w:eastAsia="Arial" w:hAnsi="Arial"/>
          <w:sz w:val="18"/>
          <w:szCs w:val="18"/>
          <w:color w:val="auto"/>
        </w:rPr>
      </w:pPr>
      <w:r>
        <w:rPr>
          <w:rFonts w:ascii="Arial" w:cs="Arial" w:eastAsia="Arial" w:hAnsi="Arial"/>
          <w:sz w:val="18"/>
          <w:szCs w:val="18"/>
          <w:b w:val="1"/>
          <w:bCs w:val="1"/>
          <w:color w:val="auto"/>
        </w:rPr>
        <w:t xml:space="preserve">Settlement of Litigation. </w:t>
      </w:r>
      <w:r>
        <w:rPr>
          <w:rFonts w:ascii="Arial" w:cs="Arial" w:eastAsia="Arial" w:hAnsi="Arial"/>
          <w:sz w:val="18"/>
          <w:szCs w:val="18"/>
          <w:color w:val="auto"/>
        </w:rPr>
        <w:t>No settlement, consent judgment or other final disposition of an action for infringement or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misappropriation may be entered into as to any Licensed Patents or Licensed Know-How in the Licensed Product Field without the prior written consent of Licensee, which consent shall not be unreasonably withheld.</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6.3. Third Party Actions.</w:t>
      </w:r>
    </w:p>
    <w:p>
      <w:pPr>
        <w:spacing w:after="0" w:line="121"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If a Third Party institutes (a) a patent, trade secret or other infringement or misappropriation suit against Licensee during the Term, alleging that the manufacture, marketing, sale, use, importation, exportation or other exploitation of the Licensed Products infringes or misappropriates one (1) or more patent or other intellectual property rights held by such Third Party or (b) an opposition, re-examination request, action for declaratory judgment, nullity action, interference, inter partes review, challenge related to a certification filed pursuant to 21 U.S.C. § 355(b)(2)(A) or §355(j)(2)(A)(vii)(IV) or its successor provisions or a similar action under foreign Laws, or other attack upon the validity, title or enforceability of the Licensed Patents, then Licensee will have the sole right (but not the obligation) to assume direction and control of the defense of such claims. At Licensee’s request, Pulmokine will provide reasonable assistance in connection with the defense of such claims, including, at either Party’s request, the entry into a “common interest agreement” as may be appropriate. Each Party shall bear its own expenses incurred in connection with the defense of such claims.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Ownership of Inventions.</w:t>
      </w:r>
    </w:p>
    <w:p>
      <w:pPr>
        <w:spacing w:after="0" w:line="117" w:lineRule="exact"/>
        <w:rPr>
          <w:sz w:val="20"/>
          <w:szCs w:val="20"/>
          <w:color w:val="auto"/>
        </w:rPr>
      </w:pPr>
    </w:p>
    <w:p>
      <w:pPr>
        <w:ind w:firstLine="885"/>
        <w:spacing w:after="0" w:line="273" w:lineRule="auto"/>
        <w:tabs>
          <w:tab w:leader="none" w:pos="1126" w:val="left"/>
        </w:tabs>
        <w:numPr>
          <w:ilvl w:val="0"/>
          <w:numId w:val="718"/>
        </w:numPr>
        <w:rPr>
          <w:rFonts w:ascii="Arial" w:cs="Arial" w:eastAsia="Arial" w:hAnsi="Arial"/>
          <w:sz w:val="17"/>
          <w:szCs w:val="17"/>
          <w:color w:val="auto"/>
        </w:rPr>
      </w:pPr>
      <w:r>
        <w:rPr>
          <w:rFonts w:ascii="Arial" w:cs="Arial" w:eastAsia="Arial" w:hAnsi="Arial"/>
          <w:sz w:val="17"/>
          <w:szCs w:val="17"/>
          <w:b w:val="1"/>
          <w:bCs w:val="1"/>
          <w:color w:val="auto"/>
        </w:rPr>
        <w:t xml:space="preserve">Inventorship. </w:t>
      </w:r>
      <w:r>
        <w:rPr>
          <w:rFonts w:ascii="Arial" w:cs="Arial" w:eastAsia="Arial" w:hAnsi="Arial"/>
          <w:sz w:val="17"/>
          <w:szCs w:val="17"/>
          <w:color w:val="auto"/>
        </w:rPr>
        <w:t>Inventorship of inventions and discoveries conceived and reduced to practice during the Term shall be determined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rules of inventorship under United States patent laws. Pulmokine shall solely own all patent applications and patents that encompass all such inventions and discoveries that are solely invented by Pulmokine, which, if necessary or useful to the research, development, manufacture, commercialization, sale, use or other exploitation of the Compound, Backup Compound, Asthma Compounds, Biomarkers or Licensed Products, shall constitute Licensed Patents and be subject to the terms and conditions of this Agreement. Licensee shall solely own and shall bear all expenses incurred in preparing, filing, prosecuting and maintaining all patent applications and patents that encompass all such inventions and discoveries that are solely invented by Licensee, its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823" w:name="page824"/>
    <w:bookmarkEnd w:id="8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or Sublicensees, and which for the purposes hereof shall include any Improvements made solely by Licensee (the “</w:t>
      </w:r>
      <w:r>
        <w:rPr>
          <w:rFonts w:ascii="Arial" w:cs="Arial" w:eastAsia="Arial" w:hAnsi="Arial"/>
          <w:sz w:val="16"/>
          <w:szCs w:val="16"/>
          <w:b w:val="1"/>
          <w:bCs w:val="1"/>
          <w:color w:val="auto"/>
        </w:rPr>
        <w:t>Licensee Inventions</w:t>
      </w:r>
      <w:r>
        <w:rPr>
          <w:rFonts w:ascii="Arial" w:cs="Arial" w:eastAsia="Arial" w:hAnsi="Arial"/>
          <w:sz w:val="16"/>
          <w:szCs w:val="16"/>
          <w:color w:val="auto"/>
        </w:rPr>
        <w:t>”).</w:t>
      </w:r>
    </w:p>
    <w:p>
      <w:pPr>
        <w:spacing w:after="0" w:line="248" w:lineRule="exact"/>
        <w:rPr>
          <w:sz w:val="20"/>
          <w:szCs w:val="20"/>
          <w:color w:val="auto"/>
        </w:rPr>
      </w:pPr>
    </w:p>
    <w:p>
      <w:pPr>
        <w:ind w:firstLine="885"/>
        <w:spacing w:after="0" w:line="269" w:lineRule="auto"/>
        <w:tabs>
          <w:tab w:leader="none" w:pos="1136" w:val="left"/>
        </w:tabs>
        <w:numPr>
          <w:ilvl w:val="0"/>
          <w:numId w:val="719"/>
        </w:numPr>
        <w:rPr>
          <w:rFonts w:ascii="Arial" w:cs="Arial" w:eastAsia="Arial" w:hAnsi="Arial"/>
          <w:sz w:val="17"/>
          <w:szCs w:val="17"/>
          <w:color w:val="auto"/>
        </w:rPr>
      </w:pPr>
      <w:r>
        <w:rPr>
          <w:rFonts w:ascii="Arial" w:cs="Arial" w:eastAsia="Arial" w:hAnsi="Arial"/>
          <w:sz w:val="17"/>
          <w:szCs w:val="17"/>
          <w:b w:val="1"/>
          <w:bCs w:val="1"/>
          <w:color w:val="auto"/>
        </w:rPr>
        <w:t xml:space="preserve">Joint Inventions. </w:t>
      </w:r>
      <w:r>
        <w:rPr>
          <w:rFonts w:ascii="Arial" w:cs="Arial" w:eastAsia="Arial" w:hAnsi="Arial"/>
          <w:sz w:val="17"/>
          <w:szCs w:val="17"/>
          <w:color w:val="auto"/>
        </w:rPr>
        <w:t>The Parties do not intend to conduct any activities which could result in inventions or discoveries in which one (1)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employees, officers, directors, contractors or agents of Licensee, its Affiliates or Sublicensees and one (1) or more employees, officers, directors, contractors or agents of Pulmokine have contributed to the conception of such invention or discovery, and which for the purposes hereof shall include any Improvements (whether such Improvements were solely or jointly made, developed, conceived or reduced to practice by Pulmokine, but excluding Improvements made solely by Licensee) (collectively, “</w:t>
      </w:r>
      <w:r>
        <w:rPr>
          <w:rFonts w:ascii="Arial" w:cs="Arial" w:eastAsia="Arial" w:hAnsi="Arial"/>
          <w:sz w:val="17"/>
          <w:szCs w:val="17"/>
          <w:b w:val="1"/>
          <w:bCs w:val="1"/>
          <w:color w:val="auto"/>
        </w:rPr>
        <w:t>Joint Inventions</w:t>
      </w:r>
      <w:r>
        <w:rPr>
          <w:rFonts w:ascii="Arial" w:cs="Arial" w:eastAsia="Arial" w:hAnsi="Arial"/>
          <w:sz w:val="17"/>
          <w:szCs w:val="17"/>
          <w:color w:val="auto"/>
        </w:rPr>
        <w:t>”). In the unlikely event that Joint Inventions are conceived and reduced to practice during the Term, Pulmokine and Licensee shall jointly own all right, title and interest in and to such Joint Inventions, and Pulmokine’s rights in such Joint Inventions shall be automatically included in the Licensed Technology licensed to Licensee under Section 2.1 without additional consideration, except as provided in Section 6.1. Each Party will promptly, but in no event later than thirty (30) days from invention, creation or conception, inform the other Party of all Joint Inventions. Information provided with respect to such Joint Inventions will be in reasonable detail but in no circumstance less than would be sufficient to permit an understanding of the nature of such Joint Inventions by a practitioner reasonably skilled in the relevant technical or scientific area. Notwithstanding anything set forth in Section 8.1 to the contrary, to the extent that any such Joint Inventions constitute a Future New Invention (as defined in the Gilead License), then Pulmokine shall provide Gilead with notice thereof in accordance with the terms of such Gilead License</w:t>
      </w:r>
    </w:p>
    <w:p>
      <w:pPr>
        <w:spacing w:after="0" w:line="176" w:lineRule="exact"/>
        <w:rPr>
          <w:rFonts w:ascii="Arial" w:cs="Arial" w:eastAsia="Arial" w:hAnsi="Arial"/>
          <w:sz w:val="17"/>
          <w:szCs w:val="17"/>
          <w:color w:val="auto"/>
        </w:rPr>
      </w:pPr>
    </w:p>
    <w:p>
      <w:pPr>
        <w:ind w:right="20" w:firstLine="885"/>
        <w:spacing w:after="0" w:line="347" w:lineRule="auto"/>
        <w:tabs>
          <w:tab w:leader="none" w:pos="1126" w:val="left"/>
        </w:tabs>
        <w:numPr>
          <w:ilvl w:val="0"/>
          <w:numId w:val="719"/>
        </w:numPr>
        <w:rPr>
          <w:rFonts w:ascii="Arial" w:cs="Arial" w:eastAsia="Arial" w:hAnsi="Arial"/>
          <w:sz w:val="16"/>
          <w:szCs w:val="16"/>
          <w:color w:val="auto"/>
        </w:rPr>
      </w:pPr>
      <w:r>
        <w:rPr>
          <w:rFonts w:ascii="Arial" w:cs="Arial" w:eastAsia="Arial" w:hAnsi="Arial"/>
          <w:sz w:val="16"/>
          <w:szCs w:val="16"/>
          <w:b w:val="1"/>
          <w:bCs w:val="1"/>
          <w:color w:val="auto"/>
        </w:rPr>
        <w:t>Trademarks</w:t>
      </w:r>
      <w:r>
        <w:rPr>
          <w:rFonts w:ascii="Arial" w:cs="Arial" w:eastAsia="Arial" w:hAnsi="Arial"/>
          <w:sz w:val="16"/>
          <w:szCs w:val="16"/>
          <w:color w:val="auto"/>
        </w:rPr>
        <w:t>. In its sole discretion, Licensee will own and shall have sole responsibility and control with respect to all trademarks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its commercialization and other exploitation of Licensed Products and with respect to registering, defending and maintaining such trademarks.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6.5. Patent Cooperation.</w:t>
      </w:r>
    </w:p>
    <w:p>
      <w:pPr>
        <w:spacing w:after="0" w:line="121"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Pulmokine shall make its employees, agents and consultants reasonably available to Licensee (or Licensee’s authorized attorneys, agents or representatives) at Licensee’s expense, to the extent reasonably necessary to enable Licensee to undertake preparation, filing, prosecution and maintenance of the Licensee Inventions.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Orange Book.</w:t>
      </w:r>
    </w:p>
    <w:p>
      <w:pPr>
        <w:spacing w:after="0" w:line="121"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 xml:space="preserve">In the event that one (1) or more Licensed Patents contains a claim or claims that must be submitted for a Licensed Product covered by such patent pursuant to 21 C.F.R. § 314.53 or its successor and subsequently be listed in the </w:t>
      </w:r>
      <w:r>
        <w:rPr>
          <w:rFonts w:ascii="Arial" w:cs="Arial" w:eastAsia="Arial" w:hAnsi="Arial"/>
          <w:sz w:val="17"/>
          <w:szCs w:val="17"/>
          <w:u w:val="single" w:color="auto"/>
          <w:color w:val="auto"/>
        </w:rPr>
        <w:t>Approved Drug Products with Therapeutic Equivalence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Evaluations</w:t>
      </w:r>
      <w:r>
        <w:rPr>
          <w:rFonts w:ascii="Arial" w:cs="Arial" w:eastAsia="Arial" w:hAnsi="Arial"/>
          <w:sz w:val="17"/>
          <w:szCs w:val="17"/>
          <w:color w:val="auto"/>
        </w:rPr>
        <w:t xml:space="preserve"> published by the FDA Center for Drug Evaluation and Research or any successor publication (the “</w:t>
      </w:r>
      <w:r>
        <w:rPr>
          <w:rFonts w:ascii="Arial" w:cs="Arial" w:eastAsia="Arial" w:hAnsi="Arial"/>
          <w:sz w:val="17"/>
          <w:szCs w:val="17"/>
          <w:b w:val="1"/>
          <w:bCs w:val="1"/>
          <w:color w:val="auto"/>
        </w:rPr>
        <w:t>Orange Book</w:t>
      </w:r>
      <w:r>
        <w:rPr>
          <w:rFonts w:ascii="Arial" w:cs="Arial" w:eastAsia="Arial" w:hAnsi="Arial"/>
          <w:sz w:val="17"/>
          <w:szCs w:val="17"/>
          <w:color w:val="auto"/>
        </w:rPr>
        <w:t>”), Licensee shall promptly confer with Pulmokine regarding the same and, following which Licensee shall have the right in its sole discretion to file with the FDA the required listing documents and certifications, and Pulmokine will sign any power of attorney, and do such other lawful acts, in each case as are required by FDA to effect such submission as required under 21 C.F.R. § 314.53(c)(2)(ii) or its successor.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1" w:right="459" w:bottom="1440" w:gutter="0" w:footer="0" w:header="0"/>
        </w:sectPr>
      </w:pPr>
    </w:p>
    <w:bookmarkStart w:id="824" w:name="page825"/>
    <w:bookmarkEnd w:id="82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 Patent Term Extensions.</w:t>
      </w:r>
    </w:p>
    <w:p>
      <w:pPr>
        <w:spacing w:after="0" w:line="121"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Licensee shall have the right to prepare and file, or to cause Pulmokine [***] to prepare and file, a patent term extension or supplementary protection certificate application with respect to any applicable Licensed Patent upon Regulatory Approval of a Licensed Product (which is Covered by such Licensed Patent), and the Parties will cooperate with each other and use reasonable efforts to obtain all available extensions and supplementary protection certificates for any such Licensed Patent applicable to such Licensed Product. Each Party shall be permitted to assist and provide comments to the other Party, and to provide the regulatory timeline, diligence and regulatory period calculations required as part of the application, to complete the application(s) for such extensions or supplementary protection certificates and to assist in any other matters related to preparation of the application(s) for such extensions or supplementary protection certificates, and each Party will fully cooperate, in preparing and filing such a patent term extension or supplementary protection certificate application with respect to any such Licensed Patent within the limited time set for filing such application. All term extensions under this Section 6.7 shall be owned by Pulmokine, except to the extent that the applicable Licensed Patent is a Pulmokine-Gilead Joint Patent, in which event the term extension shall be jointly owned by Pulmokine and Gilead.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REPRESENTATIONS, WARRANTIES AND COVENANTS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 No Litigation.</w:t>
      </w:r>
    </w:p>
    <w:p>
      <w:pPr>
        <w:spacing w:after="0" w:line="121"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Each Party represents and warrants to the other Party that, to its knowledge as of the Effective Date, there is no litigation, proceeding or investigation pending or threatened against or involving such Party in any court or before any agency or regulatory body which could adversely affect such Party’s ability or right to carry out the transactions contemplated by this Agreement.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No Debarment.</w:t>
      </w:r>
    </w:p>
    <w:p>
      <w:pPr>
        <w:spacing w:after="0" w:line="121" w:lineRule="exact"/>
        <w:rPr>
          <w:sz w:val="20"/>
          <w:szCs w:val="20"/>
          <w:color w:val="auto"/>
        </w:rPr>
      </w:pPr>
    </w:p>
    <w:p>
      <w:pPr>
        <w:ind w:right="120" w:firstLine="881"/>
        <w:spacing w:after="0" w:line="312" w:lineRule="auto"/>
        <w:rPr>
          <w:sz w:val="20"/>
          <w:szCs w:val="20"/>
          <w:color w:val="auto"/>
        </w:rPr>
      </w:pPr>
      <w:r>
        <w:rPr>
          <w:rFonts w:ascii="Arial" w:cs="Arial" w:eastAsia="Arial" w:hAnsi="Arial"/>
          <w:sz w:val="16"/>
          <w:szCs w:val="16"/>
          <w:color w:val="auto"/>
        </w:rPr>
        <w:t>Neither Party, nor any of such Party’s employees, independent contractors, consultants, agents or officers: (a) has ever been debarred or is subject to debarment or, to such Party’s knowledge, convicted of a crime for which a Person could be debarred before a Regulatory Authority under applicable Laws, or (b) to such Party’s knowledge, has ever been under indictment for a crime for which a Person could be debarred under such Laws.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7.3. Corporate Existence.</w:t>
      </w:r>
    </w:p>
    <w:p>
      <w:pPr>
        <w:spacing w:after="0" w:line="12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As of the Effective Date, each Party represents and warrants to the other Party that it is a company duly organized, validly existing and in good standing under the Laws of the jurisdiction in which it is formed.</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7.4. Authority to Execute and Perform.</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Effective Date, each Party represents, warrants and covenants to the other that it:</w:t>
      </w:r>
    </w:p>
    <w:p>
      <w:pPr>
        <w:spacing w:after="0" w:line="117" w:lineRule="exact"/>
        <w:rPr>
          <w:sz w:val="20"/>
          <w:szCs w:val="20"/>
          <w:color w:val="auto"/>
        </w:rPr>
      </w:pPr>
    </w:p>
    <w:p>
      <w:pPr>
        <w:ind w:left="1140" w:hanging="255"/>
        <w:spacing w:after="0"/>
        <w:tabs>
          <w:tab w:leader="none" w:pos="114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has the power and authority and the legal right to enter into this Agreement and to perform its obligations hereunder;</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has taken all necessary company action on its part required to authorize the execution and delivery of this Agreement;</w:t>
      </w:r>
    </w:p>
    <w:p>
      <w:pPr>
        <w:spacing w:after="0" w:line="319" w:lineRule="exact"/>
        <w:rPr>
          <w:rFonts w:ascii="Arial" w:cs="Arial" w:eastAsia="Arial" w:hAnsi="Arial"/>
          <w:sz w:val="18"/>
          <w:szCs w:val="18"/>
          <w:color w:val="auto"/>
        </w:rPr>
      </w:pPr>
    </w:p>
    <w:p>
      <w:pPr>
        <w:ind w:left="440" w:right="400" w:hanging="436"/>
        <w:spacing w:after="0" w:line="277" w:lineRule="auto"/>
        <w:tabs>
          <w:tab w:leader="none" w:pos="440" w:val="left"/>
        </w:tabs>
        <w:numPr>
          <w:ilvl w:val="0"/>
          <w:numId w:val="72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825" w:name="page826"/>
    <w:bookmarkEnd w:id="825"/>
    <w:p>
      <w:pPr>
        <w:ind w:right="260" w:firstLine="885"/>
        <w:spacing w:after="0" w:line="277" w:lineRule="auto"/>
        <w:tabs>
          <w:tab w:leader="none" w:pos="1126" w:val="left"/>
        </w:tabs>
        <w:numPr>
          <w:ilvl w:val="0"/>
          <w:numId w:val="7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duly executed and delivered this Agreement, which constitutes a legal, valid and binding obligation of it and which is enforceable against it in accordance with this Agreement’s terms; and</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shall perform its obligations hereunder in compliance with applicable Laws.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Non-Contravention.</w:t>
      </w:r>
    </w:p>
    <w:p>
      <w:pPr>
        <w:spacing w:after="0" w:line="121"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As of the Effective Date, Pulmokine represents and warrants to Licensee that the execution, delivery and performance of this Agreement by it, and the transactions contemplated hereby, do not and will not:</w:t>
      </w:r>
    </w:p>
    <w:p>
      <w:pPr>
        <w:spacing w:after="0" w:line="62" w:lineRule="exact"/>
        <w:rPr>
          <w:sz w:val="20"/>
          <w:szCs w:val="20"/>
          <w:color w:val="auto"/>
        </w:rPr>
      </w:pPr>
    </w:p>
    <w:p>
      <w:pPr>
        <w:ind w:right="600" w:firstLine="885"/>
        <w:spacing w:after="0" w:line="277" w:lineRule="auto"/>
        <w:tabs>
          <w:tab w:leader="none" w:pos="1126" w:val="left"/>
        </w:tabs>
        <w:numPr>
          <w:ilvl w:val="0"/>
          <w:numId w:val="722"/>
        </w:numPr>
        <w:rPr>
          <w:rFonts w:ascii="Arial" w:cs="Arial" w:eastAsia="Arial" w:hAnsi="Arial"/>
          <w:sz w:val="18"/>
          <w:szCs w:val="18"/>
          <w:color w:val="auto"/>
        </w:rPr>
      </w:pPr>
      <w:r>
        <w:rPr>
          <w:rFonts w:ascii="Arial" w:cs="Arial" w:eastAsia="Arial" w:hAnsi="Arial"/>
          <w:sz w:val="18"/>
          <w:szCs w:val="18"/>
          <w:color w:val="auto"/>
        </w:rPr>
        <w:t>conflict with or result in a breach of any provision of the corporate charter, certificate of incorporation, by-laws or organizational documents of Pulmokine or any of its Affiliates;</w:t>
      </w:r>
    </w:p>
    <w:p>
      <w:pPr>
        <w:spacing w:after="0" w:line="62" w:lineRule="exact"/>
        <w:rPr>
          <w:rFonts w:ascii="Arial" w:cs="Arial" w:eastAsia="Arial" w:hAnsi="Arial"/>
          <w:sz w:val="18"/>
          <w:szCs w:val="18"/>
          <w:color w:val="auto"/>
        </w:rPr>
      </w:pPr>
    </w:p>
    <w:p>
      <w:pPr>
        <w:ind w:right="20" w:firstLine="885"/>
        <w:spacing w:after="0" w:line="312" w:lineRule="auto"/>
        <w:tabs>
          <w:tab w:leader="none" w:pos="1136" w:val="left"/>
        </w:tabs>
        <w:numPr>
          <w:ilvl w:val="0"/>
          <w:numId w:val="722"/>
        </w:numPr>
        <w:rPr>
          <w:rFonts w:ascii="Arial" w:cs="Arial" w:eastAsia="Arial" w:hAnsi="Arial"/>
          <w:sz w:val="16"/>
          <w:szCs w:val="16"/>
          <w:color w:val="auto"/>
        </w:rPr>
      </w:pPr>
      <w:r>
        <w:rPr>
          <w:rFonts w:ascii="Arial" w:cs="Arial" w:eastAsia="Arial" w:hAnsi="Arial"/>
          <w:sz w:val="16"/>
          <w:szCs w:val="16"/>
          <w:color w:val="auto"/>
        </w:rPr>
        <w:t>conflict with, result in a breach or default or give rise to any right of termination, cancellation, modification or acceleration under any contract, agreement or instrument related to the Licensed Patents, Licensed Know-How or Licensed Products to which Pulmokine or any of its Affiliates is a party (including the Gilead License and the RCTR License) or to which Pulmokine or any of its Affiliates may be subject although not a party;</w:t>
      </w:r>
    </w:p>
    <w:p>
      <w:pPr>
        <w:spacing w:after="0" w:line="38" w:lineRule="exact"/>
        <w:rPr>
          <w:rFonts w:ascii="Arial" w:cs="Arial" w:eastAsia="Arial" w:hAnsi="Arial"/>
          <w:sz w:val="16"/>
          <w:szCs w:val="16"/>
          <w:color w:val="auto"/>
        </w:rPr>
      </w:pPr>
    </w:p>
    <w:p>
      <w:pPr>
        <w:ind w:left="1140" w:hanging="255"/>
        <w:spacing w:after="0"/>
        <w:tabs>
          <w:tab w:leader="none" w:pos="114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violate any applicable Laws; or</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result in the imposition of any lien or encumbrance upon any Licensed Patent, Licensed Know-How or Licensed Product.</w:t>
      </w:r>
    </w:p>
    <w:p>
      <w:pPr>
        <w:spacing w:after="0" w:line="329" w:lineRule="exact"/>
        <w:rPr>
          <w:sz w:val="20"/>
          <w:szCs w:val="20"/>
          <w:color w:val="auto"/>
        </w:rPr>
      </w:pPr>
    </w:p>
    <w:p>
      <w:pPr>
        <w:jc w:val="center"/>
        <w:ind w:right="4640"/>
        <w:spacing w:after="0"/>
        <w:rPr>
          <w:sz w:val="20"/>
          <w:szCs w:val="20"/>
          <w:color w:val="auto"/>
        </w:rPr>
      </w:pPr>
      <w:r>
        <w:rPr>
          <w:rFonts w:ascii="Arial" w:cs="Arial" w:eastAsia="Arial" w:hAnsi="Arial"/>
          <w:sz w:val="18"/>
          <w:szCs w:val="18"/>
          <w:b w:val="1"/>
          <w:bCs w:val="1"/>
          <w:color w:val="auto"/>
        </w:rPr>
        <w:t>7.6. Additional Pulmokine Representations, Warranties and Covenants.</w:t>
      </w:r>
    </w:p>
    <w:p>
      <w:pPr>
        <w:spacing w:after="0" w:line="121" w:lineRule="exact"/>
        <w:rPr>
          <w:sz w:val="20"/>
          <w:szCs w:val="20"/>
          <w:color w:val="auto"/>
        </w:rPr>
      </w:pPr>
    </w:p>
    <w:p>
      <w:pPr>
        <w:jc w:val="center"/>
        <w:ind w:right="4680"/>
        <w:spacing w:after="0"/>
        <w:rPr>
          <w:sz w:val="20"/>
          <w:szCs w:val="20"/>
          <w:color w:val="auto"/>
        </w:rPr>
      </w:pPr>
      <w:r>
        <w:rPr>
          <w:rFonts w:ascii="Arial" w:cs="Arial" w:eastAsia="Arial" w:hAnsi="Arial"/>
          <w:sz w:val="18"/>
          <w:szCs w:val="18"/>
          <w:color w:val="auto"/>
        </w:rPr>
        <w:t>Pulmokine represents, warrants and covenants to Licensee that:</w:t>
      </w:r>
    </w:p>
    <w:p>
      <w:pPr>
        <w:spacing w:after="0" w:line="117" w:lineRule="exact"/>
        <w:rPr>
          <w:sz w:val="20"/>
          <w:szCs w:val="20"/>
          <w:color w:val="auto"/>
        </w:rPr>
      </w:pPr>
    </w:p>
    <w:p>
      <w:pPr>
        <w:ind w:right="160" w:firstLine="885"/>
        <w:spacing w:after="0" w:line="308" w:lineRule="auto"/>
        <w:tabs>
          <w:tab w:leader="none" w:pos="1126" w:val="left"/>
        </w:tabs>
        <w:numPr>
          <w:ilvl w:val="0"/>
          <w:numId w:val="723"/>
        </w:numPr>
        <w:rPr>
          <w:rFonts w:ascii="Arial" w:cs="Arial" w:eastAsia="Arial" w:hAnsi="Arial"/>
          <w:sz w:val="17"/>
          <w:szCs w:val="17"/>
          <w:color w:val="auto"/>
        </w:rPr>
      </w:pPr>
      <w:r>
        <w:rPr>
          <w:rFonts w:ascii="Arial" w:cs="Arial" w:eastAsia="Arial" w:hAnsi="Arial"/>
          <w:sz w:val="17"/>
          <w:szCs w:val="17"/>
          <w:color w:val="auto"/>
        </w:rPr>
        <w:t xml:space="preserve">Pulmokine is the sole and exclusive owner of the entire right, title and interest in and to the Pulmokine-Controlled Patents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the Asthma Patent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free and clear of all liens and other encumbrances, security interests, options and licenses;</w:t>
      </w:r>
    </w:p>
    <w:p>
      <w:pPr>
        <w:spacing w:after="0" w:line="38" w:lineRule="exact"/>
        <w:rPr>
          <w:rFonts w:ascii="Arial" w:cs="Arial" w:eastAsia="Arial" w:hAnsi="Arial"/>
          <w:sz w:val="17"/>
          <w:szCs w:val="17"/>
          <w:color w:val="auto"/>
        </w:rPr>
      </w:pPr>
    </w:p>
    <w:p>
      <w:pPr>
        <w:ind w:right="60" w:firstLine="885"/>
        <w:spacing w:after="0" w:line="259" w:lineRule="auto"/>
        <w:tabs>
          <w:tab w:leader="none" w:pos="1136" w:val="left"/>
        </w:tabs>
        <w:numPr>
          <w:ilvl w:val="0"/>
          <w:numId w:val="723"/>
        </w:numPr>
        <w:rPr>
          <w:rFonts w:ascii="Arial" w:cs="Arial" w:eastAsia="Arial" w:hAnsi="Arial"/>
          <w:sz w:val="18"/>
          <w:szCs w:val="18"/>
          <w:color w:val="auto"/>
        </w:rPr>
      </w:pPr>
      <w:r>
        <w:rPr>
          <w:rFonts w:ascii="Arial" w:cs="Arial" w:eastAsia="Arial" w:hAnsi="Arial"/>
          <w:sz w:val="18"/>
          <w:szCs w:val="18"/>
          <w:color w:val="auto"/>
        </w:rPr>
        <w:t xml:space="preserve">Pulmokine is the joint owner (together with Gilead) of a joint and undivided right, title and interest in and to the Pulmokine-Gilead Joint Patents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free and clear of all liens and other encumbrances, security interests, options and licenses and is the exclusive licensee in the Licensed Product Field of all of Gilead’s joint and undivided right, title and interest in and to such Pulmokine-Gilead Joint Patents, and holds such license free and clear of all liens and other encumbrances, security interests, options and licenses;</w:t>
      </w:r>
    </w:p>
    <w:p>
      <w:pPr>
        <w:spacing w:after="0" w:line="78" w:lineRule="exact"/>
        <w:rPr>
          <w:rFonts w:ascii="Arial" w:cs="Arial" w:eastAsia="Arial" w:hAnsi="Arial"/>
          <w:sz w:val="18"/>
          <w:szCs w:val="18"/>
          <w:color w:val="auto"/>
        </w:rPr>
      </w:pPr>
    </w:p>
    <w:p>
      <w:pPr>
        <w:ind w:firstLine="885"/>
        <w:spacing w:after="0" w:line="264" w:lineRule="auto"/>
        <w:tabs>
          <w:tab w:leader="none" w:pos="1126" w:val="left"/>
        </w:tabs>
        <w:numPr>
          <w:ilvl w:val="0"/>
          <w:numId w:val="723"/>
        </w:numPr>
        <w:rPr>
          <w:rFonts w:ascii="Arial" w:cs="Arial" w:eastAsia="Arial" w:hAnsi="Arial"/>
          <w:sz w:val="18"/>
          <w:szCs w:val="18"/>
          <w:color w:val="auto"/>
        </w:rPr>
      </w:pPr>
      <w:r>
        <w:rPr>
          <w:rFonts w:ascii="Arial" w:cs="Arial" w:eastAsia="Arial" w:hAnsi="Arial"/>
          <w:sz w:val="18"/>
          <w:szCs w:val="18"/>
          <w:color w:val="auto"/>
        </w:rPr>
        <w:t xml:space="preserve">Pulmokine is the exclusive licensee in the Licensed Product Field of the Gilead Background Patents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exclusive licensee of the Biomarker Patents on </w:t>
      </w:r>
      <w:r>
        <w:rPr>
          <w:rFonts w:ascii="Arial" w:cs="Arial" w:eastAsia="Arial" w:hAnsi="Arial"/>
          <w:sz w:val="18"/>
          <w:szCs w:val="18"/>
          <w:u w:val="single" w:color="auto"/>
          <w:color w:val="auto"/>
        </w:rPr>
        <w:t>Exhibit H</w:t>
      </w:r>
      <w:r>
        <w:rPr>
          <w:rFonts w:ascii="Arial" w:cs="Arial" w:eastAsia="Arial" w:hAnsi="Arial"/>
          <w:sz w:val="18"/>
          <w:szCs w:val="18"/>
          <w:color w:val="auto"/>
        </w:rPr>
        <w:t>, and holds each license for such patent rights free and clear of all liens and other encumbrances, security interests, options and licenses;</w:t>
      </w:r>
    </w:p>
    <w:p>
      <w:pPr>
        <w:spacing w:after="0" w:line="73" w:lineRule="exact"/>
        <w:rPr>
          <w:rFonts w:ascii="Arial" w:cs="Arial" w:eastAsia="Arial" w:hAnsi="Arial"/>
          <w:sz w:val="18"/>
          <w:szCs w:val="18"/>
          <w:color w:val="auto"/>
        </w:rPr>
      </w:pPr>
    </w:p>
    <w:p>
      <w:pPr>
        <w:ind w:right="340" w:firstLine="885"/>
        <w:spacing w:after="0" w:line="342" w:lineRule="auto"/>
        <w:tabs>
          <w:tab w:leader="none" w:pos="1136" w:val="left"/>
        </w:tabs>
        <w:numPr>
          <w:ilvl w:val="0"/>
          <w:numId w:val="723"/>
        </w:numPr>
        <w:rPr>
          <w:rFonts w:ascii="Arial" w:cs="Arial" w:eastAsia="Arial" w:hAnsi="Arial"/>
          <w:sz w:val="16"/>
          <w:szCs w:val="16"/>
          <w:color w:val="auto"/>
        </w:rPr>
      </w:pPr>
      <w:r>
        <w:rPr>
          <w:rFonts w:ascii="Arial" w:cs="Arial" w:eastAsia="Arial" w:hAnsi="Arial"/>
          <w:sz w:val="16"/>
          <w:szCs w:val="16"/>
          <w:color w:val="auto"/>
        </w:rPr>
        <w:t xml:space="preserve">[***] the Licensed Patents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constitute all the patents and patent applications owned or Controlled by Pulmokine that Cover the Biomarkers, Compound, the Backup Compound and the Asthma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946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7" w:lineRule="exact"/>
        <w:rPr>
          <w:sz w:val="20"/>
          <w:szCs w:val="20"/>
          <w:color w:val="auto"/>
        </w:rPr>
      </w:pPr>
    </w:p>
    <w:p>
      <w:pPr>
        <w:ind w:left="440" w:right="460" w:hanging="436"/>
        <w:spacing w:after="0" w:line="277" w:lineRule="auto"/>
        <w:tabs>
          <w:tab w:leader="none" w:pos="440" w:val="left"/>
        </w:tabs>
        <w:numPr>
          <w:ilvl w:val="0"/>
          <w:numId w:val="72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5" w:right="439" w:bottom="1440" w:gutter="0" w:footer="0" w:header="0"/>
        </w:sectPr>
      </w:pPr>
    </w:p>
    <w:bookmarkStart w:id="826" w:name="page827"/>
    <w:bookmarkEnd w:id="826"/>
    <w:p>
      <w:pPr>
        <w:ind w:left="1140" w:hanging="255"/>
        <w:spacing w:after="0"/>
        <w:tabs>
          <w:tab w:leader="none" w:pos="1140" w:val="left"/>
        </w:tabs>
        <w:numPr>
          <w:ilvl w:val="0"/>
          <w:numId w:val="7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Pulmokine has the right to grant the licenses and rights in the Licensed Patents it purports to grant to Licensee hereunder;</w:t>
      </w:r>
    </w:p>
    <w:p>
      <w:pPr>
        <w:spacing w:after="0" w:line="117" w:lineRule="exact"/>
        <w:rPr>
          <w:rFonts w:ascii="Arial" w:cs="Arial" w:eastAsia="Arial" w:hAnsi="Arial"/>
          <w:sz w:val="18"/>
          <w:szCs w:val="18"/>
          <w:color w:val="auto"/>
        </w:rPr>
      </w:pPr>
    </w:p>
    <w:p>
      <w:pPr>
        <w:ind w:right="60" w:firstLine="885"/>
        <w:spacing w:after="0" w:line="254" w:lineRule="auto"/>
        <w:tabs>
          <w:tab w:leader="none" w:pos="1106" w:val="left"/>
        </w:tabs>
        <w:numPr>
          <w:ilvl w:val="0"/>
          <w:numId w:val="725"/>
        </w:numPr>
        <w:rPr>
          <w:rFonts w:ascii="Arial" w:cs="Arial" w:eastAsia="Arial" w:hAnsi="Arial"/>
          <w:sz w:val="18"/>
          <w:szCs w:val="18"/>
          <w:color w:val="auto"/>
        </w:rPr>
      </w:pPr>
      <w:r>
        <w:rPr>
          <w:rFonts w:ascii="Arial" w:cs="Arial" w:eastAsia="Arial" w:hAnsi="Arial"/>
          <w:sz w:val="18"/>
          <w:szCs w:val="18"/>
          <w:color w:val="auto"/>
        </w:rPr>
        <w:t>During the Term, Pulmokine shall maintain the Gilead License and the RCTR License in good standing and shall not take any action, or omit to take any action (including making necessary payments), which would result in a breach or early termination of the Gilead License, the RCTR License or any rights thereunder. Pulmokine covenants that it shall not amend, modify or supplement the terms of, or waive any rights under, the Gilead License or RCTR License that would adversely impact Licensee’s rights hereunder without the prior written consent of Licensee, such consent not to be unreasonably withheld, delayed or conditioned. Pulmokine shall promptly notify Licensee upon receipt by Pulmokine of any notice from Gilead or RCTR of any actual or alleged breach under the Gilead License or RCTR License, as applicable, and Pulmokine shall promptly cure any such breach within the allotted cure period and if it is unwilling or unable to do so, Pulmokine shall timely notify Licensee and Licensee shall have the right to cure such breach on Pulmokine’s behalf;</w:t>
      </w:r>
    </w:p>
    <w:p>
      <w:pPr>
        <w:spacing w:after="0" w:line="84" w:lineRule="exact"/>
        <w:rPr>
          <w:rFonts w:ascii="Arial" w:cs="Arial" w:eastAsia="Arial" w:hAnsi="Arial"/>
          <w:sz w:val="18"/>
          <w:szCs w:val="18"/>
          <w:color w:val="auto"/>
        </w:rPr>
      </w:pPr>
    </w:p>
    <w:p>
      <w:pPr>
        <w:ind w:firstLine="885"/>
        <w:spacing w:after="0" w:line="257" w:lineRule="auto"/>
        <w:tabs>
          <w:tab w:leader="none" w:pos="1136"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There are no adverse actions, suits or claims pending or, [***], threatened against Pulmokine in any court or by or before any governmental entity with respect to the Compound, the Backup Compound, Biomarkers or Asthma Compounds or the Licensed Technology and, to the actual knowledge of Pulmokine, with the exception of certain of the Gilead Background Patents, there are no Third Party patents that would reasonably be expected to give rise to such actions, suits or claims. No Third Party has challenged the ownership, scope, duration, validity, enforceability, priority or right to use the Licensed Technology;</w:t>
      </w:r>
    </w:p>
    <w:p>
      <w:pPr>
        <w:spacing w:after="0" w:line="80" w:lineRule="exact"/>
        <w:rPr>
          <w:rFonts w:ascii="Arial" w:cs="Arial" w:eastAsia="Arial" w:hAnsi="Arial"/>
          <w:sz w:val="18"/>
          <w:szCs w:val="18"/>
          <w:color w:val="auto"/>
        </w:rPr>
      </w:pPr>
    </w:p>
    <w:p>
      <w:pPr>
        <w:ind w:right="40" w:firstLine="885"/>
        <w:spacing w:after="0" w:line="264" w:lineRule="auto"/>
        <w:tabs>
          <w:tab w:leader="none" w:pos="1136" w:val="left"/>
        </w:tabs>
        <w:numPr>
          <w:ilvl w:val="0"/>
          <w:numId w:val="725"/>
        </w:numPr>
        <w:rPr>
          <w:rFonts w:ascii="Arial" w:cs="Arial" w:eastAsia="Arial" w:hAnsi="Arial"/>
          <w:sz w:val="18"/>
          <w:szCs w:val="18"/>
          <w:color w:val="auto"/>
        </w:rPr>
      </w:pPr>
      <w:r>
        <w:rPr>
          <w:rFonts w:ascii="Arial" w:cs="Arial" w:eastAsia="Arial" w:hAnsi="Arial"/>
          <w:sz w:val="18"/>
          <w:szCs w:val="18"/>
          <w:color w:val="auto"/>
        </w:rPr>
        <w:t>Pulmokine has not initiated or been involved in any proceedings or claims in which it alleges that any Third Party is or was infringing or misappropriating the Licensed Technology, nor have any proceedings been threatened by Pulmokine, nor to the knowledge of Pulmokine is there any basis for any such proceeding; and</w:t>
      </w:r>
    </w:p>
    <w:p>
      <w:pPr>
        <w:spacing w:after="0" w:line="73" w:lineRule="exact"/>
        <w:rPr>
          <w:rFonts w:ascii="Arial" w:cs="Arial" w:eastAsia="Arial" w:hAnsi="Arial"/>
          <w:sz w:val="18"/>
          <w:szCs w:val="18"/>
          <w:color w:val="auto"/>
        </w:rPr>
      </w:pPr>
    </w:p>
    <w:p>
      <w:pPr>
        <w:ind w:right="100" w:firstLine="885"/>
        <w:spacing w:after="0" w:line="286" w:lineRule="auto"/>
        <w:tabs>
          <w:tab w:leader="none" w:pos="1096" w:val="left"/>
        </w:tabs>
        <w:numPr>
          <w:ilvl w:val="0"/>
          <w:numId w:val="725"/>
        </w:numPr>
        <w:rPr>
          <w:rFonts w:ascii="Arial" w:cs="Arial" w:eastAsia="Arial" w:hAnsi="Arial"/>
          <w:sz w:val="17"/>
          <w:szCs w:val="17"/>
          <w:color w:val="auto"/>
        </w:rPr>
      </w:pPr>
      <w:r>
        <w:rPr>
          <w:rFonts w:ascii="Arial" w:cs="Arial" w:eastAsia="Arial" w:hAnsi="Arial"/>
          <w:sz w:val="17"/>
          <w:szCs w:val="17"/>
          <w:color w:val="auto"/>
        </w:rPr>
        <w:t>With the exception of certain of the Gilead Background Patents, [***] and notwithstanding 35 U.S.C. § 271(e) or any comparable Laws, the research, development, manufacture, use or sale of the Compound, the Backup Compound, the Asthma Compounds or the Biomarkers does not infringe or misappropriate any patent rights, know-how rights, or other intellectual property rights of any Third Party.</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7.7. No Implied Warranties.</w:t>
      </w:r>
    </w:p>
    <w:p>
      <w:pPr>
        <w:spacing w:after="0" w:line="121"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Except as expressly set forth in this Agreement, Pulmokine makes no other representation or warranty, express or implied, with respect to the subject matter hereof or the transactions contemplated hereby.</w:t>
      </w:r>
    </w:p>
    <w:p>
      <w:pPr>
        <w:spacing w:after="0" w:line="275" w:lineRule="exact"/>
        <w:rPr>
          <w:sz w:val="20"/>
          <w:szCs w:val="20"/>
          <w:color w:val="auto"/>
        </w:rPr>
      </w:pPr>
    </w:p>
    <w:p>
      <w:pPr>
        <w:ind w:left="440" w:right="6340" w:hanging="436"/>
        <w:spacing w:after="0" w:line="378" w:lineRule="auto"/>
        <w:tabs>
          <w:tab w:leader="none" w:pos="179" w:val="left"/>
        </w:tabs>
        <w:numPr>
          <w:ilvl w:val="0"/>
          <w:numId w:val="7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OBLIGATIONS OF PULMOKINE 8.1. Confidentiality Obligations.</w:t>
      </w:r>
    </w:p>
    <w:p>
      <w:pPr>
        <w:ind w:left="880"/>
        <w:spacing w:after="0"/>
        <w:rPr>
          <w:sz w:val="20"/>
          <w:szCs w:val="20"/>
          <w:color w:val="auto"/>
        </w:rPr>
      </w:pPr>
      <w:r>
        <w:rPr>
          <w:rFonts w:ascii="Arial" w:cs="Arial" w:eastAsia="Arial" w:hAnsi="Arial"/>
          <w:sz w:val="17"/>
          <w:szCs w:val="17"/>
          <w:color w:val="auto"/>
        </w:rPr>
        <w:t>Subject to Article 10, during the Term and for a period of (x) seven (7) years thereafter with respect to non-disclosure obligations and</w:t>
      </w:r>
    </w:p>
    <w:p>
      <w:pPr>
        <w:spacing w:after="0" w:line="35" w:lineRule="exact"/>
        <w:rPr>
          <w:sz w:val="20"/>
          <w:szCs w:val="20"/>
          <w:color w:val="auto"/>
        </w:rPr>
      </w:pPr>
    </w:p>
    <w:p>
      <w:pPr>
        <w:ind w:left="260" w:hanging="256"/>
        <w:spacing w:after="0"/>
        <w:tabs>
          <w:tab w:leader="none" w:pos="26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three (3) years thereafter with respect to non-use obligations, Pulmokine:</w:t>
      </w:r>
    </w:p>
    <w:p>
      <w:pPr>
        <w:spacing w:after="0" w:line="102" w:lineRule="exact"/>
        <w:rPr>
          <w:rFonts w:ascii="Arial" w:cs="Arial" w:eastAsia="Arial" w:hAnsi="Arial"/>
          <w:sz w:val="18"/>
          <w:szCs w:val="18"/>
          <w:color w:val="auto"/>
        </w:rPr>
      </w:pPr>
    </w:p>
    <w:p>
      <w:pPr>
        <w:ind w:right="500" w:firstLine="885"/>
        <w:spacing w:after="0" w:line="286" w:lineRule="auto"/>
        <w:tabs>
          <w:tab w:leader="none" w:pos="1126" w:val="left"/>
        </w:tabs>
        <w:numPr>
          <w:ilvl w:val="1"/>
          <w:numId w:val="727"/>
        </w:numPr>
        <w:rPr>
          <w:rFonts w:ascii="Arial" w:cs="Arial" w:eastAsia="Arial" w:hAnsi="Arial"/>
          <w:sz w:val="17"/>
          <w:szCs w:val="17"/>
          <w:color w:val="auto"/>
        </w:rPr>
      </w:pPr>
      <w:r>
        <w:rPr>
          <w:rFonts w:ascii="Arial" w:cs="Arial" w:eastAsia="Arial" w:hAnsi="Arial"/>
          <w:sz w:val="17"/>
          <w:szCs w:val="17"/>
          <w:color w:val="auto"/>
        </w:rPr>
        <w:t>shall hold in strict confidence any and all information disclosed to it or its Affiliates by or on behalf of Licensee or its Affiliates or Sublicensees, whether pursuant to this Agreement or the Confidentiality Agreement, all Licensed Know-How required to be disclosed and all Regulatory Filings required to be transferred under Section 4.1, and all information and material required to be disclosed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827" w:name="page828"/>
    <w:bookmarkEnd w:id="827"/>
    <w:p>
      <w:pPr>
        <w:jc w:val="both"/>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under Section 4.6 (collectively “</w:t>
      </w:r>
      <w:r>
        <w:rPr>
          <w:rFonts w:ascii="Arial" w:cs="Arial" w:eastAsia="Arial" w:hAnsi="Arial"/>
          <w:sz w:val="18"/>
          <w:szCs w:val="18"/>
          <w:b w:val="1"/>
          <w:bCs w:val="1"/>
          <w:color w:val="auto"/>
        </w:rPr>
        <w:t>Licensee Confidential Information</w:t>
      </w:r>
      <w:r>
        <w:rPr>
          <w:rFonts w:ascii="Arial" w:cs="Arial" w:eastAsia="Arial" w:hAnsi="Arial"/>
          <w:sz w:val="18"/>
          <w:szCs w:val="18"/>
          <w:color w:val="auto"/>
        </w:rPr>
        <w:t>”) and, subject to Section 15.7(a), shall not use, nor disclose or supply to any Third Party, nor permit any Third Party to have access to Licensee Confidential Information, without first obtaining the written consent of Licensee, except in connection with the performance of its obligations and exercise of its rights under this Agreement;</w:t>
      </w:r>
    </w:p>
    <w:p>
      <w:pPr>
        <w:spacing w:after="0" w:line="72" w:lineRule="exact"/>
        <w:rPr>
          <w:sz w:val="20"/>
          <w:szCs w:val="20"/>
          <w:color w:val="auto"/>
        </w:rPr>
      </w:pPr>
    </w:p>
    <w:p>
      <w:pPr>
        <w:ind w:right="540" w:firstLine="885"/>
        <w:spacing w:after="0" w:line="342" w:lineRule="auto"/>
        <w:tabs>
          <w:tab w:leader="none" w:pos="1136" w:val="left"/>
        </w:tabs>
        <w:numPr>
          <w:ilvl w:val="0"/>
          <w:numId w:val="728"/>
        </w:numPr>
        <w:rPr>
          <w:rFonts w:ascii="Arial" w:cs="Arial" w:eastAsia="Arial" w:hAnsi="Arial"/>
          <w:sz w:val="16"/>
          <w:szCs w:val="16"/>
          <w:color w:val="auto"/>
        </w:rPr>
      </w:pPr>
      <w:r>
        <w:rPr>
          <w:rFonts w:ascii="Arial" w:cs="Arial" w:eastAsia="Arial" w:hAnsi="Arial"/>
          <w:sz w:val="16"/>
          <w:szCs w:val="16"/>
          <w:color w:val="auto"/>
        </w:rPr>
        <w:t>shall take all reasonable precautions necessary or prudent to prevent material in its possession or control that contains or refers to Licensee Confidential Information from being destroyed or lost, or discovered, received, used, intercepted or copied by any Third Party; and</w:t>
      </w:r>
    </w:p>
    <w:p>
      <w:pPr>
        <w:spacing w:after="0" w:line="15" w:lineRule="exact"/>
        <w:rPr>
          <w:rFonts w:ascii="Arial" w:cs="Arial" w:eastAsia="Arial" w:hAnsi="Arial"/>
          <w:sz w:val="16"/>
          <w:szCs w:val="16"/>
          <w:color w:val="auto"/>
        </w:rPr>
      </w:pPr>
    </w:p>
    <w:p>
      <w:pPr>
        <w:ind w:firstLine="885"/>
        <w:spacing w:after="0" w:line="276" w:lineRule="auto"/>
        <w:tabs>
          <w:tab w:leader="none" w:pos="1126" w:val="left"/>
        </w:tabs>
        <w:numPr>
          <w:ilvl w:val="0"/>
          <w:numId w:val="728"/>
        </w:numPr>
        <w:rPr>
          <w:rFonts w:ascii="Arial" w:cs="Arial" w:eastAsia="Arial" w:hAnsi="Arial"/>
          <w:sz w:val="17"/>
          <w:szCs w:val="17"/>
          <w:color w:val="auto"/>
        </w:rPr>
      </w:pPr>
      <w:r>
        <w:rPr>
          <w:rFonts w:ascii="Arial" w:cs="Arial" w:eastAsia="Arial" w:hAnsi="Arial"/>
          <w:sz w:val="17"/>
          <w:szCs w:val="17"/>
          <w:color w:val="auto"/>
        </w:rPr>
        <w:t>may disclose Licensee Confidential Information only to its employees, consultants, independent contractors, agents, Affiliates and actual or potential acquirers, in each case solely to the extent reasonably necessary for the purposes of, and for those matters undertaken pursuant to, the performance of Pulmokine’s obligations and exercise of Pulmokine’s rights under this Agreement; provided, in each case, that such employees, consultants, independent contractors, agents, Affiliates and actual or potential sources of funding and/or acquirers are bound by terms and conditions of confidentiality of a scope no less protective than the terms and conditions that bind Pulmokine hereunder.</w:t>
      </w:r>
    </w:p>
    <w:p>
      <w:pPr>
        <w:spacing w:after="0" w:line="173" w:lineRule="exact"/>
        <w:rPr>
          <w:sz w:val="20"/>
          <w:szCs w:val="20"/>
          <w:color w:val="auto"/>
        </w:rPr>
      </w:pPr>
    </w:p>
    <w:p>
      <w:pPr>
        <w:ind w:right="600" w:firstLine="881"/>
        <w:spacing w:after="0" w:line="308" w:lineRule="auto"/>
        <w:rPr>
          <w:sz w:val="20"/>
          <w:szCs w:val="20"/>
          <w:color w:val="auto"/>
        </w:rPr>
      </w:pPr>
      <w:r>
        <w:rPr>
          <w:rFonts w:ascii="Arial" w:cs="Arial" w:eastAsia="Arial" w:hAnsi="Arial"/>
          <w:sz w:val="17"/>
          <w:szCs w:val="17"/>
          <w:color w:val="auto"/>
        </w:rPr>
        <w:t>For the avoidance of doubt, it is understood that Pulmokine shall be liable for any breach of the confidentiality obligation under this Section 8.1 by any person or corporation to whom Licensee Confidential Information is disclosed by Pulmokine.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8.2. Exceptions.</w:t>
      </w:r>
    </w:p>
    <w:p>
      <w:pPr>
        <w:spacing w:after="0" w:line="121"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Pulmokine’s obligations of confidentiality and non-use under Section 8.1 shall not apply to, and Pulmokine shall have no further obligations with respect to, any of the Licensee Confidential Information, to the extent Pulmokine can establish by competent proof that such Licensee Confidential Information:</w:t>
      </w:r>
    </w:p>
    <w:p>
      <w:pPr>
        <w:spacing w:after="0" w:line="73" w:lineRule="exact"/>
        <w:rPr>
          <w:sz w:val="20"/>
          <w:szCs w:val="20"/>
          <w:color w:val="auto"/>
        </w:rPr>
      </w:pPr>
    </w:p>
    <w:p>
      <w:pPr>
        <w:ind w:left="1140" w:hanging="255"/>
        <w:spacing w:after="0"/>
        <w:tabs>
          <w:tab w:leader="none" w:pos="114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is or becomes part of the public domain without breach by Pulmokine of this Agreement;</w:t>
      </w:r>
    </w:p>
    <w:p>
      <w:pPr>
        <w:spacing w:after="0" w:line="117" w:lineRule="exact"/>
        <w:rPr>
          <w:rFonts w:ascii="Arial" w:cs="Arial" w:eastAsia="Arial" w:hAnsi="Arial"/>
          <w:sz w:val="18"/>
          <w:szCs w:val="18"/>
          <w:color w:val="auto"/>
        </w:rPr>
      </w:pPr>
    </w:p>
    <w:p>
      <w:pPr>
        <w:ind w:right="80" w:firstLine="885"/>
        <w:spacing w:after="0" w:line="277" w:lineRule="auto"/>
        <w:tabs>
          <w:tab w:leader="none" w:pos="1136" w:val="left"/>
        </w:tabs>
        <w:numPr>
          <w:ilvl w:val="0"/>
          <w:numId w:val="729"/>
        </w:numPr>
        <w:rPr>
          <w:rFonts w:ascii="Arial" w:cs="Arial" w:eastAsia="Arial" w:hAnsi="Arial"/>
          <w:sz w:val="18"/>
          <w:szCs w:val="18"/>
          <w:color w:val="auto"/>
        </w:rPr>
      </w:pPr>
      <w:r>
        <w:rPr>
          <w:rFonts w:ascii="Arial" w:cs="Arial" w:eastAsia="Arial" w:hAnsi="Arial"/>
          <w:sz w:val="18"/>
          <w:szCs w:val="18"/>
          <w:color w:val="auto"/>
        </w:rPr>
        <w:t>was in Pulmokine’s possession before disclosure by Licensee and was not acquired directly or indirectly from Licensee, as documented by Pulmokine’s written records;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is obtained from a Third Party with no obligation of confidentiality to Licensee, who has a right to disclose it to Pulmokine;</w:t>
      </w:r>
    </w:p>
    <w:p>
      <w:pPr>
        <w:spacing w:after="0" w:line="117" w:lineRule="exact"/>
        <w:rPr>
          <w:rFonts w:ascii="Arial" w:cs="Arial" w:eastAsia="Arial" w:hAnsi="Arial"/>
          <w:sz w:val="18"/>
          <w:szCs w:val="18"/>
          <w:color w:val="auto"/>
        </w:rPr>
      </w:pPr>
    </w:p>
    <w:p>
      <w:pPr>
        <w:ind w:right="620" w:firstLine="885"/>
        <w:spacing w:after="0" w:line="277" w:lineRule="auto"/>
        <w:tabs>
          <w:tab w:leader="none" w:pos="1136"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is developed independently by Pulmokine without use of or reference to the Licensee Confidential Information, as evidenced by Pulmokine’s written records; or</w:t>
      </w:r>
    </w:p>
    <w:p>
      <w:pPr>
        <w:spacing w:after="0" w:line="62" w:lineRule="exact"/>
        <w:rPr>
          <w:rFonts w:ascii="Arial" w:cs="Arial" w:eastAsia="Arial" w:hAnsi="Arial"/>
          <w:sz w:val="18"/>
          <w:szCs w:val="18"/>
          <w:color w:val="auto"/>
        </w:rPr>
      </w:pPr>
    </w:p>
    <w:p>
      <w:pPr>
        <w:ind w:right="140" w:firstLine="885"/>
        <w:spacing w:after="0" w:line="257" w:lineRule="auto"/>
        <w:tabs>
          <w:tab w:leader="none" w:pos="1126"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is required to be revealed in response to a court decision or administrative order, or to comply with applicable Laws or applicable rules of any Regulatory Authority; provided that, in each such case, Pulmokine shall inform Licensee immediately by written notice and cooperate with Licensee using Commercially Reasonable Efforts either to enable Licensee to seek protective measures for such Licensee Confidential Information, or to seek confidential treatment of such Licensee Confidential Information, and in such case Pulmokine shall disclose only such portion of the Licensee Confidential Information which is so required to be disclosed.</w:t>
      </w:r>
    </w:p>
    <w:p>
      <w:pPr>
        <w:spacing w:after="0" w:line="188" w:lineRule="exact"/>
        <w:rPr>
          <w:sz w:val="20"/>
          <w:szCs w:val="20"/>
          <w:color w:val="auto"/>
        </w:rPr>
      </w:pPr>
    </w:p>
    <w:p>
      <w:pPr>
        <w:jc w:val="both"/>
        <w:ind w:right="180" w:firstLine="881"/>
        <w:spacing w:after="0" w:line="264"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Pulmokine unless the combination itself and principle of operation are published or available to the general public or in the right possession of Pulmokine.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828" w:name="page829"/>
    <w:bookmarkEnd w:id="828"/>
    <w:p>
      <w:pPr>
        <w:ind w:left="440" w:right="6540" w:hanging="436"/>
        <w:spacing w:after="0" w:line="378" w:lineRule="auto"/>
        <w:tabs>
          <w:tab w:leader="none" w:pos="179" w:val="left"/>
        </w:tabs>
        <w:numPr>
          <w:ilvl w:val="0"/>
          <w:numId w:val="7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OBLIGATIONS OF LICENSEE 9.1. Confidentiality Obligations.</w:t>
      </w: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Subject to Article 10, during the Term and for a period of seven (7) years thereafter, Licensee:</w:t>
      </w:r>
    </w:p>
    <w:p>
      <w:pPr>
        <w:spacing w:after="0" w:line="117" w:lineRule="exact"/>
        <w:rPr>
          <w:rFonts w:ascii="Arial" w:cs="Arial" w:eastAsia="Arial" w:hAnsi="Arial"/>
          <w:sz w:val="18"/>
          <w:szCs w:val="18"/>
          <w:b w:val="1"/>
          <w:bCs w:val="1"/>
          <w:color w:val="auto"/>
        </w:rPr>
      </w:pPr>
    </w:p>
    <w:p>
      <w:pPr>
        <w:ind w:right="80" w:firstLine="885"/>
        <w:spacing w:after="0" w:line="302" w:lineRule="auto"/>
        <w:tabs>
          <w:tab w:leader="none" w:pos="1126" w:val="left"/>
        </w:tabs>
        <w:numPr>
          <w:ilvl w:val="1"/>
          <w:numId w:val="730"/>
        </w:numPr>
        <w:rPr>
          <w:rFonts w:ascii="Arial" w:cs="Arial" w:eastAsia="Arial" w:hAnsi="Arial"/>
          <w:sz w:val="16"/>
          <w:szCs w:val="16"/>
          <w:color w:val="auto"/>
        </w:rPr>
      </w:pPr>
      <w:r>
        <w:rPr>
          <w:rFonts w:ascii="Arial" w:cs="Arial" w:eastAsia="Arial" w:hAnsi="Arial"/>
          <w:sz w:val="16"/>
          <w:szCs w:val="16"/>
          <w:color w:val="auto"/>
        </w:rPr>
        <w:t>shall hold in strict confidence any and all information disclosed to it or its Affiliates by or on behalf of Pulmokine or its Affiliates or licensors, whether pursuant to this Agreement or the Confidentiality Agreement (collectively “</w:t>
      </w:r>
      <w:r>
        <w:rPr>
          <w:rFonts w:ascii="Arial" w:cs="Arial" w:eastAsia="Arial" w:hAnsi="Arial"/>
          <w:sz w:val="16"/>
          <w:szCs w:val="16"/>
          <w:b w:val="1"/>
          <w:bCs w:val="1"/>
          <w:color w:val="auto"/>
        </w:rPr>
        <w:t>Pulmokine Confidential Information</w:t>
      </w:r>
      <w:r>
        <w:rPr>
          <w:rFonts w:ascii="Arial" w:cs="Arial" w:eastAsia="Arial" w:hAnsi="Arial"/>
          <w:sz w:val="16"/>
          <w:szCs w:val="16"/>
          <w:color w:val="auto"/>
        </w:rPr>
        <w:t>”) and shall not use, nor disclose or supply to any Third Party, nor permit any Third Party to have access to Pulmokine Confidential Information, without first obtaining the written consent of Pulmokine, except in connection with the performance of its obligations and exercise of its rights under this Agreement;</w:t>
      </w:r>
    </w:p>
    <w:p>
      <w:pPr>
        <w:spacing w:after="0" w:line="46" w:lineRule="exact"/>
        <w:rPr>
          <w:rFonts w:ascii="Arial" w:cs="Arial" w:eastAsia="Arial" w:hAnsi="Arial"/>
          <w:sz w:val="16"/>
          <w:szCs w:val="16"/>
          <w:color w:val="auto"/>
        </w:rPr>
      </w:pPr>
    </w:p>
    <w:p>
      <w:pPr>
        <w:ind w:right="560" w:firstLine="885"/>
        <w:spacing w:after="0" w:line="342" w:lineRule="auto"/>
        <w:tabs>
          <w:tab w:leader="none" w:pos="1136" w:val="left"/>
        </w:tabs>
        <w:numPr>
          <w:ilvl w:val="1"/>
          <w:numId w:val="730"/>
        </w:numPr>
        <w:rPr>
          <w:rFonts w:ascii="Arial" w:cs="Arial" w:eastAsia="Arial" w:hAnsi="Arial"/>
          <w:sz w:val="16"/>
          <w:szCs w:val="16"/>
          <w:color w:val="auto"/>
        </w:rPr>
      </w:pPr>
      <w:r>
        <w:rPr>
          <w:rFonts w:ascii="Arial" w:cs="Arial" w:eastAsia="Arial" w:hAnsi="Arial"/>
          <w:sz w:val="16"/>
          <w:szCs w:val="16"/>
          <w:color w:val="auto"/>
        </w:rPr>
        <w:t>shall take all reasonable precautions necessary or prudent to prevent material in its possession or control that contains or refers to Pulmokine Confidential Information from being destroyed or lost, or discovered, received, used, intercepted or copied by any Third Party; and</w:t>
      </w:r>
    </w:p>
    <w:p>
      <w:pPr>
        <w:spacing w:after="0" w:line="15" w:lineRule="exact"/>
        <w:rPr>
          <w:rFonts w:ascii="Arial" w:cs="Arial" w:eastAsia="Arial" w:hAnsi="Arial"/>
          <w:sz w:val="16"/>
          <w:szCs w:val="16"/>
          <w:color w:val="auto"/>
        </w:rPr>
      </w:pPr>
    </w:p>
    <w:p>
      <w:pPr>
        <w:ind w:firstLine="885"/>
        <w:spacing w:after="0" w:line="297" w:lineRule="auto"/>
        <w:tabs>
          <w:tab w:leader="none" w:pos="1126" w:val="left"/>
        </w:tabs>
        <w:numPr>
          <w:ilvl w:val="1"/>
          <w:numId w:val="730"/>
        </w:numPr>
        <w:rPr>
          <w:rFonts w:ascii="Arial" w:cs="Arial" w:eastAsia="Arial" w:hAnsi="Arial"/>
          <w:sz w:val="16"/>
          <w:szCs w:val="16"/>
          <w:color w:val="auto"/>
        </w:rPr>
      </w:pPr>
      <w:r>
        <w:rPr>
          <w:rFonts w:ascii="Arial" w:cs="Arial" w:eastAsia="Arial" w:hAnsi="Arial"/>
          <w:sz w:val="16"/>
          <w:szCs w:val="16"/>
          <w:color w:val="auto"/>
        </w:rPr>
        <w:t>may disclose Pulmokine Confidential Information only to its employees, consultants, independent contractors, agents, Affiliates, actual or potential Sublicensees and actual or potential acquirers, in each case solely to the extent reasonably necessary for the purposes of, and for those matters undertaken pursuant to, the performance of Licensee’s obligations and exercise of Licensee’s rights under this Agreement; provided, in each case, that such employees, consultants, independent contractors, agents, Affiliates, Sublicensees and actual or potential acquirers are bound by terms and conditions of confidentiality of a scope no less protective than the terms and conditions that bind Licensee hereunder.</w:t>
      </w:r>
    </w:p>
    <w:p>
      <w:pPr>
        <w:spacing w:after="0" w:line="158" w:lineRule="exact"/>
        <w:rPr>
          <w:sz w:val="20"/>
          <w:szCs w:val="20"/>
          <w:color w:val="auto"/>
        </w:rPr>
      </w:pPr>
    </w:p>
    <w:p>
      <w:pPr>
        <w:ind w:right="760" w:firstLine="881"/>
        <w:spacing w:after="0" w:line="308" w:lineRule="auto"/>
        <w:rPr>
          <w:sz w:val="20"/>
          <w:szCs w:val="20"/>
          <w:color w:val="auto"/>
        </w:rPr>
      </w:pPr>
      <w:r>
        <w:rPr>
          <w:rFonts w:ascii="Arial" w:cs="Arial" w:eastAsia="Arial" w:hAnsi="Arial"/>
          <w:sz w:val="17"/>
          <w:szCs w:val="17"/>
          <w:color w:val="auto"/>
        </w:rPr>
        <w:t>For the avoidance of doubt, it is understood that Licensee shall be liable for any breach of the confidentiality obligation under this Section 9.1 by any person or corporation to whom Pulmokine Confidential Information is disclosed by Licensee.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9.2. Exceptions.</w:t>
      </w:r>
    </w:p>
    <w:p>
      <w:pPr>
        <w:spacing w:after="0" w:line="121"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Licensee’s obligations of confidentiality and non-use under Section 9.1 shall not apply to, and Licensee shall have no further obligations with respect to, any of the Pulmokine Confidential Information, to the extent that Licensee can establish by competent proof that such Pulmokine Confidential Information:</w:t>
      </w:r>
    </w:p>
    <w:p>
      <w:pPr>
        <w:spacing w:after="0" w:line="73" w:lineRule="exact"/>
        <w:rPr>
          <w:sz w:val="20"/>
          <w:szCs w:val="20"/>
          <w:color w:val="auto"/>
        </w:rPr>
      </w:pPr>
    </w:p>
    <w:p>
      <w:pPr>
        <w:ind w:left="1140" w:hanging="255"/>
        <w:spacing w:after="0"/>
        <w:tabs>
          <w:tab w:leader="none" w:pos="114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or becomes part of the public domain without breach by Licensee of this Agreement;</w:t>
      </w:r>
    </w:p>
    <w:p>
      <w:pPr>
        <w:spacing w:after="0" w:line="117" w:lineRule="exact"/>
        <w:rPr>
          <w:rFonts w:ascii="Arial" w:cs="Arial" w:eastAsia="Arial" w:hAnsi="Arial"/>
          <w:sz w:val="18"/>
          <w:szCs w:val="18"/>
          <w:color w:val="auto"/>
        </w:rPr>
      </w:pPr>
    </w:p>
    <w:p>
      <w:pPr>
        <w:ind w:right="20" w:firstLine="885"/>
        <w:spacing w:after="0" w:line="277" w:lineRule="auto"/>
        <w:tabs>
          <w:tab w:leader="none" w:pos="1136" w:val="left"/>
        </w:tabs>
        <w:numPr>
          <w:ilvl w:val="0"/>
          <w:numId w:val="731"/>
        </w:numPr>
        <w:rPr>
          <w:rFonts w:ascii="Arial" w:cs="Arial" w:eastAsia="Arial" w:hAnsi="Arial"/>
          <w:sz w:val="18"/>
          <w:szCs w:val="18"/>
          <w:color w:val="auto"/>
        </w:rPr>
      </w:pPr>
      <w:r>
        <w:rPr>
          <w:rFonts w:ascii="Arial" w:cs="Arial" w:eastAsia="Arial" w:hAnsi="Arial"/>
          <w:sz w:val="18"/>
          <w:szCs w:val="18"/>
          <w:color w:val="auto"/>
        </w:rPr>
        <w:t>was in Licensee’s possession before disclosure by Pulmokine to Licensee and was not acquired directly or indirectly from Pulmokine, as documented by Licensee’s written records;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obtained from a Third Party with no obligation of confidentiality to Pulmokine, who has a right to disclose it to Licensee;</w:t>
      </w:r>
    </w:p>
    <w:p>
      <w:pPr>
        <w:spacing w:after="0" w:line="117" w:lineRule="exact"/>
        <w:rPr>
          <w:rFonts w:ascii="Arial" w:cs="Arial" w:eastAsia="Arial" w:hAnsi="Arial"/>
          <w:sz w:val="18"/>
          <w:szCs w:val="18"/>
          <w:color w:val="auto"/>
        </w:rPr>
      </w:pPr>
    </w:p>
    <w:p>
      <w:pPr>
        <w:ind w:right="640" w:firstLine="885"/>
        <w:spacing w:after="0" w:line="277" w:lineRule="auto"/>
        <w:tabs>
          <w:tab w:leader="none" w:pos="1136"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developed independently by Licensee without use of or reference to the Pulmokine Confidential Information, as evidenced by Licensee’s written records; or</w:t>
      </w:r>
    </w:p>
    <w:p>
      <w:pPr>
        <w:spacing w:after="0" w:line="62" w:lineRule="exact"/>
        <w:rPr>
          <w:rFonts w:ascii="Arial" w:cs="Arial" w:eastAsia="Arial" w:hAnsi="Arial"/>
          <w:sz w:val="18"/>
          <w:szCs w:val="18"/>
          <w:color w:val="auto"/>
        </w:rPr>
      </w:pPr>
    </w:p>
    <w:p>
      <w:pPr>
        <w:ind w:right="160" w:firstLine="885"/>
        <w:spacing w:after="0" w:line="259" w:lineRule="auto"/>
        <w:tabs>
          <w:tab w:leader="none" w:pos="1126"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required to be revealed in response to a court decision or administrative order, or to comply with applicable Laws or applicable rules of any Regulatory Authority; provided that, in each such case, Licensee shall inform Pulmokine immediately by written notice and cooperate with Pulmokine using Commercially Reasonable Efforts either to enable Pulmokine to seek protective measures for such Pulmokine Confidential Information, or to seek confidential treatment of such Pulmokine Confidential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1" w:right="459" w:bottom="1440" w:gutter="0" w:footer="0" w:header="0"/>
        </w:sectPr>
      </w:pPr>
    </w:p>
    <w:bookmarkStart w:id="829" w:name="page830"/>
    <w:bookmarkEnd w:id="8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and in such case Licensee shall disclose only such portion of the Pulmokine Confidential Information which is so required to be disclosed.</w:t>
      </w:r>
    </w:p>
    <w:p>
      <w:pPr>
        <w:spacing w:after="0" w:line="248"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Licensee unless the combination itself and principle of operation are published or available to the general public or in the right possession of Licensee.</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9.3. Additional Disclosure.</w:t>
      </w:r>
    </w:p>
    <w:p>
      <w:pPr>
        <w:spacing w:after="0" w:line="12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Nothing herein shall prevent Licensee from disclosing any Pulmokine Confidential Information to the extent that such Pulmokine Confidential Information is required by Law to be used or disclosed for the purposes of seeking or obtaining Regulatory Approvals of Licensed Products or is necessary or useful for seeking patent protection for Licensed Patents or Licensee Inventions.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SCIENTIFIC PUBLICATIONS</w:t>
      </w:r>
    </w:p>
    <w:p>
      <w:pPr>
        <w:spacing w:after="0" w:line="121"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Licensee may not [***] without the opportunity for prior review by Pulmokine, except to the extent required by Law. In the event Licensee seeks to [***], it shall provide Pulmokine the opportunity to review and comment on any such proposed publication [***] prior to its intended [***] Pulmokine shall provide Licensee with its comments in writing, if any, within [***] after receipt of such [***]. Licensee shall consider in good faith any comments thereto provided by Pulmokine and [***] In addition, Licensee shall delay the submission for a period up to [***] if Pulmokine can demonstrate [***]. If Pulmokine fails to provide its comments to Licensee within such [***] period, Pulmokine shall be deemed to not have any comments, and Licensee may publish in accordance with this Section 10 after the [***] period has elapsed. [***].</w:t>
      </w:r>
    </w:p>
    <w:p>
      <w:pPr>
        <w:spacing w:after="0" w:line="178" w:lineRule="exact"/>
        <w:rPr>
          <w:sz w:val="20"/>
          <w:szCs w:val="20"/>
          <w:color w:val="auto"/>
        </w:rPr>
      </w:pPr>
    </w:p>
    <w:p>
      <w:pPr>
        <w:ind w:right="40" w:firstLine="881"/>
        <w:spacing w:after="0" w:line="254" w:lineRule="auto"/>
        <w:rPr>
          <w:sz w:val="20"/>
          <w:szCs w:val="20"/>
          <w:color w:val="auto"/>
        </w:rPr>
      </w:pPr>
      <w:r>
        <w:rPr>
          <w:rFonts w:ascii="Arial" w:cs="Arial" w:eastAsia="Arial" w:hAnsi="Arial"/>
          <w:sz w:val="18"/>
          <w:szCs w:val="18"/>
          <w:color w:val="auto"/>
        </w:rPr>
        <w:t>Pulmokine shall not publish peer reviewed manuscripts, or give other forms of public disclosure such as abstracts and presentation, of non-public information contained in the Licensed Technology or otherwise concerning the Compound, the Backup Compound, the Asthma Compounds, the Biomarkers, or Licensed Products without the prior written consent of Licensee, [***], and except to the extent required by Law, provided that the foregoing shall in no way preclude or otherwise limit Pulmokine’s correspondence with FDA or reports to NIH concerning the ongoing Phase 1A clinical trial, as described in Pulmokine’s IND 122593, until such time as IND 122593 has been transferred to Licensee or its designee, nor shall the foregoing preclude or otherwise limit Pulmokine’s reporting to or correspondence with NIH concerning Pulmokine’s NIH SBIR Grants (R44HL102946 for PK10571, 1R43HL135910-01A1 for biomarker and 1R43HL132709-01 for asthma) until such time that such SBIR Grants have been transferred to Licensee or its designee.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PRESS RELEASES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Joint Press Release.</w:t>
      </w:r>
    </w:p>
    <w:p>
      <w:pPr>
        <w:spacing w:after="0" w:line="121"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Within five (5) Business Days of the Effective Date, Licensee and Pulmokine shall issue a joint press release or public announcement concerning any aspect of the development or commercialization of the Licensed Products in the Licensed Product Field in the Territory. Notwithstanding the foregoing, subject to Section 8.2(e) or 9.2(e), as applicable, either Party may issue any public announcement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6946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0" w:lineRule="exact"/>
        <w:rPr>
          <w:sz w:val="20"/>
          <w:szCs w:val="20"/>
          <w:color w:val="auto"/>
        </w:rPr>
      </w:pPr>
    </w:p>
    <w:p>
      <w:pPr>
        <w:ind w:left="440" w:right="460" w:hanging="436"/>
        <w:spacing w:after="0" w:line="277" w:lineRule="auto"/>
        <w:tabs>
          <w:tab w:leader="none" w:pos="440" w:val="left"/>
        </w:tabs>
        <w:numPr>
          <w:ilvl w:val="0"/>
          <w:numId w:val="73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830" w:name="page831"/>
    <w:bookmarkEnd w:id="830"/>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is advised by legal counsel is required under applicable Laws, provided that such Party provides to the other Party a copy of such press release or public announcement promptly after its release thereof.</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No Disclosure of Terms and Conditions.</w:t>
      </w:r>
    </w:p>
    <w:p>
      <w:pPr>
        <w:spacing w:after="0" w:line="121" w:lineRule="exact"/>
        <w:rPr>
          <w:sz w:val="20"/>
          <w:szCs w:val="20"/>
          <w:color w:val="auto"/>
        </w:rPr>
      </w:pPr>
    </w:p>
    <w:p>
      <w:pPr>
        <w:ind w:right="20" w:firstLine="881"/>
        <w:spacing w:after="0" w:line="284" w:lineRule="auto"/>
        <w:rPr>
          <w:sz w:val="20"/>
          <w:szCs w:val="20"/>
          <w:color w:val="auto"/>
        </w:rPr>
      </w:pPr>
      <w:r>
        <w:rPr>
          <w:rFonts w:ascii="Arial" w:cs="Arial" w:eastAsia="Arial" w:hAnsi="Arial"/>
          <w:sz w:val="16"/>
          <w:szCs w:val="16"/>
          <w:color w:val="auto"/>
        </w:rPr>
        <w:t>Except as set forth in Section 11.1, no press release or public announcement shall be made by either Party concerning the execution of this Agreement or the terms and conditions hereof, without the prior written consent of the other Party which shall not be unreasonably withheld. Notwithstanding the foregoing, either Party may disclose the existence of this Agreement and the terms and conditions hereof without the prior written consent of the other in connection with a due diligence process associated with any future financing by either Party or the negotiation or exploration of a possible strategic transaction involving such Party, provided that such disclosure is made in the course of such diligence, negotiation or exploration pursuant to confidentiality obligations consistent in scope with those set forth in this Agreement. Notwithstanding anything to the contrary in Article 8, if Pulmokine seeks to file with the U.S. Securities and Exchange Commission or the securities regulators of any state or other jurisdiction any disclosure document that describes or refers to the terms and conditions of this Agreement or any related agreements between the Parties, then Pulmokine shall:</w:t>
      </w:r>
    </w:p>
    <w:p>
      <w:pPr>
        <w:spacing w:after="0" w:line="1" w:lineRule="exact"/>
        <w:rPr>
          <w:sz w:val="20"/>
          <w:szCs w:val="20"/>
          <w:color w:val="auto"/>
        </w:rPr>
      </w:pPr>
    </w:p>
    <w:p>
      <w:pPr>
        <w:ind w:right="80" w:firstLine="4"/>
        <w:spacing w:after="0" w:line="253" w:lineRule="auto"/>
        <w:tabs>
          <w:tab w:leader="none" w:pos="245" w:val="left"/>
        </w:tabs>
        <w:numPr>
          <w:ilvl w:val="0"/>
          <w:numId w:val="733"/>
        </w:numPr>
        <w:rPr>
          <w:rFonts w:ascii="Arial" w:cs="Arial" w:eastAsia="Arial" w:hAnsi="Arial"/>
          <w:sz w:val="18"/>
          <w:szCs w:val="18"/>
          <w:color w:val="auto"/>
        </w:rPr>
      </w:pPr>
      <w:r>
        <w:rPr>
          <w:rFonts w:ascii="Arial" w:cs="Arial" w:eastAsia="Arial" w:hAnsi="Arial"/>
          <w:sz w:val="18"/>
          <w:szCs w:val="18"/>
          <w:color w:val="auto"/>
        </w:rPr>
        <w:t>notify Licensee of such efforts, (b) provide Licensee with a copy of the relevant portions of the proposed filing at least five (5) Business Days prior to such filing, and (c) cooperate in good faith with Licensee to obtain confidential treatment of the terms and conditions of this Agreement or such related agreements that Licensee requests to be kept confidential. No such notice shall be required under this Section 11.2 if the substance of the description of or reference to this Agreement contained in the proposed filing has been included in any previous filing made by such Party hereunder or otherwise approved by the other Party.</w:t>
      </w:r>
    </w:p>
    <w:p>
      <w:pPr>
        <w:spacing w:after="0" w:line="295" w:lineRule="exact"/>
        <w:rPr>
          <w:sz w:val="20"/>
          <w:szCs w:val="20"/>
          <w:color w:val="auto"/>
        </w:rPr>
      </w:pPr>
    </w:p>
    <w:p>
      <w:pPr>
        <w:ind w:left="440" w:right="7460" w:hanging="436"/>
        <w:spacing w:after="0" w:line="378" w:lineRule="auto"/>
        <w:tabs>
          <w:tab w:leader="none" w:pos="269" w:val="left"/>
        </w:tabs>
        <w:numPr>
          <w:ilvl w:val="0"/>
          <w:numId w:val="73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12.1. By Licensee.</w:t>
      </w:r>
    </w:p>
    <w:p>
      <w:pPr>
        <w:ind w:firstLine="881"/>
        <w:spacing w:after="0" w:line="287" w:lineRule="auto"/>
        <w:rPr>
          <w:sz w:val="20"/>
          <w:szCs w:val="20"/>
          <w:color w:val="auto"/>
        </w:rPr>
      </w:pPr>
      <w:r>
        <w:rPr>
          <w:rFonts w:ascii="Arial" w:cs="Arial" w:eastAsia="Arial" w:hAnsi="Arial"/>
          <w:sz w:val="16"/>
          <w:szCs w:val="16"/>
          <w:color w:val="auto"/>
        </w:rPr>
        <w:t>Licensee shall defend, indemnify and hold harmless Pulmokine, Gilead and their Affiliates, respective directors, officers, agents, successors, assignees and employees (the “</w:t>
      </w:r>
      <w:r>
        <w:rPr>
          <w:rFonts w:ascii="Arial" w:cs="Arial" w:eastAsia="Arial" w:hAnsi="Arial"/>
          <w:sz w:val="16"/>
          <w:szCs w:val="16"/>
          <w:b w:val="1"/>
          <w:bCs w:val="1"/>
          <w:color w:val="auto"/>
        </w:rPr>
        <w:t>Pulmokine Indemnitees</w:t>
      </w:r>
      <w:r>
        <w:rPr>
          <w:rFonts w:ascii="Arial" w:cs="Arial" w:eastAsia="Arial" w:hAnsi="Arial"/>
          <w:sz w:val="16"/>
          <w:szCs w:val="16"/>
          <w:color w:val="auto"/>
        </w:rPr>
        <w:t>”) from and against any and all claims, liabilities, losses, costs, actions, suits, damages and expenses, including reasonable attorneys’ fees (collectively, “</w:t>
      </w:r>
      <w:r>
        <w:rPr>
          <w:rFonts w:ascii="Arial" w:cs="Arial" w:eastAsia="Arial" w:hAnsi="Arial"/>
          <w:sz w:val="16"/>
          <w:szCs w:val="16"/>
          <w:b w:val="1"/>
          <w:bCs w:val="1"/>
          <w:color w:val="auto"/>
        </w:rPr>
        <w:t>Damages</w:t>
      </w:r>
      <w:r>
        <w:rPr>
          <w:rFonts w:ascii="Arial" w:cs="Arial" w:eastAsia="Arial" w:hAnsi="Arial"/>
          <w:sz w:val="16"/>
          <w:szCs w:val="16"/>
          <w:color w:val="auto"/>
        </w:rPr>
        <w:t>”) to the extent arising from any claim, action or proceeding made or brought against Pulmokine Indemnitees by a Third Party in connection with (a) the gross negligence, recklessness or intentional wrongful acts or omissions of Licensee or its Affiliates or Sublicensees and its and their respective employees, officers, independent contractors, consultants or agents, in connection with the performance by or on behalf of Licensee of Licensee’s obligations or exercise of its rights under this Agreement; (b) any breach by Licensee of any representation, warranty, covenant or obligation of Licensee set forth in this Agreement; (c) the development, commercialization manufacturing, marketing, distribution, handling, possession, promotion, sale or use of the Licensed Products or any other use of the Licensed Technology by Licensee or its Affiliates or Sublicensees; or (d) any actual or alleged death, personal bodily injury or damages to real or tangible personal property claimed to result, directly or indirectly, from the possession, use or consumption or treatment with the Licensed Products made or sold by or on behalf of Licensee, its Affiliates or Sublicensees; except in any such case to the extent such Damages are reasonably attributable to any negligence, gross negligence, recklessness or intentional wrongful acts or omissions, willful misconduct or breach of this Agreement by Pulmokine or a Pulmokine Indemnitee.</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12.2. By Pulmokine.</w:t>
      </w:r>
    </w:p>
    <w:p>
      <w:pPr>
        <w:spacing w:after="0" w:line="121"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Pulmokine shall defend, indemnify and hold harmless Licensee and its Affiliates and Sublicensees and its and their respective directors, officers, agents, successors, assignees and employees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831" w:name="page832"/>
    <w:bookmarkEnd w:id="83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color w:val="auto"/>
        </w:rPr>
        <w:t>Licensee Indemnitees</w:t>
      </w:r>
      <w:r>
        <w:rPr>
          <w:rFonts w:ascii="Arial" w:cs="Arial" w:eastAsia="Arial" w:hAnsi="Arial"/>
          <w:sz w:val="18"/>
          <w:szCs w:val="18"/>
          <w:color w:val="auto"/>
        </w:rPr>
        <w:t>”) from and against any and all Damages to the extent arising from any claim, action or proceeding made or brought against Licensee Indemnitees by a Third Party in connection with (a) the gross negligence, recklessness or intentional wrongful acts or omissions of Pulmokine, its Affiliates or its other licensees or sublicensees and its or their respective employees, officers, independent contractors, consultants or agents, in connection with the performance by or on behalf of Pulmokine of Pulmokine’s obligations or exercise of its rights under this Agreement; or (b) any breach by Pulmokine of any representation, warranty, covenant or obligation of Pulmokine set forth in this Agreement; except in any such case to the extent such Damages are reasonably attributable to any negligence, willful misconduct or breach of this Agreement by Licensee or a Licensee Indemnitee.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12.3. Indemnification Procedure.</w:t>
      </w:r>
    </w:p>
    <w:p>
      <w:pPr>
        <w:spacing w:after="0" w:line="121" w:lineRule="exact"/>
        <w:rPr>
          <w:sz w:val="20"/>
          <w:szCs w:val="20"/>
          <w:color w:val="auto"/>
        </w:rPr>
      </w:pPr>
    </w:p>
    <w:p>
      <w:pPr>
        <w:ind w:right="20" w:firstLine="885"/>
        <w:spacing w:after="0" w:line="270" w:lineRule="auto"/>
        <w:tabs>
          <w:tab w:leader="none" w:pos="1126" w:val="left"/>
        </w:tabs>
        <w:numPr>
          <w:ilvl w:val="0"/>
          <w:numId w:val="735"/>
        </w:numPr>
        <w:rPr>
          <w:rFonts w:ascii="Arial" w:cs="Arial" w:eastAsia="Arial" w:hAnsi="Arial"/>
          <w:sz w:val="17"/>
          <w:szCs w:val="17"/>
          <w:color w:val="auto"/>
        </w:rPr>
      </w:pPr>
      <w:r>
        <w:rPr>
          <w:rFonts w:ascii="Arial" w:cs="Arial" w:eastAsia="Arial" w:hAnsi="Arial"/>
          <w:sz w:val="17"/>
          <w:szCs w:val="17"/>
          <w:color w:val="auto"/>
        </w:rPr>
        <w:t>Each Party shall promptly notify the other in the event it becomes aware of a claim for which indemnification may be sought pursuant to this Article 12, it being understood and agreed, however, that the failure by an Indemnified Party to give prompt notice of such a claim as provided in this Section 12.3 shall not relieve the Indemnifying Party of its indemnification obligation under this Agreement except and only to the extent that such Indemnifying Party is actually damaged as a result of such failure to give prompt notice. In case any proceeding (including any governmental investigation) shall be instituted involving any Party in respect of which indemnity may be sought pursuant to this Article 12, such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other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The Indemnifying Party and Indemnified Party shall promptly meet to discuss how to respond to any claims that are the subject matter of such Indemnification Claim Notice. The Indemnifying Party shall assume direction and control of the defense of the claim that is the subject of the Indemnification Claim Notice (including the right to settle the Claim solely for monetary consideration) using counsel reasonably satisfactory to the Indemnified Party, and shall cooperate as requested (at the expense of the Indemnifying Party) in the defense of such claim.</w:t>
      </w:r>
    </w:p>
    <w:p>
      <w:pPr>
        <w:spacing w:after="0" w:line="69" w:lineRule="exact"/>
        <w:rPr>
          <w:rFonts w:ascii="Arial" w:cs="Arial" w:eastAsia="Arial" w:hAnsi="Arial"/>
          <w:sz w:val="17"/>
          <w:szCs w:val="17"/>
          <w:color w:val="auto"/>
        </w:rPr>
      </w:pPr>
    </w:p>
    <w:p>
      <w:pPr>
        <w:ind w:right="40" w:firstLine="885"/>
        <w:spacing w:after="0" w:line="270" w:lineRule="auto"/>
        <w:tabs>
          <w:tab w:leader="none" w:pos="1136" w:val="left"/>
        </w:tabs>
        <w:numPr>
          <w:ilvl w:val="0"/>
          <w:numId w:val="735"/>
        </w:numPr>
        <w:rPr>
          <w:rFonts w:ascii="Arial" w:cs="Arial" w:eastAsia="Arial" w:hAnsi="Arial"/>
          <w:sz w:val="17"/>
          <w:szCs w:val="17"/>
          <w:color w:val="auto"/>
        </w:rPr>
      </w:pPr>
      <w:r>
        <w:rPr>
          <w:rFonts w:ascii="Arial" w:cs="Arial" w:eastAsia="Arial" w:hAnsi="Arial"/>
          <w:sz w:val="17"/>
          <w:szCs w:val="17"/>
          <w:color w:val="auto"/>
        </w:rPr>
        <w:t>Upon assuming the defense of a Third Party claim in accordance with this Section 12.3, the Indemnifying Party shall be entitled to appoint counsel in the defense of the Third Party claim. Should the Indemnifying Party assume and continue the defense of a Third Party claim, except as otherwise set forth in this Section 12.3, the Indemnifying Party will not be liable to the Indemnified Party for any legal expenses subsequently incurred by such Indemnified Party after the date of assumption of defense in connection with the analysis, defense, countersuit or settlement of the Third Party claim. Without limiting this Section 12.3, any Indemnified Party will be entitled to participate in, but not control, the defense of a Third Party claim for which it has sought indemnification hereunder and to engage counsel of its choice for such purpose; provided, however, that such engagement will be at the Indemnified Party’s own expense unless (i) the engagement thereof has been specifically requested by the Indemnifying Party in writing, or (ii) the Indemnifying Party has failed to assume and actively further the defense and engage counsel in accordance with this Section 12.3 (in which case the Indemnified Party will control the defense).</w:t>
      </w:r>
    </w:p>
    <w:p>
      <w:pPr>
        <w:spacing w:after="0" w:line="73" w:lineRule="exact"/>
        <w:rPr>
          <w:rFonts w:ascii="Arial" w:cs="Arial" w:eastAsia="Arial" w:hAnsi="Arial"/>
          <w:sz w:val="17"/>
          <w:szCs w:val="17"/>
          <w:color w:val="auto"/>
        </w:rPr>
      </w:pPr>
    </w:p>
    <w:p>
      <w:pPr>
        <w:ind w:firstLine="885"/>
        <w:spacing w:after="0" w:line="290" w:lineRule="auto"/>
        <w:tabs>
          <w:tab w:leader="none" w:pos="1126" w:val="left"/>
        </w:tabs>
        <w:numPr>
          <w:ilvl w:val="0"/>
          <w:numId w:val="735"/>
        </w:numPr>
        <w:rPr>
          <w:rFonts w:ascii="Arial" w:cs="Arial" w:eastAsia="Arial" w:hAnsi="Arial"/>
          <w:sz w:val="16"/>
          <w:szCs w:val="16"/>
          <w:color w:val="auto"/>
        </w:rPr>
      </w:pPr>
      <w:r>
        <w:rPr>
          <w:rFonts w:ascii="Arial" w:cs="Arial" w:eastAsia="Arial" w:hAnsi="Arial"/>
          <w:sz w:val="16"/>
          <w:szCs w:val="16"/>
          <w:color w:val="auto"/>
        </w:rPr>
        <w:t>The Indemnifying Party will have the sole right to consent to the entry of any judgment, enter into any settlement or otherwise dispose of such Damages, on such terms as the Indemnifying Party, in its reasonable discretion, will deem appropriate (provided, however, that the Indemnifying Party shall not agree to any settlement of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or that limits the Indemnified Party’s rights under this Agreement without the prior written consent of the Indemnified Party) and will transfer to the Indemnified Party all amounts which such Indemnified Party will be liable to pay pursuant to such settlement or disposal of such claim prior to the time such payments become due by the Indemnified Party. With respect to all other Damages in connection with Third Party claims, where the Indemnifying Party has assumed the defense of the Third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832" w:name="page833"/>
    <w:bookmarkEnd w:id="832"/>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claim in accordance with this Section 12.3, the Indemnifying Party will have authority to consent to the entry of any judgment, enter into any settlement or otherwise dispose of such Damages, provided that it obtains the prior written consent of the Indemnified Party, not to be unreasonably withheld or delayed.</w:t>
      </w:r>
    </w:p>
    <w:p>
      <w:pPr>
        <w:spacing w:after="0" w:line="73" w:lineRule="exact"/>
        <w:rPr>
          <w:sz w:val="20"/>
          <w:szCs w:val="20"/>
          <w:color w:val="auto"/>
        </w:rPr>
      </w:pPr>
    </w:p>
    <w:p>
      <w:pPr>
        <w:ind w:right="40" w:firstLine="885"/>
        <w:spacing w:after="0" w:line="269" w:lineRule="auto"/>
        <w:tabs>
          <w:tab w:leader="none" w:pos="1136" w:val="left"/>
        </w:tabs>
        <w:numPr>
          <w:ilvl w:val="0"/>
          <w:numId w:val="736"/>
        </w:numPr>
        <w:rPr>
          <w:rFonts w:ascii="Arial" w:cs="Arial" w:eastAsia="Arial" w:hAnsi="Arial"/>
          <w:sz w:val="17"/>
          <w:szCs w:val="17"/>
          <w:color w:val="auto"/>
        </w:rPr>
      </w:pPr>
      <w:r>
        <w:rPr>
          <w:rFonts w:ascii="Arial" w:cs="Arial" w:eastAsia="Arial" w:hAnsi="Arial"/>
          <w:sz w:val="17"/>
          <w:szCs w:val="17"/>
          <w:color w:val="auto"/>
        </w:rPr>
        <w:t>The Indemnifying Party that has assumed the defense of the Third Party claim in accordance with this Section 12.3 will not be liable for any settlement or other disposition of any Damages by an Indemnified Party that is reached without the written consent of such Indemnifying Party. The Indemnified Party will not admit any liability with respect to, or settle, compromise or discharge, any Third Party claim without first offering to the Indemnifying Party the opportunity to assume the defense of the Third Party claim in accordance with this Section 12.3. If the Indemnifying Party chooses to defend or prosecute any Third Party claim, the Indemnified Party will cooperate in the defense or prosecution thereof and will furnish such records, information and testimony, provide such witnesses including to the extent possible, former employees and attend such conferences, discovery proceedings, hearings, trials and appeals as may be reasonably requested in connection with such Third Party claim. Such cooperation will include access during normal business hours afforded to the Indemnifying Party to, and reasonable retention by the Indemnified Party of, records and information that are reasonably relevant to such Third Party claim, and making employees and agents available on a mutually convenient basis to provide additional information and explanation of any material provided hereunder. The Indemnifying Party will reimburse the Indemnified Party for its reasonable out-of-pocket expenses incurred in connection with such cooperation.</w:t>
      </w:r>
    </w:p>
    <w:p>
      <w:pPr>
        <w:spacing w:after="0" w:line="74" w:lineRule="exact"/>
        <w:rPr>
          <w:rFonts w:ascii="Arial" w:cs="Arial" w:eastAsia="Arial" w:hAnsi="Arial"/>
          <w:sz w:val="17"/>
          <w:szCs w:val="17"/>
          <w:color w:val="auto"/>
        </w:rPr>
      </w:pPr>
    </w:p>
    <w:p>
      <w:pPr>
        <w:jc w:val="both"/>
        <w:ind w:firstLine="885"/>
        <w:spacing w:after="0" w:line="259" w:lineRule="auto"/>
        <w:tabs>
          <w:tab w:leader="none" w:pos="1126"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Indemnified Party shall take and shall procure that its Affiliates, Sublicensees, agents, directors, offices and employees take all such reasonable steps and action as are reasonably necessary or as the Indemnifying Party may reasonably require to mitigate any Third Party claim subject to indemnification in accordance with this Section 12.3. Nothing in this Agreement shall or shall be deemed to relieve the Indemnified Party of any common law or other duty to mitigate any losses incurred by it.</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12.4. Insurance.</w:t>
      </w:r>
    </w:p>
    <w:p>
      <w:pPr>
        <w:spacing w:after="0" w:line="121" w:lineRule="exact"/>
        <w:rPr>
          <w:sz w:val="20"/>
          <w:szCs w:val="20"/>
          <w:color w:val="auto"/>
        </w:rPr>
      </w:pPr>
    </w:p>
    <w:p>
      <w:pPr>
        <w:ind w:right="200" w:firstLine="881"/>
        <w:spacing w:after="0" w:line="255" w:lineRule="auto"/>
        <w:rPr>
          <w:sz w:val="20"/>
          <w:szCs w:val="20"/>
          <w:color w:val="auto"/>
        </w:rPr>
      </w:pPr>
      <w:r>
        <w:rPr>
          <w:rFonts w:ascii="Arial" w:cs="Arial" w:eastAsia="Arial" w:hAnsi="Arial"/>
          <w:sz w:val="18"/>
          <w:szCs w:val="18"/>
          <w:color w:val="auto"/>
        </w:rPr>
        <w:t>Each Party shall maintain in full force and effect during the Term and for a period of three (3) years after expiration or termination of this Agreement, worker’s compensation and general liability insurance coverage and, in addition Licensee shall maintain clinical trial liability and product liability insurance coverage, all in such amounts and with such scope of coverages as are adequate to cover such Party’s obligations under this Agreement and as are customary in the industry for companies of like size and activities. Upon written request, each Party shall provide evidence of such insurance to the other Party and ensure that the other Party will receive no less than thirty (30) days’ notice of any cancelation, non-renewal or material change in such coverage.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LIMITATION ON LIABILITY</w:t>
      </w:r>
    </w:p>
    <w:p>
      <w:pPr>
        <w:spacing w:after="0" w:line="121"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EXCEPT IN THE CASE OF A BREACH OF ARTICLE 8 OR 9 OR A PARTY’S (A) WILLFUL MISCONDUCT OR INTENTIONAL BREACH OR (B) GROSS NEGLIGENCE, AND WITHOUT LIMITING EITHER PARTY’S OBLIGATIONS UNDER ARTICLE 12 OR LIABILITY OF A PARTY FOR INFRINGEMENT OR MISAPPROPRIATION OF THE INTELLECTUAL PROPERTY RIGHTS OF THE OTHER PARTY, NEITHER PARTY SHALL BE LIABLE TO THE OTHER PARTY FOR SPECIAL, INDIRECT, PUNITIVE OR CONSEQUENTIAL DAMAGES (INCLUDING DAMAGES RESULTING FROM LOSS OF USE, LOSS OF PROFITS, INTERRUPTION OR LOSS OF BUSINESS OR OTHER ECONOMIC LOSS) ARISING OUT OF THIS AGREEMENT OR WITH RESPECT TO A PARTY’S PERFORMANCE OR NON-PERFORMANCE HEREUNDER.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833" w:name="page834"/>
    <w:bookmarkEnd w:id="8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 TERM</w:t>
      </w:r>
    </w:p>
    <w:p>
      <w:pPr>
        <w:spacing w:after="0" w:line="121" w:lineRule="exact"/>
        <w:rPr>
          <w:sz w:val="20"/>
          <w:szCs w:val="20"/>
          <w:color w:val="auto"/>
        </w:rPr>
      </w:pPr>
    </w:p>
    <w:p>
      <w:pPr>
        <w:jc w:val="both"/>
        <w:ind w:right="200" w:firstLine="881"/>
        <w:spacing w:after="0" w:line="264" w:lineRule="auto"/>
        <w:rPr>
          <w:sz w:val="20"/>
          <w:szCs w:val="20"/>
          <w:color w:val="auto"/>
        </w:rPr>
      </w:pPr>
      <w:r>
        <w:rPr>
          <w:rFonts w:ascii="Arial" w:cs="Arial" w:eastAsia="Arial" w:hAnsi="Arial"/>
          <w:sz w:val="18"/>
          <w:szCs w:val="18"/>
          <w:color w:val="auto"/>
        </w:rPr>
        <w:t>This Agreement shall become effective on the Effective Date and, unless terminated earlier pursuant to Article 15, shall continue in effect until the expiration of the last-to-expire Royalty Term (the “</w:t>
      </w:r>
      <w:r>
        <w:rPr>
          <w:rFonts w:ascii="Arial" w:cs="Arial" w:eastAsia="Arial" w:hAnsi="Arial"/>
          <w:sz w:val="18"/>
          <w:szCs w:val="18"/>
          <w:b w:val="1"/>
          <w:bCs w:val="1"/>
          <w:color w:val="auto"/>
        </w:rPr>
        <w:t>Term</w:t>
      </w:r>
      <w:r>
        <w:rPr>
          <w:rFonts w:ascii="Arial" w:cs="Arial" w:eastAsia="Arial" w:hAnsi="Arial"/>
          <w:sz w:val="18"/>
          <w:szCs w:val="18"/>
          <w:color w:val="auto"/>
        </w:rPr>
        <w:t>”). Upon the expiration of the last Royalty Term, the license set forth in Section 2.1 shall become perpetual, irrevocable and fully paid-up.</w:t>
      </w:r>
    </w:p>
    <w:p>
      <w:pPr>
        <w:spacing w:after="0" w:line="285" w:lineRule="exact"/>
        <w:rPr>
          <w:sz w:val="20"/>
          <w:szCs w:val="20"/>
          <w:color w:val="auto"/>
        </w:rPr>
      </w:pPr>
    </w:p>
    <w:p>
      <w:pPr>
        <w:ind w:left="440" w:right="6940" w:hanging="436"/>
        <w:spacing w:after="0" w:line="378" w:lineRule="auto"/>
        <w:tabs>
          <w:tab w:leader="none" w:pos="269" w:val="left"/>
        </w:tabs>
        <w:numPr>
          <w:ilvl w:val="0"/>
          <w:numId w:val="7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EFFECT OF TERMINATION 15.1. Termination for Convenience</w:t>
      </w:r>
    </w:p>
    <w:p>
      <w:pPr>
        <w:ind w:right="160" w:firstLine="881"/>
        <w:spacing w:after="0" w:line="264" w:lineRule="auto"/>
        <w:rPr>
          <w:sz w:val="20"/>
          <w:szCs w:val="20"/>
          <w:color w:val="auto"/>
        </w:rPr>
      </w:pPr>
      <w:r>
        <w:rPr>
          <w:rFonts w:ascii="Arial" w:cs="Arial" w:eastAsia="Arial" w:hAnsi="Arial"/>
          <w:sz w:val="18"/>
          <w:szCs w:val="18"/>
          <w:color w:val="auto"/>
        </w:rPr>
        <w:t>Notwithstanding anything contained herein to the contrary, Licensee shall have the right to terminate this Agreement with respect to [***] on a country-by-country basis. Any termination under this Section 15.1 shall be accomplished by Licensee giving [***] advance written notice to Pulmokine.</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15.2. Termination for Safety or Efficacy.</w:t>
      </w:r>
    </w:p>
    <w:p>
      <w:pPr>
        <w:spacing w:after="0" w:line="121"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Notwithstanding anything contained herein to the contrary, Licensee shall have the right to terminate this Agreement at any time in its sole discretion either in its entirety or on a Licensed Product-by-Licensed Product or a country-by-country basis in the event of potential safety or efficacy concerns affecting such Licensed Product. Any termination under this Section 15.2 shall be accomplished by Licensee giving [***] advance written notice to Pulmokine.</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15.3. Material Breach.</w:t>
      </w:r>
    </w:p>
    <w:p>
      <w:pPr>
        <w:spacing w:after="0" w:line="121"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Each Party may terminate this Agreement in its entirety immediately upon written notice to the other Party if the other Party materially breaches its obligations under this Agreement and, after receiving written notice identifying such material breach in reasonable detail, fails to cure such material breach within ninety (90) days from the date of such notice; provided, however, that, in the event of any dispute of whether such breach has occurred or has been cured, such termination shall not become effective unless and until such dispute has been finally resolved in favor of the Party seeking such termination. [***] in accordance with this Section 15.1.</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15.4. Patent Challenge.</w:t>
      </w:r>
    </w:p>
    <w:p>
      <w:pPr>
        <w:spacing w:after="0" w:line="121"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Pulmokine may, on thirty (30) days written notice to Licensee, terminate this Agreement if Licensee or its Affiliates or Sublicensees, individually or in association with any other person or entity, commences a legal action (except to the extent required by Law) challenging the validity or enforceability of any Licensed Patents in any court or before any governmental authority with authority to determine the validity or enforceability of a Licensed Patent (“</w:t>
      </w:r>
      <w:r>
        <w:rPr>
          <w:rFonts w:ascii="Arial" w:cs="Arial" w:eastAsia="Arial" w:hAnsi="Arial"/>
          <w:sz w:val="18"/>
          <w:szCs w:val="18"/>
          <w:b w:val="1"/>
          <w:bCs w:val="1"/>
          <w:color w:val="auto"/>
        </w:rPr>
        <w:t>Patent Challenge</w:t>
      </w:r>
      <w:r>
        <w:rPr>
          <w:rFonts w:ascii="Arial" w:cs="Arial" w:eastAsia="Arial" w:hAnsi="Arial"/>
          <w:sz w:val="18"/>
          <w:szCs w:val="18"/>
          <w:color w:val="auto"/>
        </w:rPr>
        <w:t>”). Such termination shall be effective thirty (30) days after written notice by Licensee to Pulmokine referencing this Section 15.2, unless Licensee, within such thirty (30) days, withdraws from such Patent Challenge. Notwithstanding anything to the contrary herein, Patent Challenge does not include, and termination by Pulmokine under this Section 15.4 is not permitted for any counterclaim made, filed or maintained by Licensee or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6946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85" w:lineRule="exact"/>
        <w:rPr>
          <w:sz w:val="20"/>
          <w:szCs w:val="20"/>
          <w:color w:val="auto"/>
        </w:rPr>
      </w:pPr>
    </w:p>
    <w:p>
      <w:pPr>
        <w:ind w:left="440" w:right="440" w:hanging="436"/>
        <w:spacing w:after="0" w:line="258" w:lineRule="auto"/>
        <w:tabs>
          <w:tab w:leader="none" w:pos="440" w:val="left"/>
        </w:tabs>
        <w:numPr>
          <w:ilvl w:val="0"/>
          <w:numId w:val="73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 w:lineRule="exact"/>
        <w:rPr>
          <w:rFonts w:ascii="Arial" w:cs="Arial" w:eastAsia="Arial" w:hAnsi="Arial"/>
          <w:sz w:val="15"/>
          <w:szCs w:val="15"/>
          <w:color w:val="auto"/>
        </w:rPr>
      </w:pPr>
    </w:p>
    <w:p>
      <w:pPr>
        <w:ind w:left="440" w:right="440" w:hanging="436"/>
        <w:spacing w:after="0" w:line="261" w:lineRule="auto"/>
        <w:tabs>
          <w:tab w:leader="none" w:pos="440" w:val="left"/>
        </w:tabs>
        <w:numPr>
          <w:ilvl w:val="0"/>
          <w:numId w:val="73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834" w:name="page835"/>
    <w:bookmarkEnd w:id="83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Sublicensees as defendants in any patent infringement claim, demand, lawsuit, cause of action or other action made, filed or maintained by Pulmokine or Gilead or their Affiliates and/or licensors, including where such counterclaim challenges the scope of any Licensed Patents, including without limitation any counterclaim by Licensee that the making, using, selling, offering for sale and importation of any Licensed Product is not within the scope of the Licensed Patents.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15.5. Force Majeure.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Agreement may be terminated by the Party not affected by the event of a Force Majeure pursuant to Section 16.2.</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15.6. Insolvency.</w:t>
      </w:r>
    </w:p>
    <w:p>
      <w:pPr>
        <w:spacing w:after="0" w:line="121" w:lineRule="exact"/>
        <w:rPr>
          <w:sz w:val="20"/>
          <w:szCs w:val="20"/>
          <w:color w:val="auto"/>
        </w:rPr>
      </w:pPr>
    </w:p>
    <w:p>
      <w:pPr>
        <w:ind w:right="400" w:firstLine="881"/>
        <w:spacing w:after="0" w:line="264" w:lineRule="auto"/>
        <w:rPr>
          <w:sz w:val="20"/>
          <w:szCs w:val="20"/>
          <w:color w:val="auto"/>
        </w:rPr>
      </w:pPr>
      <w:r>
        <w:rPr>
          <w:rFonts w:ascii="Arial" w:cs="Arial" w:eastAsia="Arial" w:hAnsi="Arial"/>
          <w:sz w:val="18"/>
          <w:szCs w:val="18"/>
          <w:color w:val="auto"/>
        </w:rPr>
        <w:t>Either Party may terminate this Agreement upon written notice if the other Party is dissolved or liquidated, files or has filed against it a petition under any bankruptcy or insolvency law that is not dismissed within sixty (60) calendar days, makes an assignment for the benefit of its creditors or has a receiver or trustee appointed for all or substantially all of its property.</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15.7. Rights Upon Certain Termination Events.</w:t>
      </w:r>
    </w:p>
    <w:p>
      <w:pPr>
        <w:spacing w:after="0" w:line="121" w:lineRule="exact"/>
        <w:rPr>
          <w:sz w:val="20"/>
          <w:szCs w:val="20"/>
          <w:color w:val="auto"/>
        </w:rPr>
      </w:pPr>
    </w:p>
    <w:p>
      <w:pPr>
        <w:ind w:firstLine="885"/>
        <w:spacing w:after="0" w:line="276" w:lineRule="auto"/>
        <w:tabs>
          <w:tab w:leader="none" w:pos="1126" w:val="left"/>
        </w:tabs>
        <w:numPr>
          <w:ilvl w:val="0"/>
          <w:numId w:val="739"/>
        </w:numPr>
        <w:rPr>
          <w:rFonts w:ascii="Arial" w:cs="Arial" w:eastAsia="Arial" w:hAnsi="Arial"/>
          <w:sz w:val="17"/>
          <w:szCs w:val="17"/>
          <w:color w:val="auto"/>
        </w:rPr>
      </w:pPr>
      <w:r>
        <w:rPr>
          <w:rFonts w:ascii="Arial" w:cs="Arial" w:eastAsia="Arial" w:hAnsi="Arial"/>
          <w:sz w:val="17"/>
          <w:szCs w:val="17"/>
          <w:color w:val="auto"/>
        </w:rPr>
        <w:t>If this Agreement terminates for any reason (other than by expiration), then all rights and Licenses under the [***] granted by Pulmokine to Licensee pursuant to [***] will terminate and all rights granted therein will immediately revert to Pulmokine, and Licensee shall promptly return to Pulmokine or its designee all [***], previously delivered to Licensee in accordance with Section 4.6. Notwithstanding the foregoing, Licensee shall have the right to sell off any Licensed Products that have been manufactured or are in the process of being manufactured at the time of termination, provided that Licensee complies with all of its payment, reporting and audit obligations hereunder.</w:t>
      </w:r>
    </w:p>
    <w:p>
      <w:pPr>
        <w:spacing w:after="0" w:line="64" w:lineRule="exact"/>
        <w:rPr>
          <w:rFonts w:ascii="Arial" w:cs="Arial" w:eastAsia="Arial" w:hAnsi="Arial"/>
          <w:sz w:val="17"/>
          <w:szCs w:val="17"/>
          <w:color w:val="auto"/>
        </w:rPr>
      </w:pPr>
    </w:p>
    <w:p>
      <w:pPr>
        <w:ind w:right="60" w:firstLine="885"/>
        <w:spacing w:after="0" w:line="259" w:lineRule="auto"/>
        <w:tabs>
          <w:tab w:leader="none" w:pos="1136" w:val="left"/>
        </w:tabs>
        <w:numPr>
          <w:ilvl w:val="0"/>
          <w:numId w:val="739"/>
        </w:numPr>
        <w:rPr>
          <w:rFonts w:ascii="Arial" w:cs="Arial" w:eastAsia="Arial" w:hAnsi="Arial"/>
          <w:sz w:val="18"/>
          <w:szCs w:val="18"/>
          <w:color w:val="auto"/>
        </w:rPr>
      </w:pPr>
      <w:r>
        <w:rPr>
          <w:rFonts w:ascii="Arial" w:cs="Arial" w:eastAsia="Arial" w:hAnsi="Arial"/>
          <w:sz w:val="18"/>
          <w:szCs w:val="18"/>
          <w:color w:val="auto"/>
        </w:rPr>
        <w:t>If this Agreement is terminated (whether in whole or in part) [***], then, solely with respect to that portion of the Agreement so terminated, (i) Licensee shall, and does hereby grant to Pulmokine an exclusive, fully transferrable and sublicensable, worldwide license in and to any applicable [***] and Licensee’s entire interests in and to any applicable [***], in each case to [***]; and (ii) Licensee shall promptly transfer and assign to Pulmokine any applicable [***].</w:t>
      </w:r>
    </w:p>
    <w:p>
      <w:pPr>
        <w:spacing w:after="0" w:line="78" w:lineRule="exact"/>
        <w:rPr>
          <w:rFonts w:ascii="Arial" w:cs="Arial" w:eastAsia="Arial" w:hAnsi="Arial"/>
          <w:sz w:val="18"/>
          <w:szCs w:val="18"/>
          <w:color w:val="auto"/>
        </w:rPr>
      </w:pPr>
    </w:p>
    <w:p>
      <w:pPr>
        <w:ind w:right="20" w:firstLine="885"/>
        <w:spacing w:after="0" w:line="264" w:lineRule="auto"/>
        <w:tabs>
          <w:tab w:leader="none" w:pos="1126" w:val="left"/>
        </w:tabs>
        <w:numPr>
          <w:ilvl w:val="0"/>
          <w:numId w:val="739"/>
        </w:numPr>
        <w:rPr>
          <w:rFonts w:ascii="Arial" w:cs="Arial" w:eastAsia="Arial" w:hAnsi="Arial"/>
          <w:sz w:val="18"/>
          <w:szCs w:val="18"/>
          <w:color w:val="auto"/>
        </w:rPr>
      </w:pPr>
      <w:r>
        <w:rPr>
          <w:rFonts w:ascii="Arial" w:cs="Arial" w:eastAsia="Arial" w:hAnsi="Arial"/>
          <w:sz w:val="18"/>
          <w:szCs w:val="18"/>
          <w:color w:val="auto"/>
        </w:rPr>
        <w:t>If this Agreement is terminated (whether in whole or in part) [***], then, solely with respect to that portion of the Agreement so terminated, Pulmokine and Licensee shall promptly negotiate in good faith the terms and conditions of an agreement for the foregoing licenses, transfers and assignments made in favor of Pulmokine.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6946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77" w:lineRule="exact"/>
        <w:rPr>
          <w:sz w:val="20"/>
          <w:szCs w:val="20"/>
          <w:color w:val="auto"/>
        </w:rPr>
      </w:pPr>
    </w:p>
    <w:p>
      <w:pPr>
        <w:ind w:left="440" w:right="460" w:hanging="436"/>
        <w:spacing w:after="0" w:line="277" w:lineRule="auto"/>
        <w:tabs>
          <w:tab w:leader="none" w:pos="440" w:val="left"/>
        </w:tabs>
        <w:numPr>
          <w:ilvl w:val="0"/>
          <w:numId w:val="74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3" w:right="439" w:bottom="1440" w:gutter="0" w:footer="0" w:header="0"/>
        </w:sectPr>
      </w:pPr>
    </w:p>
    <w:bookmarkStart w:id="835" w:name="page836"/>
    <w:bookmarkEnd w:id="83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15.8. Return of Confidential Information.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Within thirty (30) days following the expiration or termination of this Agreement, each Party shall, at the request of the other Party,</w:t>
      </w:r>
    </w:p>
    <w:p>
      <w:pPr>
        <w:spacing w:after="0" w:line="35" w:lineRule="exact"/>
        <w:rPr>
          <w:sz w:val="20"/>
          <w:szCs w:val="20"/>
          <w:color w:val="auto"/>
        </w:rPr>
      </w:pPr>
    </w:p>
    <w:p>
      <w:pPr>
        <w:jc w:val="both"/>
        <w:ind w:right="240" w:firstLine="4"/>
        <w:spacing w:after="0" w:line="302" w:lineRule="auto"/>
        <w:tabs>
          <w:tab w:leader="none" w:pos="245" w:val="left"/>
        </w:tabs>
        <w:numPr>
          <w:ilvl w:val="0"/>
          <w:numId w:val="741"/>
        </w:numPr>
        <w:rPr>
          <w:rFonts w:ascii="Arial" w:cs="Arial" w:eastAsia="Arial" w:hAnsi="Arial"/>
          <w:sz w:val="16"/>
          <w:szCs w:val="16"/>
          <w:color w:val="auto"/>
        </w:rPr>
      </w:pPr>
      <w:r>
        <w:rPr>
          <w:rFonts w:ascii="Arial" w:cs="Arial" w:eastAsia="Arial" w:hAnsi="Arial"/>
          <w:sz w:val="16"/>
          <w:szCs w:val="16"/>
          <w:color w:val="auto"/>
        </w:rPr>
        <w:t>subject to Sections 15.7(b) or (c), deliver to the other Party, or certify the destruction of, any and all tangible Confidential Information of the other Party in such Party’s possession, and (b) to the extent practicable, remove Confidential Information of the other Party from all databases and systems and, in those instances where removal is not practicable, segregate or otherwise indicate that such Confidential Information is restricted.</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15.9. Survival.</w:t>
      </w:r>
    </w:p>
    <w:p>
      <w:pPr>
        <w:spacing w:after="0" w:line="121"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The rights and obligations of the Parties set forth in Articles 1, 8, 9, 12, 13, 16 and Sections 3.8, 3.9, 3.12, 3.13, 6.4, 6.5, 11.2, 15.7, 15.8, 15.9, 15.10 and 16.4 shall survive termination or expiration of this Agreement.</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15.10. Other Remedies.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15.11.</w:t>
      </w:r>
    </w:p>
    <w:p>
      <w:pPr>
        <w:spacing w:after="0" w:line="121"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Termination or expiration of this Agreement for any reason shall not release any Party from any liability or obligation that has accrued prior to such expiration or termination, nor affect the survival of any provision hereof to the extent it is expressly stated to survive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15.12. Bankruptcy Code.</w:t>
      </w:r>
    </w:p>
    <w:p>
      <w:pPr>
        <w:spacing w:after="0" w:line="121" w:lineRule="exact"/>
        <w:rPr>
          <w:sz w:val="20"/>
          <w:szCs w:val="20"/>
          <w:color w:val="auto"/>
        </w:rPr>
      </w:pPr>
    </w:p>
    <w:p>
      <w:pPr>
        <w:jc w:val="both"/>
        <w:ind w:right="280" w:firstLine="881"/>
        <w:spacing w:after="0" w:line="264" w:lineRule="auto"/>
        <w:rPr>
          <w:sz w:val="20"/>
          <w:szCs w:val="20"/>
          <w:color w:val="auto"/>
        </w:rPr>
      </w:pPr>
      <w:r>
        <w:rPr>
          <w:rFonts w:ascii="Arial" w:cs="Arial" w:eastAsia="Arial" w:hAnsi="Arial"/>
          <w:sz w:val="18"/>
          <w:szCs w:val="18"/>
          <w:color w:val="auto"/>
        </w:rPr>
        <w:t>All licenses granted under this Agreement will be deemed licenses of rights to intellectual property for purposes of Section 365(n) of the U.S. Bankruptcy Code and Licensee as licensee under this Agreement will retain and may fully exercise all of its rights and elections under the U.S. Bankruptcy Code.</w:t>
      </w:r>
    </w:p>
    <w:p>
      <w:pPr>
        <w:spacing w:after="0" w:line="285" w:lineRule="exact"/>
        <w:rPr>
          <w:sz w:val="20"/>
          <w:szCs w:val="20"/>
          <w:color w:val="auto"/>
        </w:rPr>
      </w:pPr>
    </w:p>
    <w:p>
      <w:pPr>
        <w:ind w:left="440" w:right="8680" w:hanging="436"/>
        <w:spacing w:after="0" w:line="400" w:lineRule="auto"/>
        <w:tabs>
          <w:tab w:leader="none" w:pos="269" w:val="left"/>
        </w:tabs>
        <w:numPr>
          <w:ilvl w:val="0"/>
          <w:numId w:val="742"/>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 16.1. Assignment.</w:t>
      </w:r>
    </w:p>
    <w:p>
      <w:pPr>
        <w:spacing w:after="0" w:line="1" w:lineRule="exact"/>
        <w:rPr>
          <w:sz w:val="20"/>
          <w:szCs w:val="20"/>
          <w:color w:val="auto"/>
        </w:rPr>
      </w:pPr>
    </w:p>
    <w:p>
      <w:pPr>
        <w:ind w:right="40" w:firstLine="881"/>
        <w:spacing w:after="0" w:line="285" w:lineRule="auto"/>
        <w:rPr>
          <w:sz w:val="20"/>
          <w:szCs w:val="20"/>
          <w:color w:val="auto"/>
        </w:rPr>
      </w:pPr>
      <w:r>
        <w:rPr>
          <w:rFonts w:ascii="Arial" w:cs="Arial" w:eastAsia="Arial" w:hAnsi="Arial"/>
          <w:sz w:val="16"/>
          <w:szCs w:val="16"/>
          <w:color w:val="auto"/>
        </w:rPr>
        <w:t>Neither Party may assign this Agreement without the consent of the other Party, except as otherwise provided in this Section 16.1. Either Party may assign this Agreement in whole or in part to any Affiliate of such Party without the consent of the other Party; provided that, such assigning Party provides the other Party with written notice of such assignment and the assignee agrees in writing to assume performance of all assigned obligations. Further, each Party may assign this Agreement, and all of its rights and obligations, without the consent of the other Party to its successor in interest by way of Change of Control; provided that, such assigning Party provides the other Party with written notice of such assignment within five</w:t>
      </w:r>
    </w:p>
    <w:p>
      <w:pPr>
        <w:spacing w:after="0" w:line="2" w:lineRule="exact"/>
        <w:rPr>
          <w:sz w:val="20"/>
          <w:szCs w:val="20"/>
          <w:color w:val="auto"/>
        </w:rPr>
      </w:pPr>
    </w:p>
    <w:p>
      <w:pPr>
        <w:ind w:right="20" w:firstLine="4"/>
        <w:spacing w:after="0" w:line="292" w:lineRule="auto"/>
        <w:tabs>
          <w:tab w:leader="none" w:pos="255" w:val="left"/>
        </w:tabs>
        <w:numPr>
          <w:ilvl w:val="0"/>
          <w:numId w:val="743"/>
        </w:numPr>
        <w:rPr>
          <w:rFonts w:ascii="Arial" w:cs="Arial" w:eastAsia="Arial" w:hAnsi="Arial"/>
          <w:sz w:val="16"/>
          <w:szCs w:val="16"/>
          <w:color w:val="auto"/>
        </w:rPr>
      </w:pPr>
      <w:r>
        <w:rPr>
          <w:rFonts w:ascii="Arial" w:cs="Arial" w:eastAsia="Arial" w:hAnsi="Arial"/>
          <w:sz w:val="16"/>
          <w:szCs w:val="16"/>
          <w:color w:val="auto"/>
        </w:rPr>
        <w:t>business days after such Change of Control. Notwithstanding anything to the contrary herein, Pulmokine shall not assign this Agreement unless such assignee also assumes Pulmokine’s rights and obligations under the Gilead License and RCTR License and is assigned all of Pulmokine’s rights under the Licensed Technology that is licensed to Licensee hereunder. Similarly, Pulmokine shall not assign its rights under the Licensed Technology that is licensed to Licensee hereunder to an Affiliate or Third Party without also assigning all its rights under this Agreement to such Affiliate or Third Party. The terms of this Agreement shall be binding upon and shall inure to the benefit of the successors, heirs, administrators and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1" w:right="459" w:bottom="1440" w:gutter="0" w:footer="0" w:header="0"/>
        </w:sectPr>
      </w:pPr>
    </w:p>
    <w:bookmarkStart w:id="836" w:name="page837"/>
    <w:bookmarkEnd w:id="8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assigns of the Parties. Any purported assignment in violation of this Section 16.1 shall be null and void.</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16.2. Right to Set-Off.</w:t>
      </w:r>
    </w:p>
    <w:p>
      <w:pPr>
        <w:spacing w:after="0" w:line="121" w:lineRule="exact"/>
        <w:rPr>
          <w:sz w:val="20"/>
          <w:szCs w:val="20"/>
          <w:color w:val="auto"/>
        </w:rPr>
      </w:pPr>
    </w:p>
    <w:p>
      <w:pPr>
        <w:ind w:right="100" w:firstLine="881"/>
        <w:spacing w:after="0" w:line="286" w:lineRule="auto"/>
        <w:rPr>
          <w:sz w:val="20"/>
          <w:szCs w:val="20"/>
          <w:color w:val="auto"/>
        </w:rPr>
      </w:pPr>
      <w:r>
        <w:rPr>
          <w:rFonts w:ascii="Arial" w:cs="Arial" w:eastAsia="Arial" w:hAnsi="Arial"/>
          <w:sz w:val="17"/>
          <w:szCs w:val="17"/>
          <w:color w:val="auto"/>
        </w:rPr>
        <w:t>Without limiting Licensee’s rights under law or in equity, Licensee may exercise a right of set-off of any and all amounts paid by Licensee pursuant to Section 2.7 as set forth therein, or paid by Licensee pursuant to Section 7.6(f) to cure a breach of the payment obligations set forth in the Gilead License and/or RCTR License by Pulmokine against any amounts payable to Pulmokine under this Agreement.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16.3. Force Majeure.</w:t>
      </w:r>
    </w:p>
    <w:p>
      <w:pPr>
        <w:spacing w:after="0" w:line="121"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With the exception of Licensee’s payment obligations hereunder, no failure or delay by either Party in the performance of any obligation hereunder shall be deemed a breach of this Agreement nor create any liability for any damages, increased costs or losses which the other Party may sustain by reason of such failure or delay of performance, if the same shall arise from any cause or causes beyond the control of that Party, such as earthquakes, storms, floods, fires, other acts of nature, epidemic, war, riot, hostility, public disturbance, cessation of transport, act of public enemies, prohibition or act by a government or public agency, strike or other labor dispute or work stoppage (collectively “</w:t>
      </w:r>
      <w:r>
        <w:rPr>
          <w:rFonts w:ascii="Arial" w:cs="Arial" w:eastAsia="Arial" w:hAnsi="Arial"/>
          <w:sz w:val="16"/>
          <w:szCs w:val="16"/>
          <w:b w:val="1"/>
          <w:bCs w:val="1"/>
          <w:color w:val="auto"/>
        </w:rPr>
        <w:t>Force Majeure</w:t>
      </w:r>
      <w:r>
        <w:rPr>
          <w:rFonts w:ascii="Arial" w:cs="Arial" w:eastAsia="Arial" w:hAnsi="Arial"/>
          <w:sz w:val="16"/>
          <w:szCs w:val="16"/>
          <w:color w:val="auto"/>
        </w:rPr>
        <w:t>”); provided, however, that the Party so prevented shall continue to take all commercially reasonable actions within its power to comply with its obligations hereunder as fully as possible and to mitigate possible damages. The Party so prevented shall without undue delay notify the other Party in writing thereof. Should the event of Force Majeure continue for more than one hundred twenty (120) consecutive calendar days, the Parties shall promptly discuss their further performance under this Agreement and whether to modify or terminate this Agreement in view of the effect of the event of Force Majeure. If no agreement can be reached within thirty (30) calendar days after expiration of such one hundred twenty (120) days, the Party not affected by the event of Force Majeure may terminate this Agreement effective immediately upon written notice to the other Party.</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16.4. Governing Law.</w:t>
      </w:r>
    </w:p>
    <w:p>
      <w:pPr>
        <w:spacing w:after="0" w:line="121" w:lineRule="exact"/>
        <w:rPr>
          <w:sz w:val="20"/>
          <w:szCs w:val="20"/>
          <w:color w:val="auto"/>
        </w:rPr>
      </w:pPr>
    </w:p>
    <w:p>
      <w:pPr>
        <w:ind w:right="500" w:firstLine="881"/>
        <w:spacing w:after="0" w:line="308" w:lineRule="auto"/>
        <w:rPr>
          <w:sz w:val="20"/>
          <w:szCs w:val="20"/>
          <w:color w:val="auto"/>
        </w:rPr>
      </w:pPr>
      <w:r>
        <w:rPr>
          <w:rFonts w:ascii="Arial" w:cs="Arial" w:eastAsia="Arial" w:hAnsi="Arial"/>
          <w:sz w:val="17"/>
          <w:szCs w:val="17"/>
          <w:color w:val="auto"/>
        </w:rPr>
        <w:t>The construction, validity and performance of this Agreement shall be governed in all respects by the laws of the State of New York, excluding its provisions regarding conflicts of law. The United Nations Convention on the International Sale of Goods shall not apply.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16.5. Dispute Resolution.</w:t>
      </w:r>
    </w:p>
    <w:p>
      <w:pPr>
        <w:spacing w:after="0" w:line="252" w:lineRule="exact"/>
        <w:rPr>
          <w:sz w:val="20"/>
          <w:szCs w:val="20"/>
          <w:color w:val="auto"/>
        </w:rPr>
      </w:pPr>
    </w:p>
    <w:p>
      <w:pPr>
        <w:ind w:left="1320" w:hanging="408"/>
        <w:spacing w:after="0" w:line="258" w:lineRule="auto"/>
        <w:tabs>
          <w:tab w:leader="none" w:pos="1680" w:val="left"/>
        </w:tabs>
        <w:numPr>
          <w:ilvl w:val="0"/>
          <w:numId w:val="744"/>
        </w:numPr>
        <w:rPr>
          <w:rFonts w:ascii="Arial" w:cs="Arial" w:eastAsia="Arial" w:hAnsi="Arial"/>
          <w:sz w:val="18"/>
          <w:szCs w:val="18"/>
          <w:color w:val="auto"/>
        </w:rPr>
      </w:pPr>
      <w:r>
        <w:rPr>
          <w:rFonts w:ascii="Arial" w:cs="Arial" w:eastAsia="Arial" w:hAnsi="Arial"/>
          <w:sz w:val="18"/>
          <w:szCs w:val="18"/>
          <w:b w:val="1"/>
          <w:bCs w:val="1"/>
          <w:color w:val="auto"/>
        </w:rPr>
        <w:t xml:space="preserve">Resolution by Senior Executives. </w:t>
      </w:r>
      <w:r>
        <w:rPr>
          <w:rFonts w:ascii="Arial" w:cs="Arial" w:eastAsia="Arial" w:hAnsi="Arial"/>
          <w:sz w:val="18"/>
          <w:szCs w:val="18"/>
          <w:color w:val="auto"/>
        </w:rPr>
        <w:t>In the event of any dispute, claim, question or disagreement arising from or relating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breach thereof (“</w:t>
      </w:r>
      <w:r>
        <w:rPr>
          <w:rFonts w:ascii="Arial" w:cs="Arial" w:eastAsia="Arial" w:hAnsi="Arial"/>
          <w:sz w:val="18"/>
          <w:szCs w:val="18"/>
          <w:b w:val="1"/>
          <w:bCs w:val="1"/>
          <w:color w:val="auto"/>
        </w:rPr>
        <w:t>Dispute</w:t>
      </w:r>
      <w:r>
        <w:rPr>
          <w:rFonts w:ascii="Arial" w:cs="Arial" w:eastAsia="Arial" w:hAnsi="Arial"/>
          <w:sz w:val="18"/>
          <w:szCs w:val="18"/>
          <w:color w:val="auto"/>
        </w:rPr>
        <w:t>”), senior executives of each Party (“</w:t>
      </w:r>
      <w:r>
        <w:rPr>
          <w:rFonts w:ascii="Arial" w:cs="Arial" w:eastAsia="Arial" w:hAnsi="Arial"/>
          <w:sz w:val="18"/>
          <w:szCs w:val="18"/>
          <w:b w:val="1"/>
          <w:bCs w:val="1"/>
          <w:color w:val="auto"/>
        </w:rPr>
        <w:t>Senior Executives</w:t>
      </w:r>
      <w:r>
        <w:rPr>
          <w:rFonts w:ascii="Arial" w:cs="Arial" w:eastAsia="Arial" w:hAnsi="Arial"/>
          <w:sz w:val="18"/>
          <w:szCs w:val="18"/>
          <w:color w:val="auto"/>
        </w:rPr>
        <w:t>”) shall attempt to reach a solution satisfactory to both Parties. If the Senior Executives do not reach such solution within a period of thirty (30) days or such longer period as the Parties may mutually agree upon, then, upon notice by either Party to the other, either Party shall be free to exercise the remedies as provided in Section 16.4(b).</w:t>
      </w:r>
    </w:p>
    <w:p>
      <w:pPr>
        <w:spacing w:after="0" w:line="75" w:lineRule="exact"/>
        <w:rPr>
          <w:rFonts w:ascii="Arial" w:cs="Arial" w:eastAsia="Arial" w:hAnsi="Arial"/>
          <w:sz w:val="18"/>
          <w:szCs w:val="18"/>
          <w:color w:val="auto"/>
        </w:rPr>
      </w:pPr>
    </w:p>
    <w:p>
      <w:pPr>
        <w:ind w:left="1320" w:right="320" w:hanging="418"/>
        <w:spacing w:after="0" w:line="293" w:lineRule="auto"/>
        <w:tabs>
          <w:tab w:leader="none" w:pos="1680" w:val="left"/>
        </w:tabs>
        <w:numPr>
          <w:ilvl w:val="0"/>
          <w:numId w:val="744"/>
        </w:numPr>
        <w:rPr>
          <w:rFonts w:ascii="Arial" w:cs="Arial" w:eastAsia="Arial" w:hAnsi="Arial"/>
          <w:sz w:val="16"/>
          <w:szCs w:val="16"/>
          <w:color w:val="auto"/>
        </w:rPr>
      </w:pPr>
      <w:r>
        <w:rPr>
          <w:rFonts w:ascii="Arial" w:cs="Arial" w:eastAsia="Arial" w:hAnsi="Arial"/>
          <w:sz w:val="16"/>
          <w:szCs w:val="16"/>
          <w:b w:val="1"/>
          <w:bCs w:val="1"/>
          <w:color w:val="auto"/>
        </w:rPr>
        <w:t xml:space="preserve">Arbitration. </w:t>
      </w:r>
      <w:r>
        <w:rPr>
          <w:rFonts w:ascii="Arial" w:cs="Arial" w:eastAsia="Arial" w:hAnsi="Arial"/>
          <w:sz w:val="16"/>
          <w:szCs w:val="16"/>
          <w:color w:val="auto"/>
        </w:rPr>
        <w:t>Any Disputes between the Parties arising under or in connection with this Agreement not resolved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set out in Section 16.4(a), shall be finally settled by arbitration, in New York, New York, before a panel of three</w:t>
      </w:r>
    </w:p>
    <w:p>
      <w:pPr>
        <w:spacing w:after="0" w:line="1" w:lineRule="exact"/>
        <w:rPr>
          <w:rFonts w:ascii="Arial" w:cs="Arial" w:eastAsia="Arial" w:hAnsi="Arial"/>
          <w:sz w:val="16"/>
          <w:szCs w:val="16"/>
          <w:color w:val="auto"/>
        </w:rPr>
      </w:pPr>
    </w:p>
    <w:p>
      <w:pPr>
        <w:ind w:left="1320" w:right="860"/>
        <w:spacing w:after="0" w:line="261" w:lineRule="auto"/>
        <w:rPr>
          <w:rFonts w:ascii="Arial" w:cs="Arial" w:eastAsia="Arial" w:hAnsi="Arial"/>
          <w:sz w:val="16"/>
          <w:szCs w:val="16"/>
          <w:color w:val="auto"/>
        </w:rPr>
      </w:pPr>
      <w:r>
        <w:rPr>
          <w:rFonts w:ascii="Arial" w:cs="Arial" w:eastAsia="Arial" w:hAnsi="Arial"/>
          <w:sz w:val="18"/>
          <w:szCs w:val="18"/>
          <w:color w:val="auto"/>
        </w:rPr>
        <w:t>(3) arbitrators having relevant experience in the biotech or pharmaceutical industries under the Rules of Arbitration of the International Chamber of Commerce (“</w:t>
      </w:r>
      <w:r>
        <w:rPr>
          <w:rFonts w:ascii="Arial" w:cs="Arial" w:eastAsia="Arial" w:hAnsi="Arial"/>
          <w:sz w:val="18"/>
          <w:szCs w:val="18"/>
          <w:b w:val="1"/>
          <w:bCs w:val="1"/>
          <w:color w:val="auto"/>
        </w:rPr>
        <w:t>ICC Rules</w:t>
      </w:r>
      <w:r>
        <w:rPr>
          <w:rFonts w:ascii="Arial" w:cs="Arial" w:eastAsia="Arial" w:hAnsi="Arial"/>
          <w:sz w:val="18"/>
          <w:szCs w:val="18"/>
          <w:color w:val="auto"/>
        </w:rPr>
        <w:t>”), and the ICC Rules are deemed to be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5" w:right="519" w:bottom="1440" w:gutter="0" w:footer="0" w:header="0"/>
        </w:sectPr>
      </w:pPr>
    </w:p>
    <w:bookmarkStart w:id="837" w:name="page838"/>
    <w:bookmarkEnd w:id="837"/>
    <w:p>
      <w:pPr>
        <w:ind w:left="418"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incorporated by reference to this clause. Each Party shall nominate an arbitrator, and the Party-nominated arbitrators shall agree upon the third arbitrator who will be the chair of the arbitration tribunal. If the two (2) Party-nominated arbitrators are unable to agree upon the chair within sixty (60) days, the chair shall be selected as provided in the ICC Rules. The arbitrators shall be required to: (i) follow the substantive rules of the applicable Law, (ii) require all testimony to be transcribed, and (iii) accompany their award with findings of fact and a statement of reasons for the decision. The arbitrator shall have the authority to permit discovery for no more than sixty</w:t>
      </w:r>
    </w:p>
    <w:p>
      <w:pPr>
        <w:spacing w:after="0" w:line="2" w:lineRule="exact"/>
        <w:rPr>
          <w:sz w:val="20"/>
          <w:szCs w:val="20"/>
          <w:color w:val="auto"/>
        </w:rPr>
      </w:pPr>
    </w:p>
    <w:p>
      <w:pPr>
        <w:ind w:left="418"/>
        <w:spacing w:after="0" w:line="252" w:lineRule="auto"/>
        <w:rPr>
          <w:sz w:val="20"/>
          <w:szCs w:val="20"/>
          <w:color w:val="auto"/>
        </w:rPr>
      </w:pPr>
      <w:r>
        <w:rPr>
          <w:rFonts w:ascii="Arial" w:cs="Arial" w:eastAsia="Arial" w:hAnsi="Arial"/>
          <w:sz w:val="18"/>
          <w:szCs w:val="18"/>
          <w:color w:val="auto"/>
        </w:rPr>
        <w:t>(60) days, to the extent deemed appropriate by the arbitrator, upon reasonable request of a Party. The arbitrators shall have no power or authority to (iv) add to or detract from the written agreement of the Parties set forth herein, (v) modify or disregard any provision of this Agreement or any of the other related documents, or (vi) address or resolve any issue not submitted by the Parties. The arbitrators shall hold proceedings during a period of not longer than forty-five (45) calendar days promptly following conclusion of discovery. The arbitration award shall be binding upon the Parties and enforceable by any court of competent jurisdiction. The arbitration award may include an award as to costs including attorney fees.</w:t>
      </w:r>
    </w:p>
    <w:p>
      <w:pPr>
        <w:spacing w:after="0" w:line="82" w:lineRule="exact"/>
        <w:rPr>
          <w:sz w:val="20"/>
          <w:szCs w:val="20"/>
          <w:color w:val="auto"/>
        </w:rPr>
      </w:pPr>
    </w:p>
    <w:p>
      <w:pPr>
        <w:jc w:val="both"/>
        <w:ind w:left="418" w:right="80" w:hanging="408"/>
        <w:spacing w:after="0" w:line="261" w:lineRule="auto"/>
        <w:tabs>
          <w:tab w:leader="none" w:pos="778" w:val="left"/>
        </w:tabs>
        <w:numPr>
          <w:ilvl w:val="0"/>
          <w:numId w:val="745"/>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The award shall be made within four (4) months of the filing of the notice of arbitration, and the arbitrator(s) shall agree</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this schedule before accepting appointment. However, this time limit may be extended by agreement of the Parties or by the arbitrator(s) if necessary. Judgment on the award rendered by the arbitrator(s) may be enforced in any court having competent jurisdiction thereof.</w:t>
      </w:r>
    </w:p>
    <w:p>
      <w:pPr>
        <w:spacing w:after="0" w:line="71" w:lineRule="exact"/>
        <w:rPr>
          <w:rFonts w:ascii="Arial" w:cs="Arial" w:eastAsia="Arial" w:hAnsi="Arial"/>
          <w:sz w:val="18"/>
          <w:szCs w:val="18"/>
          <w:color w:val="auto"/>
        </w:rPr>
      </w:pPr>
    </w:p>
    <w:p>
      <w:pPr>
        <w:ind w:left="418" w:hanging="418"/>
        <w:spacing w:after="0" w:line="282" w:lineRule="auto"/>
        <w:tabs>
          <w:tab w:leader="none" w:pos="778" w:val="left"/>
        </w:tabs>
        <w:numPr>
          <w:ilvl w:val="0"/>
          <w:numId w:val="745"/>
        </w:numPr>
        <w:rPr>
          <w:rFonts w:ascii="Arial" w:cs="Arial" w:eastAsia="Arial" w:hAnsi="Arial"/>
          <w:sz w:val="18"/>
          <w:szCs w:val="18"/>
          <w:color w:val="auto"/>
        </w:rPr>
      </w:pPr>
      <w:r>
        <w:rPr>
          <w:rFonts w:ascii="Arial" w:cs="Arial" w:eastAsia="Arial" w:hAnsi="Arial"/>
          <w:sz w:val="18"/>
          <w:szCs w:val="18"/>
          <w:b w:val="1"/>
          <w:bCs w:val="1"/>
          <w:color w:val="auto"/>
        </w:rPr>
        <w:t xml:space="preserve">Attorneys’ Fees and Costs. </w:t>
      </w:r>
      <w:r>
        <w:rPr>
          <w:rFonts w:ascii="Arial" w:cs="Arial" w:eastAsia="Arial" w:hAnsi="Arial"/>
          <w:sz w:val="18"/>
          <w:szCs w:val="18"/>
          <w:color w:val="auto"/>
        </w:rPr>
        <w:t>The arbitrator(s) shall award to the prevailing Party, if any, as determined by the arbitrators,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and costs.</w:t>
      </w:r>
    </w:p>
    <w:p>
      <w:pPr>
        <w:spacing w:after="0" w:line="53" w:lineRule="exact"/>
        <w:rPr>
          <w:rFonts w:ascii="Arial" w:cs="Arial" w:eastAsia="Arial" w:hAnsi="Arial"/>
          <w:sz w:val="18"/>
          <w:szCs w:val="18"/>
          <w:color w:val="auto"/>
        </w:rPr>
      </w:pPr>
    </w:p>
    <w:p>
      <w:pPr>
        <w:jc w:val="both"/>
        <w:ind w:left="418" w:right="180" w:hanging="408"/>
        <w:spacing w:after="0" w:line="281" w:lineRule="auto"/>
        <w:tabs>
          <w:tab w:leader="none" w:pos="778" w:val="left"/>
        </w:tabs>
        <w:numPr>
          <w:ilvl w:val="0"/>
          <w:numId w:val="745"/>
        </w:numPr>
        <w:rPr>
          <w:rFonts w:ascii="Arial" w:cs="Arial" w:eastAsia="Arial" w:hAnsi="Arial"/>
          <w:sz w:val="17"/>
          <w:szCs w:val="17"/>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Parties undertake to keep confidential all awards in their arbitration, together with all materials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w:t>
      </w:r>
    </w:p>
    <w:p>
      <w:pPr>
        <w:spacing w:after="0" w:line="56" w:lineRule="exact"/>
        <w:rPr>
          <w:rFonts w:ascii="Arial" w:cs="Arial" w:eastAsia="Arial" w:hAnsi="Arial"/>
          <w:sz w:val="17"/>
          <w:szCs w:val="17"/>
          <w:color w:val="auto"/>
        </w:rPr>
      </w:pPr>
    </w:p>
    <w:p>
      <w:pPr>
        <w:ind w:left="418" w:hanging="388"/>
        <w:spacing w:after="0" w:line="272" w:lineRule="auto"/>
        <w:tabs>
          <w:tab w:leader="none" w:pos="778" w:val="left"/>
        </w:tabs>
        <w:numPr>
          <w:ilvl w:val="0"/>
          <w:numId w:val="745"/>
        </w:numPr>
        <w:rPr>
          <w:rFonts w:ascii="Arial" w:cs="Arial" w:eastAsia="Arial" w:hAnsi="Arial"/>
          <w:sz w:val="17"/>
          <w:szCs w:val="17"/>
          <w:color w:val="auto"/>
        </w:rPr>
      </w:pPr>
      <w:r>
        <w:rPr>
          <w:rFonts w:ascii="Arial" w:cs="Arial" w:eastAsia="Arial" w:hAnsi="Arial"/>
          <w:sz w:val="17"/>
          <w:szCs w:val="17"/>
          <w:b w:val="1"/>
          <w:bCs w:val="1"/>
          <w:color w:val="auto"/>
        </w:rPr>
        <w:t xml:space="preserve">Certain Disputes. </w:t>
      </w:r>
      <w:r>
        <w:rPr>
          <w:rFonts w:ascii="Arial" w:cs="Arial" w:eastAsia="Arial" w:hAnsi="Arial"/>
          <w:sz w:val="17"/>
          <w:szCs w:val="17"/>
          <w:color w:val="auto"/>
        </w:rPr>
        <w:t>Notwithstanding the provisions of this Section 16.4, Disputes relating to intellectual property rights,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Disputes relating to the ownership, inventorship, enforceability, validity or scope of patent or other intellectual property rights, or other Disputes for which a Party wishes to seek injunctive or other equitable relief shall not be subject to the terms of this Section 16.4 and may be submitted for resolution to a court of competent jurisdiction, and without the necessity of posting a bond for such Disputes seeking injunctive or other equitable relief (each, an “</w:t>
      </w:r>
      <w:r>
        <w:rPr>
          <w:rFonts w:ascii="Arial" w:cs="Arial" w:eastAsia="Arial" w:hAnsi="Arial"/>
          <w:sz w:val="17"/>
          <w:szCs w:val="17"/>
          <w:b w:val="1"/>
          <w:bCs w:val="1"/>
          <w:color w:val="auto"/>
        </w:rPr>
        <w:t>Excluded Claim</w:t>
      </w:r>
      <w:r>
        <w:rPr>
          <w:rFonts w:ascii="Arial" w:cs="Arial" w:eastAsia="Arial" w:hAnsi="Arial"/>
          <w:sz w:val="17"/>
          <w:szCs w:val="17"/>
          <w:color w:val="auto"/>
        </w:rPr>
        <w:t>”). The Parties agree that any Dispute concerning an Excluded Claim that cannot be resolved by the Parties will be subject to the exclusive jurisdiction of the U.S. federal or New York state courts within the New York counties of New York, and the Parties hereby submit to, and waive any objection to, personal jurisdiction and venue in such courts for such purpose.</w:t>
      </w:r>
    </w:p>
    <w:p>
      <w:pPr>
        <w:spacing w:after="0" w:line="109" w:lineRule="exact"/>
        <w:rPr>
          <w:sz w:val="20"/>
          <w:szCs w:val="20"/>
          <w:color w:val="auto"/>
        </w:rPr>
      </w:pPr>
    </w:p>
    <w:p>
      <w:pPr>
        <w:ind w:left="4518"/>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118"/>
          </w:cols>
          <w:pgMar w:left="1342" w:top="274" w:right="439" w:bottom="1440" w:gutter="0" w:footer="0" w:header="0"/>
        </w:sectPr>
      </w:pPr>
    </w:p>
    <w:bookmarkStart w:id="838" w:name="page839"/>
    <w:bookmarkEnd w:id="83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16.6. Compliance with Laws.</w:t>
      </w:r>
    </w:p>
    <w:p>
      <w:pPr>
        <w:spacing w:after="0" w:line="121" w:lineRule="exact"/>
        <w:rPr>
          <w:sz w:val="20"/>
          <w:szCs w:val="20"/>
          <w:color w:val="auto"/>
        </w:rPr>
      </w:pPr>
    </w:p>
    <w:p>
      <w:pPr>
        <w:ind w:left="1140" w:hanging="255"/>
        <w:spacing w:after="0"/>
        <w:tabs>
          <w:tab w:leader="none" w:pos="114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Each Party will comply in all material respects with all Laws in performing its obligations and exercising its rights hereunder.</w:t>
      </w:r>
    </w:p>
    <w:p>
      <w:pPr>
        <w:spacing w:after="0" w:line="117" w:lineRule="exact"/>
        <w:rPr>
          <w:rFonts w:ascii="Arial" w:cs="Arial" w:eastAsia="Arial" w:hAnsi="Arial"/>
          <w:sz w:val="18"/>
          <w:szCs w:val="18"/>
          <w:color w:val="auto"/>
        </w:rPr>
      </w:pPr>
    </w:p>
    <w:p>
      <w:pPr>
        <w:ind w:firstLine="885"/>
        <w:spacing w:after="0" w:line="277" w:lineRule="auto"/>
        <w:tabs>
          <w:tab w:leader="none" w:pos="1136" w:val="left"/>
        </w:tabs>
        <w:numPr>
          <w:ilvl w:val="0"/>
          <w:numId w:val="746"/>
        </w:numPr>
        <w:rPr>
          <w:rFonts w:ascii="Arial" w:cs="Arial" w:eastAsia="Arial" w:hAnsi="Arial"/>
          <w:sz w:val="18"/>
          <w:szCs w:val="18"/>
          <w:color w:val="auto"/>
        </w:rPr>
      </w:pPr>
      <w:r>
        <w:rPr>
          <w:rFonts w:ascii="Arial" w:cs="Arial" w:eastAsia="Arial" w:hAnsi="Arial"/>
          <w:sz w:val="18"/>
          <w:szCs w:val="18"/>
          <w:color w:val="auto"/>
        </w:rPr>
        <w:t>Each Party shall perform its obligations under this Agreement in strict compliance with applicable provisions of the International Federal of Pharmaceutical Manufacturers &amp; Associations Code of Practice.</w:t>
      </w:r>
    </w:p>
    <w:p>
      <w:pPr>
        <w:spacing w:after="0" w:line="62" w:lineRule="exact"/>
        <w:rPr>
          <w:rFonts w:ascii="Arial" w:cs="Arial" w:eastAsia="Arial" w:hAnsi="Arial"/>
          <w:sz w:val="18"/>
          <w:szCs w:val="18"/>
          <w:color w:val="auto"/>
        </w:rPr>
      </w:pPr>
    </w:p>
    <w:p>
      <w:pPr>
        <w:ind w:right="580" w:firstLine="885"/>
        <w:spacing w:after="0" w:line="264" w:lineRule="auto"/>
        <w:tabs>
          <w:tab w:leader="none" w:pos="1126" w:val="left"/>
        </w:tabs>
        <w:numPr>
          <w:ilvl w:val="0"/>
          <w:numId w:val="746"/>
        </w:numPr>
        <w:rPr>
          <w:rFonts w:ascii="Arial" w:cs="Arial" w:eastAsia="Arial" w:hAnsi="Arial"/>
          <w:sz w:val="18"/>
          <w:szCs w:val="18"/>
          <w:color w:val="auto"/>
        </w:rPr>
      </w:pPr>
      <w:r>
        <w:rPr>
          <w:rFonts w:ascii="Arial" w:cs="Arial" w:eastAsia="Arial" w:hAnsi="Arial"/>
          <w:sz w:val="18"/>
          <w:szCs w:val="18"/>
          <w:color w:val="auto"/>
        </w:rPr>
        <w:t>Each Party shall (i) comply with anti-bribery Laws, and (ii) adopt, implement and keep for the Term, adequate measures aimed at preventing the commission, even attempted, of conduct in violation of anti-bribery Laws by its Affiliates, directors, representatives, employees, collaborators and/or consultants.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16.7. Headings.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Headings are inserted for convenience and shall not affect the meaning or interpretation of this Agreement.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16.8. Waiver.</w:t>
      </w:r>
    </w:p>
    <w:p>
      <w:pPr>
        <w:spacing w:after="0" w:line="121"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No waiver of any default hereunder by either Party or any failure to enforce any rights hereunder shall be deemed to constitute a waiver of any subsequent default with respect to the same or any other provision hereof.</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16.9. Notices.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Any and all notices given by one Party to the other Party under this Agreement must be in writing and shall be deemed effectively given</w:t>
      </w:r>
    </w:p>
    <w:p>
      <w:pPr>
        <w:spacing w:after="0" w:line="46" w:lineRule="exact"/>
        <w:rPr>
          <w:sz w:val="20"/>
          <w:szCs w:val="20"/>
          <w:color w:val="auto"/>
        </w:rPr>
      </w:pPr>
    </w:p>
    <w:p>
      <w:pPr>
        <w:ind w:left="240" w:hanging="236"/>
        <w:spacing w:after="0"/>
        <w:tabs>
          <w:tab w:leader="none" w:pos="240" w:val="left"/>
        </w:tabs>
        <w:numPr>
          <w:ilvl w:val="0"/>
          <w:numId w:val="747"/>
        </w:numPr>
        <w:rPr>
          <w:rFonts w:ascii="Arial" w:cs="Arial" w:eastAsia="Arial" w:hAnsi="Arial"/>
          <w:sz w:val="16"/>
          <w:szCs w:val="16"/>
          <w:color w:val="auto"/>
        </w:rPr>
      </w:pPr>
      <w:r>
        <w:rPr>
          <w:rFonts w:ascii="Arial" w:cs="Arial" w:eastAsia="Arial" w:hAnsi="Arial"/>
          <w:sz w:val="16"/>
          <w:szCs w:val="16"/>
          <w:color w:val="auto"/>
        </w:rPr>
        <w:t>upon personal delivery to the Party to be notified, (b) when sent by confirmed facsimile or electronic transmission if sent during normal business</w:t>
      </w:r>
    </w:p>
    <w:p>
      <w:pPr>
        <w:spacing w:after="0" w:line="32" w:lineRule="exact"/>
        <w:rPr>
          <w:rFonts w:ascii="Arial" w:cs="Arial" w:eastAsia="Arial" w:hAnsi="Arial"/>
          <w:sz w:val="16"/>
          <w:szCs w:val="16"/>
          <w:color w:val="auto"/>
        </w:rPr>
      </w:pPr>
    </w:p>
    <w:p>
      <w:pPr>
        <w:ind w:right="80"/>
        <w:spacing w:after="0" w:line="273" w:lineRule="auto"/>
        <w:rPr>
          <w:rFonts w:ascii="Arial" w:cs="Arial" w:eastAsia="Arial" w:hAnsi="Arial"/>
          <w:sz w:val="16"/>
          <w:szCs w:val="16"/>
          <w:color w:val="auto"/>
        </w:rPr>
      </w:pPr>
      <w:r>
        <w:rPr>
          <w:rFonts w:ascii="Arial" w:cs="Arial" w:eastAsia="Arial" w:hAnsi="Arial"/>
          <w:sz w:val="17"/>
          <w:szCs w:val="17"/>
          <w:color w:val="auto"/>
        </w:rPr>
        <w:t>hours of the recipient, if not, then on the next Business Day, (c) one (1) day after deposit with a nationally recognized overnight courier, specifying next day delivery, with written verification of receipt, or (d) on the second (2</w:t>
      </w:r>
      <w:r>
        <w:rPr>
          <w:rFonts w:ascii="Arial" w:cs="Arial" w:eastAsia="Arial" w:hAnsi="Arial"/>
          <w:sz w:val="14"/>
          <w:szCs w:val="14"/>
          <w:color w:val="auto"/>
        </w:rPr>
        <w:t>nd</w:t>
      </w:r>
      <w:r>
        <w:rPr>
          <w:rFonts w:ascii="Arial" w:cs="Arial" w:eastAsia="Arial" w:hAnsi="Arial"/>
          <w:sz w:val="17"/>
          <w:szCs w:val="17"/>
          <w:color w:val="auto"/>
        </w:rPr>
        <w:t>) Business Day after the date deposited if mailed by first class mail, return receipt requested, postage prepaid. All notices shall be sent to the other Party’s address as set out at the beginning of this Agreement or to the latest address of such Party as shall have been communicated to the other Party in accordance with this Section 16.8.</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Notices sent to Licensee shall be directed to the attention of :</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FSG Pulmo,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17 Selborne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Piedmont, CA 94611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copy (which shall not constitute notice)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Steven T. Chinowsky, Esq.</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1" w:right="439" w:bottom="1440" w:gutter="0" w:footer="0" w:header="0"/>
        </w:sectPr>
      </w:pPr>
    </w:p>
    <w:bookmarkStart w:id="839" w:name="page840"/>
    <w:bookmarkEnd w:id="839"/>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858-523-5400</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858-523-5450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Notices sent to Pulmokine shall be directed to the attention of</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Pulmokine,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7 University Place, B127B</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Rensselaer NY, 12144</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Larry Zisman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copy (which shall not constitute notice)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Morse, Barnes-Brown &amp; Pendleton, P.C.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230 Third Avenue, Fourth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Waltham, MA 02451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781-622-5930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781-622-5933.</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16.10. Severability.</w:t>
      </w:r>
    </w:p>
    <w:p>
      <w:pPr>
        <w:spacing w:after="0" w:line="121"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Whenever possible, each term and provision of this Agreement shall be interpreted in such manner as to be valid and effective under applicable Laws, but, if any term or provision of this Agreement is held to be invalid or unenforceable under applicable Laws, such term or provision shall be invalid and ineffective only to the extent of such invalidity or unenforceability, without invalidating or making unenforceable the remainder of this Agreement. In the event of such invalidity or unenforceability, the Parties shall use reasonable efforts to seek and agree on an alternative valid and enforceable provision that preserves the original purpose and intent of this Agreement.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16.11. Entire Agreement.</w:t>
      </w:r>
    </w:p>
    <w:p>
      <w:pPr>
        <w:spacing w:after="0" w:line="121"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This Agreement, together with all Exhibits attached hereto, constitutes the entire agreement between the Parties and shall cancel and supersede any and all prior and contemporaneous negotiations, correspondence, understandings and agreements, whether oral or written, between the Parties respecting the subject matter hereof.</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16.12. Amendment.</w:t>
      </w:r>
    </w:p>
    <w:p>
      <w:pPr>
        <w:spacing w:after="0" w:line="121"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Any amendment or modification to this Agreement shall only be made in writing and shall only be valid when signed by the duly authorized representatives of the Parties.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16.13. Counterparts.</w:t>
      </w:r>
    </w:p>
    <w:p>
      <w:pPr>
        <w:spacing w:after="0" w:line="121"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This Agreement may be executed in more than one (1) counterpart, each of which shall be deemed an original, but all of such counterparts taken together shall constitute one and the same agreement. The exchange of copies of this Agreement or amendments thereto and of executed signature pages by facsimile transmission or by email transmission in portable document format (.pdf), or similar format, shall constitute effective execution and delivery of such instrument(s) as to the Parties and may be used in lieu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6946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83" w:lineRule="exact"/>
        <w:rPr>
          <w:sz w:val="20"/>
          <w:szCs w:val="20"/>
          <w:color w:val="auto"/>
        </w:rPr>
      </w:pPr>
    </w:p>
    <w:p>
      <w:pPr>
        <w:ind w:left="440" w:right="440" w:hanging="436"/>
        <w:spacing w:after="0" w:line="277" w:lineRule="auto"/>
        <w:tabs>
          <w:tab w:leader="none" w:pos="440" w:val="left"/>
        </w:tabs>
        <w:numPr>
          <w:ilvl w:val="0"/>
          <w:numId w:val="74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840" w:name="page841"/>
    <w:bookmarkEnd w:id="84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original Agreement or amendment for all purposes. Signatures of the Parties transmitted by facsimile or by email in portable document format (.pdf), or similar format, shall be deemed to be their original signatures for all purposes.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16.14. Agency.</w:t>
      </w:r>
    </w:p>
    <w:p>
      <w:pPr>
        <w:spacing w:after="0" w:line="121"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Neither Party is, nor shall be deemed to be, an employee, agent, co-venturer or legal representative of the other Party for any purpose. Neither Party shall be entitled to enter into any contracts in the name of, or on behalf of the other Party, nor shall either Party be entitled to pledge the credit of the other Party in any way or hold itself out as having the authority to do so.</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16.15. Further Assurances.</w:t>
      </w:r>
    </w:p>
    <w:p>
      <w:pPr>
        <w:spacing w:after="0" w:line="121"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During the Term, Pulmokine and Licensee each will, at the request of the other Party, use reasonable efforts to (a) deliver to the other Party such records, data or other documents, consistent with the provisions of this Agreement, (b) execute, deliver or cause to be delivered, all such assignments, consents, documents or further instruments of transfer or license, and (c) take or cause to be taken all such other actions, as a Party reasonably may deem necessary or desirable in order for such Party to obtain the full benefits of this Agreement and the transactions contemplated hereby.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440" w:top="274" w:right="559" w:bottom="1440" w:gutter="0" w:footer="0" w:header="0"/>
        </w:sectPr>
      </w:pPr>
    </w:p>
    <w:bookmarkStart w:id="841" w:name="page842"/>
    <w:bookmarkEnd w:id="841"/>
    <w:p>
      <w:pPr>
        <w:ind w:right="3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in duplicate by their respective duly authorized officers or representatives as of the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FSG Pulmo, Inc.</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Pulmokine, Inc.</w:t>
            </w: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Faheem Hasnain</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/s/ Lawrence S. Zisman</w:t>
            </w:r>
          </w:p>
        </w:tc>
      </w:tr>
      <w:tr>
        <w:trPr>
          <w:trHeight w:val="224"/>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 Faheem Hasnain, CEO</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Lawrence S. Zisman, CEO</w:t>
            </w:r>
          </w:p>
        </w:tc>
      </w:tr>
      <w:tr>
        <w:trPr>
          <w:trHeight w:val="431"/>
        </w:trPr>
        <w:tc>
          <w:tcPr>
            <w:tcW w:w="5720" w:type="dxa"/>
            <w:vAlign w:val="bottom"/>
            <w:gridSpan w:val="3"/>
          </w:tcPr>
          <w:p>
            <w:pPr>
              <w:spacing w:after="0"/>
              <w:rPr>
                <w:sz w:val="20"/>
                <w:szCs w:val="20"/>
                <w:color w:val="auto"/>
              </w:rPr>
            </w:pPr>
            <w:r>
              <w:rPr>
                <w:rFonts w:ascii="Arial" w:cs="Arial" w:eastAsia="Arial" w:hAnsi="Arial"/>
                <w:sz w:val="18"/>
                <w:szCs w:val="18"/>
                <w:color w:val="auto"/>
                <w:w w:val="95"/>
              </w:rPr>
              <w:t>Solely with respect to FSG’s obligations expressly set forth in Section 3.14:</w:t>
            </w:r>
          </w:p>
        </w:tc>
        <w:tc>
          <w:tcPr>
            <w:tcW w:w="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45"/>
        </w:trPr>
        <w:tc>
          <w:tcPr>
            <w:tcW w:w="5720" w:type="dxa"/>
            <w:vAlign w:val="bottom"/>
            <w:gridSpan w:val="3"/>
          </w:tcPr>
          <w:p>
            <w:pPr>
              <w:spacing w:after="0"/>
              <w:rPr>
                <w:sz w:val="20"/>
                <w:szCs w:val="20"/>
                <w:color w:val="auto"/>
              </w:rPr>
            </w:pPr>
            <w:r>
              <w:rPr>
                <w:rFonts w:ascii="Arial" w:cs="Arial" w:eastAsia="Arial" w:hAnsi="Arial"/>
                <w:sz w:val="18"/>
                <w:szCs w:val="18"/>
                <w:color w:val="auto"/>
              </w:rPr>
              <w:t>FSG Bio, Inc.</w:t>
            </w:r>
          </w:p>
        </w:tc>
        <w:tc>
          <w:tcPr>
            <w:tcW w:w="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Faheem Hasnain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24"/>
        </w:trPr>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Faheem Hasnain, CEO</w:t>
            </w:r>
          </w:p>
        </w:tc>
        <w:tc>
          <w:tcPr>
            <w:tcW w:w="13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4"/>
        </w:trPr>
        <w:tc>
          <w:tcPr>
            <w:tcW w:w="5720" w:type="dxa"/>
            <w:vAlign w:val="bottom"/>
            <w:gridSpan w:val="3"/>
          </w:tcPr>
          <w:p>
            <w:pPr>
              <w:ind w:left="54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842" w:name="page843"/>
    <w:bookmarkEnd w:id="842"/>
    <w:p>
      <w:pPr>
        <w:jc w:val="center"/>
        <w:ind w:right="-4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Backup Compound</w:t>
      </w:r>
    </w:p>
    <w:p>
      <w:pPr>
        <w:spacing w:after="0" w:line="225" w:lineRule="exact"/>
        <w:rPr>
          <w:sz w:val="20"/>
          <w:szCs w:val="20"/>
          <w:color w:val="auto"/>
        </w:rPr>
      </w:pPr>
    </w:p>
    <w:p>
      <w:pPr>
        <w:ind w:left="8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6946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36" w:hanging="436"/>
        <w:spacing w:after="0" w:line="277" w:lineRule="auto"/>
        <w:tabs>
          <w:tab w:leader="none" w:pos="436" w:val="left"/>
        </w:tabs>
        <w:numPr>
          <w:ilvl w:val="0"/>
          <w:numId w:val="749"/>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56"/>
          </w:cols>
          <w:pgMar w:left="444" w:top="270" w:right="899" w:bottom="1440" w:gutter="0" w:footer="0" w:header="0"/>
        </w:sectPr>
      </w:pPr>
    </w:p>
    <w:bookmarkStart w:id="843" w:name="page844"/>
    <w:bookmarkEnd w:id="843"/>
    <w:p>
      <w:pPr>
        <w:jc w:val="center"/>
        <w:ind w:right="-4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Compound</w:t>
      </w:r>
    </w:p>
    <w:p>
      <w:pPr>
        <w:spacing w:after="0" w:line="225" w:lineRule="exact"/>
        <w:rPr>
          <w:sz w:val="20"/>
          <w:szCs w:val="20"/>
          <w:color w:val="auto"/>
        </w:rPr>
      </w:pPr>
    </w:p>
    <w:p>
      <w:pPr>
        <w:ind w:left="8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6946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36" w:hanging="436"/>
        <w:spacing w:after="0" w:line="277" w:lineRule="auto"/>
        <w:tabs>
          <w:tab w:leader="none" w:pos="436" w:val="left"/>
        </w:tabs>
        <w:numPr>
          <w:ilvl w:val="0"/>
          <w:numId w:val="75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56"/>
          </w:cols>
          <w:pgMar w:left="444" w:top="270" w:right="899" w:bottom="1440" w:gutter="0" w:footer="0" w:header="0"/>
        </w:sectPr>
      </w:pPr>
    </w:p>
    <w:bookmarkStart w:id="844" w:name="page845"/>
    <w:bookmarkEnd w:id="844"/>
    <w:tbl>
      <w:tblPr>
        <w:tblLayout w:type="fixed"/>
        <w:tblInd w:w="876"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40" w:type="dxa"/>
            <w:vAlign w:val="bottom"/>
          </w:tcPr>
          <w:p>
            <w:pPr>
              <w:jc w:val="right"/>
              <w:ind w:right="1670"/>
              <w:spacing w:after="0"/>
              <w:rPr>
                <w:sz w:val="20"/>
                <w:szCs w:val="20"/>
                <w:color w:val="auto"/>
              </w:rPr>
            </w:pPr>
            <w:r>
              <w:rPr>
                <w:rFonts w:ascii="Arial" w:cs="Arial" w:eastAsia="Arial" w:hAnsi="Arial"/>
                <w:sz w:val="18"/>
                <w:szCs w:val="18"/>
                <w:b w:val="1"/>
                <w:bCs w:val="1"/>
                <w:color w:val="auto"/>
              </w:rPr>
              <w:t>EXHIBIT C</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40" w:type="dxa"/>
            <w:vAlign w:val="bottom"/>
          </w:tcPr>
          <w:p>
            <w:pPr>
              <w:jc w:val="right"/>
              <w:ind w:right="1150"/>
              <w:spacing w:after="0"/>
              <w:rPr>
                <w:sz w:val="20"/>
                <w:szCs w:val="20"/>
                <w:color w:val="auto"/>
              </w:rPr>
            </w:pPr>
            <w:r>
              <w:rPr>
                <w:rFonts w:ascii="Arial" w:cs="Arial" w:eastAsia="Arial" w:hAnsi="Arial"/>
                <w:sz w:val="18"/>
                <w:szCs w:val="18"/>
                <w:color w:val="auto"/>
              </w:rPr>
              <w:t>Gilead Background Patents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6946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84" w:lineRule="exact"/>
        <w:rPr>
          <w:sz w:val="20"/>
          <w:szCs w:val="20"/>
          <w:color w:val="auto"/>
        </w:rPr>
      </w:pPr>
    </w:p>
    <w:p>
      <w:pPr>
        <w:ind w:left="436" w:hanging="436"/>
        <w:spacing w:after="0" w:line="277" w:lineRule="auto"/>
        <w:tabs>
          <w:tab w:leader="none" w:pos="436" w:val="left"/>
        </w:tabs>
        <w:numPr>
          <w:ilvl w:val="0"/>
          <w:numId w:val="75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56"/>
          </w:cols>
          <w:pgMar w:left="444" w:top="269" w:right="899" w:bottom="1440" w:gutter="0" w:footer="0" w:header="0"/>
        </w:sectPr>
      </w:pPr>
    </w:p>
    <w:bookmarkStart w:id="845" w:name="page846"/>
    <w:bookmarkEnd w:id="845"/>
    <w:p>
      <w:pPr>
        <w:jc w:val="center"/>
        <w:ind w:right="-4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ind w:left="4556"/>
        <w:spacing w:after="0"/>
        <w:rPr>
          <w:sz w:val="20"/>
          <w:szCs w:val="20"/>
          <w:color w:val="auto"/>
        </w:rPr>
      </w:pPr>
      <w:r>
        <w:rPr>
          <w:rFonts w:ascii="Arial" w:cs="Arial" w:eastAsia="Arial" w:hAnsi="Arial"/>
          <w:sz w:val="18"/>
          <w:szCs w:val="18"/>
          <w:color w:val="auto"/>
        </w:rPr>
        <w:t>Phase 1 Clinical Trial Plan</w:t>
      </w:r>
    </w:p>
    <w:p>
      <w:pPr>
        <w:spacing w:after="0" w:line="225" w:lineRule="exact"/>
        <w:rPr>
          <w:sz w:val="20"/>
          <w:szCs w:val="20"/>
          <w:color w:val="auto"/>
        </w:rPr>
      </w:pPr>
    </w:p>
    <w:p>
      <w:pPr>
        <w:ind w:left="8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6946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36" w:hanging="436"/>
        <w:spacing w:after="0" w:line="277" w:lineRule="auto"/>
        <w:tabs>
          <w:tab w:leader="none" w:pos="436" w:val="left"/>
        </w:tabs>
        <w:numPr>
          <w:ilvl w:val="0"/>
          <w:numId w:val="75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56"/>
          </w:cols>
          <w:pgMar w:left="444" w:top="271" w:right="899" w:bottom="1440" w:gutter="0" w:footer="0" w:header="0"/>
        </w:sectPr>
      </w:pPr>
    </w:p>
    <w:bookmarkStart w:id="846" w:name="page847"/>
    <w:bookmarkEnd w:id="8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Pulmokine-Controlled Patents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vMerge w:val="restart"/>
          </w:tcPr>
          <w:p>
            <w:pPr>
              <w:jc w:val="center"/>
              <w:ind w:left="248"/>
              <w:spacing w:after="0"/>
              <w:rPr>
                <w:sz w:val="20"/>
                <w:szCs w:val="20"/>
                <w:color w:val="auto"/>
              </w:rPr>
            </w:pPr>
            <w:r>
              <w:rPr>
                <w:rFonts w:ascii="Arial" w:cs="Arial" w:eastAsia="Arial" w:hAnsi="Arial"/>
                <w:sz w:val="14"/>
                <w:szCs w:val="14"/>
                <w:b w:val="1"/>
                <w:bCs w:val="1"/>
                <w:color w:val="auto"/>
                <w:w w:val="94"/>
              </w:rPr>
              <w:t>Application</w:t>
            </w:r>
          </w:p>
        </w:tc>
        <w:tc>
          <w:tcPr>
            <w:tcW w:w="340" w:type="dxa"/>
            <w:vAlign w:val="bottom"/>
          </w:tcPr>
          <w:p>
            <w:pPr>
              <w:spacing w:after="0"/>
              <w:rPr>
                <w:sz w:val="14"/>
                <w:szCs w:val="1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2"/>
              </w:rPr>
              <w:t>Publication</w:t>
            </w:r>
          </w:p>
        </w:tc>
        <w:tc>
          <w:tcPr>
            <w:tcW w:w="104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93"/>
              </w:rPr>
              <w:t>Pub. Date /</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Case Type</w:t>
            </w:r>
          </w:p>
        </w:tc>
        <w:tc>
          <w:tcPr>
            <w:tcW w:w="5720" w:type="dxa"/>
            <w:vAlign w:val="bottom"/>
            <w:gridSpan w:val="2"/>
            <w:vMerge w:val="restart"/>
          </w:tcPr>
          <w:p>
            <w:pPr>
              <w:jc w:val="center"/>
              <w:ind w:left="5088"/>
              <w:spacing w:after="0"/>
              <w:rPr>
                <w:sz w:val="20"/>
                <w:szCs w:val="20"/>
                <w:color w:val="auto"/>
              </w:rPr>
            </w:pPr>
            <w:r>
              <w:rPr>
                <w:rFonts w:ascii="Arial" w:cs="Arial" w:eastAsia="Arial" w:hAnsi="Arial"/>
                <w:sz w:val="14"/>
                <w:szCs w:val="14"/>
                <w:b w:val="1"/>
                <w:bCs w:val="1"/>
                <w:color w:val="auto"/>
                <w:w w:val="96"/>
              </w:rPr>
              <w:t>Country</w:t>
            </w: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 /</w:t>
            </w:r>
          </w:p>
        </w:tc>
        <w:tc>
          <w:tcPr>
            <w:tcW w:w="1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78"/>
        </w:trPr>
        <w:tc>
          <w:tcPr>
            <w:tcW w:w="640" w:type="dxa"/>
            <w:vAlign w:val="bottom"/>
            <w:gridSpan w:val="2"/>
            <w:vMerge w:val="continue"/>
          </w:tcPr>
          <w:p>
            <w:pPr>
              <w:spacing w:after="0"/>
              <w:rPr>
                <w:sz w:val="15"/>
                <w:szCs w:val="15"/>
                <w:color w:val="auto"/>
              </w:rPr>
            </w:pPr>
          </w:p>
        </w:tc>
        <w:tc>
          <w:tcPr>
            <w:tcW w:w="57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5"/>
                <w:szCs w:val="15"/>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Patent No.</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Issue Date</w:t>
            </w:r>
          </w:p>
        </w:tc>
        <w:tc>
          <w:tcPr>
            <w:tcW w:w="3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right="480" w:hanging="436"/>
        <w:spacing w:after="0" w:line="277" w:lineRule="auto"/>
        <w:tabs>
          <w:tab w:leader="none" w:pos="440" w:val="left"/>
        </w:tabs>
        <w:numPr>
          <w:ilvl w:val="0"/>
          <w:numId w:val="75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440" w:top="271" w:right="419" w:bottom="1440" w:gutter="0" w:footer="0" w:header="0"/>
        </w:sectPr>
      </w:pPr>
    </w:p>
    <w:bookmarkStart w:id="847" w:name="page848"/>
    <w:bookmarkEnd w:id="847"/>
    <w:tbl>
      <w:tblPr>
        <w:tblLayout w:type="fixed"/>
        <w:tblInd w:w="876"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20" w:type="dxa"/>
            <w:vAlign w:val="bottom"/>
          </w:tcPr>
          <w:p>
            <w:pPr>
              <w:jc w:val="right"/>
              <w:ind w:right="1670"/>
              <w:spacing w:after="0"/>
              <w:rPr>
                <w:sz w:val="20"/>
                <w:szCs w:val="20"/>
                <w:color w:val="auto"/>
              </w:rPr>
            </w:pPr>
            <w:r>
              <w:rPr>
                <w:rFonts w:ascii="Arial" w:cs="Arial" w:eastAsia="Arial" w:hAnsi="Arial"/>
                <w:sz w:val="18"/>
                <w:szCs w:val="18"/>
                <w:b w:val="1"/>
                <w:bCs w:val="1"/>
                <w:color w:val="auto"/>
              </w:rPr>
              <w:t>EXHIBIT F</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20" w:type="dxa"/>
            <w:vAlign w:val="bottom"/>
          </w:tcPr>
          <w:p>
            <w:pPr>
              <w:jc w:val="right"/>
              <w:ind w:right="990"/>
              <w:spacing w:after="0"/>
              <w:rPr>
                <w:sz w:val="20"/>
                <w:szCs w:val="20"/>
                <w:color w:val="auto"/>
              </w:rPr>
            </w:pPr>
            <w:r>
              <w:rPr>
                <w:rFonts w:ascii="Arial" w:cs="Arial" w:eastAsia="Arial" w:hAnsi="Arial"/>
                <w:sz w:val="18"/>
                <w:szCs w:val="18"/>
                <w:color w:val="auto"/>
              </w:rPr>
              <w:t>Pulmokine-Gilead Joint Patents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6946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84" w:lineRule="exact"/>
        <w:rPr>
          <w:sz w:val="20"/>
          <w:szCs w:val="20"/>
          <w:color w:val="auto"/>
        </w:rPr>
      </w:pPr>
    </w:p>
    <w:p>
      <w:pPr>
        <w:ind w:left="436" w:hanging="436"/>
        <w:spacing w:after="0" w:line="277" w:lineRule="auto"/>
        <w:tabs>
          <w:tab w:leader="none" w:pos="436" w:val="left"/>
        </w:tabs>
        <w:numPr>
          <w:ilvl w:val="0"/>
          <w:numId w:val="75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56"/>
          </w:cols>
          <w:pgMar w:left="444" w:top="269" w:right="899" w:bottom="1440" w:gutter="0" w:footer="0" w:header="0"/>
        </w:sectPr>
      </w:pPr>
    </w:p>
    <w:bookmarkStart w:id="848" w:name="page849"/>
    <w:bookmarkEnd w:id="848"/>
    <w:p>
      <w:pPr>
        <w:jc w:val="center"/>
        <w:ind w:right="-4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9"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Asthma Patents</w:t>
      </w:r>
    </w:p>
    <w:p>
      <w:pPr>
        <w:spacing w:after="0" w:line="225"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-121920</wp:posOffset>
            </wp:positionV>
            <wp:extent cx="4751070" cy="13716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6946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36" w:hanging="436"/>
        <w:spacing w:after="0" w:line="277" w:lineRule="auto"/>
        <w:tabs>
          <w:tab w:leader="none" w:pos="436" w:val="left"/>
        </w:tabs>
        <w:numPr>
          <w:ilvl w:val="0"/>
          <w:numId w:val="755"/>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56"/>
          </w:cols>
          <w:pgMar w:left="444" w:top="271" w:right="899" w:bottom="1440" w:gutter="0" w:footer="0" w:header="0"/>
        </w:sectPr>
      </w:pPr>
    </w:p>
    <w:bookmarkStart w:id="849" w:name="page850"/>
    <w:bookmarkEnd w:id="849"/>
    <w:p>
      <w:pPr>
        <w:ind w:left="177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-121920</wp:posOffset>
            </wp:positionV>
            <wp:extent cx="4751070" cy="13716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6946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36" w:hanging="436"/>
        <w:spacing w:after="0" w:line="277" w:lineRule="auto"/>
        <w:tabs>
          <w:tab w:leader="none" w:pos="436" w:val="left"/>
        </w:tabs>
        <w:numPr>
          <w:ilvl w:val="0"/>
          <w:numId w:val="75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56"/>
          </w:cols>
          <w:pgMar w:left="444" w:top="274" w:right="899" w:bottom="1440" w:gutter="0" w:footer="0" w:header="0"/>
        </w:sectPr>
      </w:pPr>
    </w:p>
    <w:bookmarkStart w:id="850" w:name="page851"/>
    <w:bookmarkEnd w:id="85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Biomarker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77" w:lineRule="auto"/>
        <w:tabs>
          <w:tab w:leader="none" w:pos="440" w:val="left"/>
        </w:tabs>
        <w:numPr>
          <w:ilvl w:val="0"/>
          <w:numId w:val="757"/>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440" w:top="270" w:right="899" w:bottom="1440" w:gutter="0" w:footer="0" w:header="0"/>
        </w:sectPr>
      </w:pPr>
    </w:p>
    <w:bookmarkStart w:id="851" w:name="page852"/>
    <w:bookmarkEnd w:id="85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RCTR License Terms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5.1 (a) the RCTR reserves on behalf of the Government an irrevocable, nonexclusive, nontransferable, royalty-free license for the practice of all inventions licensed under the Licensed Patent Rights throughout the world by or on behalf of the Government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46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right="280" w:hanging="436"/>
        <w:spacing w:after="0" w:line="277" w:lineRule="auto"/>
        <w:tabs>
          <w:tab w:leader="none" w:pos="440" w:val="left"/>
        </w:tabs>
        <w:numPr>
          <w:ilvl w:val="0"/>
          <w:numId w:val="75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40"/>
          </w:cols>
          <w:pgMar w:left="440" w:top="270" w:right="619" w:bottom="1440" w:gutter="0" w:footer="0" w:header="0"/>
        </w:sectPr>
      </w:pPr>
    </w:p>
    <w:bookmarkStart w:id="852" w:name="page853"/>
    <w:bookmarkEnd w:id="852"/>
    <w:p>
      <w:pPr>
        <w:ind w:left="10000"/>
        <w:spacing w:after="0"/>
        <w:rPr>
          <w:sz w:val="20"/>
          <w:szCs w:val="20"/>
          <w:color w:val="auto"/>
        </w:rPr>
      </w:pPr>
      <w:r>
        <w:rPr>
          <w:rFonts w:ascii="Arial" w:cs="Arial" w:eastAsia="Arial" w:hAnsi="Arial"/>
          <w:sz w:val="16"/>
          <w:szCs w:val="16"/>
          <w:b w:val="1"/>
          <w:bCs w:val="1"/>
          <w:color w:val="auto"/>
        </w:rPr>
        <w:t>Exhibit 10.18</w:t>
      </w:r>
    </w:p>
    <w:p>
      <w:pPr>
        <w:spacing w:after="0" w:line="24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(INDICATED BY ASTERISKS) HAS BEEN OMITTED AND FILED SEPARATELY WITH THE SECURITIES AND EXCHANGE COMMISSION PURSUANT TO A REQUEST FOR CONFIDENTIAL TREATMENT.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__,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Aerpio Pharmaceuticals, Inc., a Delaware corporation having business offices at 9987 Carver Road, Suite 420, Cincinnati, OH 45254 (“</w:t>
      </w:r>
      <w:r>
        <w:rPr>
          <w:rFonts w:ascii="Arial" w:cs="Arial" w:eastAsia="Arial" w:hAnsi="Arial"/>
          <w:sz w:val="18"/>
          <w:szCs w:val="18"/>
          <w:u w:val="single" w:color="auto"/>
          <w:color w:val="auto"/>
        </w:rPr>
        <w:t>Aerpio</w:t>
      </w:r>
      <w:r>
        <w:rPr>
          <w:rFonts w:ascii="Arial" w:cs="Arial" w:eastAsia="Arial" w:hAnsi="Arial"/>
          <w:sz w:val="18"/>
          <w:szCs w:val="18"/>
          <w:color w:val="auto"/>
        </w:rPr>
        <w:t>”), and GB004, Inc., a Delaware corporation having business offices at 3013 Science Park Road, Suite 200, San Diego, CA 92121 (“</w:t>
      </w:r>
      <w:r>
        <w:rPr>
          <w:rFonts w:ascii="Arial" w:cs="Arial" w:eastAsia="Arial" w:hAnsi="Arial"/>
          <w:sz w:val="18"/>
          <w:szCs w:val="18"/>
          <w:u w:val="single" w:color="auto"/>
          <w:color w:val="auto"/>
        </w:rPr>
        <w:t>Licensee</w:t>
      </w:r>
      <w:r>
        <w:rPr>
          <w:rFonts w:ascii="Arial" w:cs="Arial" w:eastAsia="Arial" w:hAnsi="Arial"/>
          <w:sz w:val="18"/>
          <w:szCs w:val="18"/>
          <w:color w:val="auto"/>
        </w:rPr>
        <w:t>”). Aerpio and Licensee are sometimes hereinafter referred to each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WHEREAS, Aerpio has been engaged in the development of AKB-4924, a compound that binds to HIF prolyl hydroxylase resulting in HIF stabilization, and controls certain patent rights and know-how with respect thereto;</w:t>
      </w:r>
    </w:p>
    <w:p>
      <w:pPr>
        <w:spacing w:after="0" w:line="170"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WHEREAS, Licensee desires to obtain exclusive rights under the Aerpio Patent Rights and Aerpio Know-How in order to continue the development thereof and products containing same; and</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WHEREAS, the Parties desire to enter into an agreement pursuant to which Aerpio will grant an exclusive license to Licensee under the Aerpio Patent Rights and Aerpio Know-How for Licensee to develop, manufacture and commercialize the Licensed Compound and Licensed Products for initially the indications of induction and maintenance in ulcerative colitis and the induction and maintenance in Crohn’s Disease, all on the terms set forth below.</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the Parties hereby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purpose of this Agreement, the following terms and phrases (and cognates) will have the meanings set forth below:</w:t>
      </w:r>
    </w:p>
    <w:p>
      <w:pPr>
        <w:spacing w:after="0" w:line="117"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Accounting Standards</w:t>
      </w:r>
      <w:r>
        <w:rPr>
          <w:rFonts w:ascii="Arial" w:cs="Arial" w:eastAsia="Arial" w:hAnsi="Arial"/>
          <w:sz w:val="18"/>
          <w:szCs w:val="18"/>
          <w:color w:val="auto"/>
        </w:rPr>
        <w:t>” means generally accepted accounting principles as practiced in the United States or IFRS (International Financial Reporting Standards), in each case, consistently applied.</w:t>
      </w:r>
    </w:p>
    <w:p>
      <w:pPr>
        <w:spacing w:after="0" w:line="62"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Aerpio In-License</w:t>
      </w:r>
      <w:r>
        <w:rPr>
          <w:rFonts w:ascii="Arial" w:cs="Arial" w:eastAsia="Arial" w:hAnsi="Arial"/>
          <w:sz w:val="18"/>
          <w:szCs w:val="18"/>
          <w:color w:val="auto"/>
        </w:rPr>
        <w:t>” means the Non-Exclusive License Agreement by and between Aerpio and The Regents of the University of Colorado (the “</w:t>
      </w:r>
      <w:r>
        <w:rPr>
          <w:rFonts w:ascii="Arial" w:cs="Arial" w:eastAsia="Arial" w:hAnsi="Arial"/>
          <w:sz w:val="18"/>
          <w:szCs w:val="18"/>
          <w:u w:val="single" w:color="auto"/>
          <w:color w:val="auto"/>
        </w:rPr>
        <w:t>UC Regents</w:t>
      </w:r>
      <w:r>
        <w:rPr>
          <w:rFonts w:ascii="Arial" w:cs="Arial" w:eastAsia="Arial" w:hAnsi="Arial"/>
          <w:sz w:val="18"/>
          <w:szCs w:val="18"/>
          <w:color w:val="auto"/>
        </w:rPr>
        <w:t>”), dated November 1, 2016, as amended or restated from time to time. A copy of the Aerpio In-License is attached hereto as Exhibit F.</w:t>
      </w:r>
    </w:p>
    <w:p>
      <w:pPr>
        <w:spacing w:after="0" w:line="73"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Aerpio Know-How</w:t>
      </w:r>
      <w:r>
        <w:rPr>
          <w:rFonts w:ascii="Arial" w:cs="Arial" w:eastAsia="Arial" w:hAnsi="Arial"/>
          <w:sz w:val="18"/>
          <w:szCs w:val="18"/>
          <w:color w:val="auto"/>
        </w:rPr>
        <w:t>” means all Know-How, existing as of the Effective Date or disclosed by Aerpio to the Licensee during Term, Controlled by Aerpio or any of its Affiliates, that is necessary or useful for the research, manufacture, use, sale, offer for sale, importation, development or commercialization of the Licensed Compound or any Licensed Products for use in the Territory in the Field.</w:t>
      </w:r>
    </w:p>
    <w:p>
      <w:pPr>
        <w:spacing w:after="0" w:line="73" w:lineRule="exact"/>
        <w:rPr>
          <w:sz w:val="20"/>
          <w:szCs w:val="20"/>
          <w:color w:val="auto"/>
        </w:rPr>
      </w:pPr>
    </w:p>
    <w:p>
      <w:pPr>
        <w:ind w:right="160" w:firstLine="881"/>
        <w:spacing w:after="0" w:line="254"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Aerpio Patent Rights</w:t>
      </w:r>
      <w:r>
        <w:rPr>
          <w:rFonts w:ascii="Arial" w:cs="Arial" w:eastAsia="Arial" w:hAnsi="Arial"/>
          <w:sz w:val="18"/>
          <w:szCs w:val="18"/>
          <w:color w:val="auto"/>
        </w:rPr>
        <w:t>” means (a) the patents and patent applications listed in Exhibit A attached hereto and any other patents, patent applications and other patent rights, Controlled by Aerpio or any of its Affiliates, that Cover any Aerpio Know-How, plus (i) all divisionals, continuations, continuations-in-part thereof or any other patent rights claiming priority directly or indirectly to any of the patents or patent applications identified on Exhibit A, and (ii) all patents issuing on any of the foregoing, together with all registrations, re-issues, re-examinations, renewals, supplemental protection certificates and extensions of any of the foregoing, and all foreign counterparts thereof (under this clause (a), collectively, the “</w:t>
      </w:r>
      <w:r>
        <w:rPr>
          <w:rFonts w:ascii="Arial" w:cs="Arial" w:eastAsia="Arial" w:hAnsi="Arial"/>
          <w:sz w:val="18"/>
          <w:szCs w:val="18"/>
          <w:u w:val="single" w:color="auto"/>
          <w:color w:val="auto"/>
        </w:rPr>
        <w:t>Aerpio Core Patent Rights</w:t>
      </w:r>
      <w:r>
        <w:rPr>
          <w:rFonts w:ascii="Arial" w:cs="Arial" w:eastAsia="Arial" w:hAnsi="Arial"/>
          <w:sz w:val="18"/>
          <w:szCs w:val="18"/>
          <w:color w:val="auto"/>
        </w:rPr>
        <w:t>”), (b) any other patents, patent applications and other patent rights, existing as of the Effective Date, Controlled by Aerpio or any of its Affiliates, that are necessary for the manufacture, use, sale, offer for sale or importation of the Licensed Compound or Licensed Products for use in the Territory in the Field.</w:t>
      </w:r>
    </w:p>
    <w:p>
      <w:pPr>
        <w:sectPr>
          <w:pgSz w:w="11900" w:h="16838" w:orient="portrait"/>
          <w:cols w:equalWidth="0" w:num="1">
            <w:col w:w="11020"/>
          </w:cols>
          <w:pgMar w:left="440" w:top="122" w:right="439" w:bottom="1440" w:gutter="0" w:footer="0" w:header="0"/>
        </w:sectPr>
      </w:pPr>
    </w:p>
    <w:bookmarkStart w:id="853" w:name="page854"/>
    <w:bookmarkEnd w:id="853"/>
    <w:p>
      <w:pP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(INDICATED BY ASTERISKS) HAS BEEN OMITTED AND FILED SEPARATELY WITH THE SECURITIES AND EXCHANGE COMMISSION PURSUANT TO A REQUEST FOR CONFIDENTIAL TREATMENT.</w:t>
      </w:r>
    </w:p>
    <w:p>
      <w:pPr>
        <w:spacing w:after="0" w:line="72"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or entity means any other person or entity which (directly or indirectly) is controlled by, controls or is under common control with such first person or entity. For the purposes of this definition, the term “control” (including, with correlative meanings, the terms “controlled by” and “under common control with”) as used with respect to any entity means (a) in the case of a corporate entity, direct or indirect ownership of voting securities entitled to cast at least fifty percent (50%) of the votes in the election of directors or (b) in the case of a non-corporate entity, direct or indirect ownership of at least fifty percent (50%), including ownership by trusts with substantially the same beneficial interest, of the equity interests with the power to direct the management and policies of such entity, provided that if local law restricts foreign ownership, control will be established by direct or indirect ownership of the maximum ownership percentage that may, under such local law, be owned by foreign interests.</w:t>
      </w:r>
    </w:p>
    <w:p>
      <w:pPr>
        <w:spacing w:after="0" w:line="5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 Party, in one transaction or a series of related transactions, the merger, consolidation, reorganization, business combination, sale of all (or substantially all) of the capital stock (or other equity interests) or assets, the change in voting control (that is, when the equity or other security holders of such Party or Affiliate immediately preceding such transaction(s) hold less than fifty percent (50%) of the outstanding equity or other securities, or less than fifty percent (50%) of the outstanding voting power, respectively, of the ultimate company or entity resulting from such transaction(s) immediately after consummation thereof), liquidation or dissolution, the license, sublicense, sale, assignment or other transfer of all or substantially all of such Party’s business or assets to which this Agreement relates, or any other form of acquisition or liquidity event for such Party.</w:t>
      </w:r>
    </w:p>
    <w:p>
      <w:pPr>
        <w:spacing w:after="0" w:line="8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with respect to the Licensed Compound or any Licensed Product, that level of efforts and resources commonly dedicated in the pharmaceutical industry by [***].</w:t>
      </w:r>
    </w:p>
    <w:p>
      <w:pPr>
        <w:spacing w:after="0" w:line="62"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Commercialization Budget</w:t>
      </w:r>
      <w:r>
        <w:rPr>
          <w:rFonts w:ascii="Arial" w:cs="Arial" w:eastAsia="Arial" w:hAnsi="Arial"/>
          <w:sz w:val="18"/>
          <w:szCs w:val="18"/>
          <w:color w:val="auto"/>
        </w:rPr>
        <w:t>” means the budget for conducting commercialization of any Licensed Product for use in the Territory and in the Field pursuant to the Commercialization Plan during a given calendar year and [***].</w:t>
      </w:r>
    </w:p>
    <w:p>
      <w:pPr>
        <w:spacing w:after="0" w:line="62" w:lineRule="exact"/>
        <w:rPr>
          <w:sz w:val="20"/>
          <w:szCs w:val="20"/>
          <w:color w:val="auto"/>
        </w:rPr>
      </w:pPr>
    </w:p>
    <w:p>
      <w:pPr>
        <w:ind w:right="620" w:firstLine="881"/>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means the plan setting forth the activities and timelines relating to the commercialization (and related manufacturing) of any Licensed Product for use in the Territory and in the Field during a given calendar year and the [***], including the Commercialization Budget and annual Net Sales forecasts for the Territory.</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Competitive Infringement</w:t>
      </w:r>
      <w:r>
        <w:rPr>
          <w:rFonts w:ascii="Arial" w:cs="Arial" w:eastAsia="Arial" w:hAnsi="Arial"/>
          <w:sz w:val="17"/>
          <w:szCs w:val="17"/>
          <w:color w:val="auto"/>
        </w:rPr>
        <w:t>” means any allegedly infringing activity with respect to an Aerpio Core Patent Right, which activity</w:t>
      </w:r>
    </w:p>
    <w:p>
      <w:pPr>
        <w:spacing w:after="0" w:line="35" w:lineRule="exact"/>
        <w:rPr>
          <w:sz w:val="20"/>
          <w:szCs w:val="20"/>
          <w:color w:val="auto"/>
        </w:rPr>
      </w:pPr>
    </w:p>
    <w:p>
      <w:pPr>
        <w:ind w:right="280" w:firstLine="4"/>
        <w:spacing w:after="0" w:line="261" w:lineRule="auto"/>
        <w:tabs>
          <w:tab w:leader="none" w:pos="215" w:val="left"/>
        </w:tabs>
        <w:numPr>
          <w:ilvl w:val="0"/>
          <w:numId w:val="759"/>
        </w:numPr>
        <w:rPr>
          <w:rFonts w:ascii="Arial" w:cs="Arial" w:eastAsia="Arial" w:hAnsi="Arial"/>
          <w:sz w:val="18"/>
          <w:szCs w:val="18"/>
          <w:color w:val="auto"/>
        </w:rPr>
      </w:pPr>
      <w:r>
        <w:rPr>
          <w:rFonts w:ascii="Arial" w:cs="Arial" w:eastAsia="Arial" w:hAnsi="Arial"/>
          <w:sz w:val="18"/>
          <w:szCs w:val="18"/>
          <w:color w:val="auto"/>
        </w:rPr>
        <w:t>falls within the scope then in effect of the license granted by Aerpio to Licensee in Section 5.1(a) and (ii) is reasonably expected to reduce the Net Sales of any Licensed Product then being commercialized.</w:t>
      </w:r>
    </w:p>
    <w:p>
      <w:pPr>
        <w:spacing w:after="0" w:line="76"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Know-How, marketing plans, strategies and customer lists, and other non-public information or material that are disclosed or provided by a Party or its Affiliates to the other Party or its Affiliates, regardless of whether any of the foregoing are marked “confidential” or “proprietary” or communicated to the other by the disclosing Party or its Affiliates in oral, written, graphic, or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946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460" w:hanging="436"/>
        <w:spacing w:after="0" w:line="277" w:lineRule="auto"/>
        <w:tabs>
          <w:tab w:leader="none" w:pos="440" w:val="left"/>
        </w:tabs>
        <w:numPr>
          <w:ilvl w:val="0"/>
          <w:numId w:val="76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854" w:name="page855"/>
    <w:bookmarkEnd w:id="854"/>
    <w:p>
      <w:pPr>
        <w:ind w:right="16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Bilateral Confidential and Non-Disclosure Agreement, dated August 4, 2017, by and between Aerpio and Licensee d/b/a FSG Bio Inc.</w:t>
      </w:r>
    </w:p>
    <w:p>
      <w:pPr>
        <w:spacing w:after="0" w:line="62"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patent right, Know-How, or other intellectual property right, the possession (whether by ownership or license, other than by a license or sublicense granted pursuant to this Agreement) by a Party or its Affiliates of the ability to grant to the other Party a license or access as provided herein to such item, without violating the terms of any agreement or other arrangement with any Third Party or, except for the Aerpio In-License or any patents or patent applications or other intellectual property Covering Aerpio Know-How, being obligated to pay any royalties or other consideration therefor, in existence as of the time such Party or its Affiliates would first be required hereunder to grant the other Party such license or access.</w:t>
      </w:r>
    </w:p>
    <w:p>
      <w:pPr>
        <w:spacing w:after="0" w:line="85"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Cover</w:t>
      </w:r>
      <w:r>
        <w:rPr>
          <w:rFonts w:ascii="Arial" w:cs="Arial" w:eastAsia="Arial" w:hAnsi="Arial"/>
          <w:sz w:val="18"/>
          <w:szCs w:val="18"/>
          <w:color w:val="auto"/>
        </w:rPr>
        <w:t>”, “</w:t>
      </w:r>
      <w:r>
        <w:rPr>
          <w:rFonts w:ascii="Arial" w:cs="Arial" w:eastAsia="Arial" w:hAnsi="Arial"/>
          <w:sz w:val="18"/>
          <w:szCs w:val="18"/>
          <w:u w:val="single" w:color="auto"/>
          <w:color w:val="auto"/>
        </w:rPr>
        <w:t>Covered</w:t>
      </w:r>
      <w:r>
        <w:rPr>
          <w:rFonts w:ascii="Arial" w:cs="Arial" w:eastAsia="Arial" w:hAnsi="Arial"/>
          <w:sz w:val="18"/>
          <w:szCs w:val="18"/>
          <w:color w:val="auto"/>
        </w:rPr>
        <w:t>” or “</w:t>
      </w:r>
      <w:r>
        <w:rPr>
          <w:rFonts w:ascii="Arial" w:cs="Arial" w:eastAsia="Arial" w:hAnsi="Arial"/>
          <w:sz w:val="18"/>
          <w:szCs w:val="18"/>
          <w:u w:val="single" w:color="auto"/>
          <w:color w:val="auto"/>
        </w:rPr>
        <w:t>Covering</w:t>
      </w:r>
      <w:r>
        <w:rPr>
          <w:rFonts w:ascii="Arial" w:cs="Arial" w:eastAsia="Arial" w:hAnsi="Arial"/>
          <w:sz w:val="18"/>
          <w:szCs w:val="18"/>
          <w:color w:val="auto"/>
        </w:rPr>
        <w:t>” means, with respect to a particular compound, product or service and a particular issued patent or patent application, that, but for rights granted hereunder, the making, using, importing, offering for sale or selling of such product or service would infringe a Valid Claim in such patent (or patent application, as if such claim has issued).</w:t>
      </w:r>
    </w:p>
    <w:p>
      <w:pPr>
        <w:spacing w:after="0" w:line="73"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Development Budget</w:t>
      </w:r>
      <w:r>
        <w:rPr>
          <w:rFonts w:ascii="Arial" w:cs="Arial" w:eastAsia="Arial" w:hAnsi="Arial"/>
          <w:sz w:val="18"/>
          <w:szCs w:val="18"/>
          <w:color w:val="auto"/>
        </w:rPr>
        <w:t>” means a budget for conducting development pursuant to each Development Plan (a) during a given calendar year and [</w:t>
      </w:r>
      <w:r>
        <w:rPr>
          <w:rFonts w:ascii="Arial" w:cs="Arial" w:eastAsia="Arial" w:hAnsi="Arial"/>
          <w:sz w:val="15"/>
          <w:szCs w:val="15"/>
          <w:color w:val="auto"/>
        </w:rPr>
        <w:t>***</w:t>
      </w:r>
      <w:r>
        <w:rPr>
          <w:rFonts w:ascii="Arial" w:cs="Arial" w:eastAsia="Arial" w:hAnsi="Arial"/>
          <w:sz w:val="18"/>
          <w:szCs w:val="18"/>
          <w:color w:val="auto"/>
        </w:rPr>
        <w:t>] and (b) an overall estimate of the budget required for obtaining a first Regulatory Approval of a first Licensed Product for the Indication of such Development Plan.</w:t>
      </w:r>
    </w:p>
    <w:p>
      <w:pPr>
        <w:spacing w:after="0" w:line="73"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Development Plan(s)</w:t>
      </w:r>
      <w:r>
        <w:rPr>
          <w:rFonts w:ascii="Arial" w:cs="Arial" w:eastAsia="Arial" w:hAnsi="Arial"/>
          <w:sz w:val="18"/>
          <w:szCs w:val="18"/>
          <w:color w:val="auto"/>
        </w:rPr>
        <w:t>” means, on an Indication-by-Indication basis, the plan setting forth the activities and timelines relating to the development (and related manufacturing) of the Licensed Compound and Licensed Products in all countries of the Territory for such Indication. An initial draft of each Development Plan for the each of the Initial Indications, as well as any other Indications contemplated for use in the Territory as of the Effective Date, is set forth on Exhibit B-1.</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and any successor agency thereto.</w:t>
      </w:r>
    </w:p>
    <w:p>
      <w:pPr>
        <w:spacing w:after="0" w:line="117"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European Union</w:t>
      </w:r>
      <w:r>
        <w:rPr>
          <w:rFonts w:ascii="Arial" w:cs="Arial" w:eastAsia="Arial" w:hAnsi="Arial"/>
          <w:sz w:val="18"/>
          <w:szCs w:val="18"/>
          <w:color w:val="auto"/>
        </w:rPr>
        <w:t>” or “</w:t>
      </w:r>
      <w:r>
        <w:rPr>
          <w:rFonts w:ascii="Arial" w:cs="Arial" w:eastAsia="Arial" w:hAnsi="Arial"/>
          <w:sz w:val="18"/>
          <w:szCs w:val="18"/>
          <w:u w:val="single" w:color="auto"/>
          <w:color w:val="auto"/>
        </w:rPr>
        <w:t>EU</w:t>
      </w:r>
      <w:r>
        <w:rPr>
          <w:rFonts w:ascii="Arial" w:cs="Arial" w:eastAsia="Arial" w:hAnsi="Arial"/>
          <w:sz w:val="18"/>
          <w:szCs w:val="18"/>
          <w:color w:val="auto"/>
        </w:rPr>
        <w:t>” means the countries of the European Economic Area, as it is constituted on the Effective Date, and as it may be expanded from time to time after the Effective Date.</w:t>
      </w:r>
    </w:p>
    <w:p>
      <w:pPr>
        <w:spacing w:after="0" w:line="62"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Executive Officers</w:t>
      </w:r>
      <w:r>
        <w:rPr>
          <w:rFonts w:ascii="Arial" w:cs="Arial" w:eastAsia="Arial" w:hAnsi="Arial"/>
          <w:sz w:val="18"/>
          <w:szCs w:val="18"/>
          <w:color w:val="auto"/>
        </w:rPr>
        <w:t>” means (a) for Aerpio, the Chief Executive Officer (or a senior executive officer of Aerpio designated by the Chief Executive Officer), and (b) for Licensee, the Chief Executive Officer of Licensee. In the event that the position of any of the Executive Officers identified in this Section 1.19 no longer exists due to a corporate reorganization, corporate restructuring or the like that results in the elimination of the identified position, the applicable Executive Officer will be replaced with another executive officer with responsibilities and seniority comparable to the eliminated Executive Officer.</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FD&amp;C Act</w:t>
      </w:r>
      <w:r>
        <w:rPr>
          <w:rFonts w:ascii="Arial" w:cs="Arial" w:eastAsia="Arial" w:hAnsi="Arial"/>
          <w:sz w:val="18"/>
          <w:szCs w:val="18"/>
          <w:color w:val="auto"/>
        </w:rPr>
        <w:t>” means the United States Federal Food, Drug and Cosmetic Act, as amended.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agency thereto.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Field</w:t>
      </w:r>
      <w:r>
        <w:rPr>
          <w:rFonts w:ascii="Arial" w:cs="Arial" w:eastAsia="Arial" w:hAnsi="Arial"/>
          <w:sz w:val="18"/>
          <w:szCs w:val="18"/>
          <w:color w:val="auto"/>
        </w:rPr>
        <w:t>” means all applications.</w:t>
      </w:r>
    </w:p>
    <w:p>
      <w:pPr>
        <w:spacing w:after="0" w:line="117"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means, with respect to any Licensed Product in a given country or region in the Territory, the first sale of such Licensed Product in such country or region (whether or not any pricing or reimbursement approvals or decisions have occurred); provided that sales for clinical studies purposes or compassionate or similar use will not be considered to constitute a First Commercial Sale. For clarity, First Commercial Sale will be determined on a Licensed Product-by-Licensed Product and country-by-country (or region-by-region) basis,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6946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29" w:lineRule="exact"/>
        <w:rPr>
          <w:sz w:val="20"/>
          <w:szCs w:val="20"/>
          <w:color w:val="auto"/>
        </w:rPr>
      </w:pPr>
    </w:p>
    <w:p>
      <w:pPr>
        <w:ind w:left="440" w:right="440" w:hanging="436"/>
        <w:spacing w:after="0" w:line="277" w:lineRule="auto"/>
        <w:tabs>
          <w:tab w:leader="none" w:pos="440" w:val="left"/>
        </w:tabs>
        <w:numPr>
          <w:ilvl w:val="0"/>
          <w:numId w:val="76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855" w:name="page856"/>
    <w:bookmarkEnd w:id="8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1.24 “</w:t>
      </w:r>
      <w:r>
        <w:rPr>
          <w:rFonts w:ascii="Arial" w:cs="Arial" w:eastAsia="Arial" w:hAnsi="Arial"/>
          <w:sz w:val="18"/>
          <w:szCs w:val="18"/>
          <w:u w:val="single" w:color="auto"/>
          <w:color w:val="auto"/>
        </w:rPr>
        <w:t>Generic Product</w:t>
      </w:r>
      <w:r>
        <w:rPr>
          <w:rFonts w:ascii="Arial" w:cs="Arial" w:eastAsia="Arial" w:hAnsi="Arial"/>
          <w:sz w:val="18"/>
          <w:szCs w:val="18"/>
          <w:color w:val="auto"/>
        </w:rPr>
        <w:t>” means, with respect to a particular Licensed Product in a country, a generic pharmaceutical product that:</w:t>
      </w:r>
    </w:p>
    <w:p>
      <w:pPr>
        <w:spacing w:after="0" w:line="23" w:lineRule="exact"/>
        <w:rPr>
          <w:sz w:val="20"/>
          <w:szCs w:val="20"/>
          <w:color w:val="auto"/>
        </w:rPr>
      </w:pPr>
    </w:p>
    <w:p>
      <w:pPr>
        <w:ind w:firstLine="4"/>
        <w:spacing w:after="0" w:line="270" w:lineRule="auto"/>
        <w:tabs>
          <w:tab w:leader="none" w:pos="245" w:val="left"/>
        </w:tabs>
        <w:numPr>
          <w:ilvl w:val="0"/>
          <w:numId w:val="762"/>
        </w:numPr>
        <w:rPr>
          <w:rFonts w:ascii="Arial" w:cs="Arial" w:eastAsia="Arial" w:hAnsi="Arial"/>
          <w:sz w:val="17"/>
          <w:szCs w:val="17"/>
          <w:color w:val="auto"/>
        </w:rPr>
      </w:pPr>
      <w:r>
        <w:rPr>
          <w:rFonts w:ascii="Arial" w:cs="Arial" w:eastAsia="Arial" w:hAnsi="Arial"/>
          <w:sz w:val="17"/>
          <w:szCs w:val="17"/>
          <w:color w:val="auto"/>
        </w:rPr>
        <w:t>contains the same active ingredient as the Licensed Compound in the same chemical form as in such Licensed Product; and (b) is approved for use in such country by a Regulatory Authority through an Abbreviated New Drug Application as defined in the FD&amp;C Act, pursuant to Article 10.1 of Directive 2001/83/EC of the European Parliament and Council of 6 November 2001, or any enabling legislation thereof, or pursuant to any similar abbreviated route of approval in any other countries in the Territory; or (c) (i) contains the same active ingredient as the Licensed Compound in such Licensed Product; and (ii) is approved for use in such country by a Regulatory Authority through a regulatory pathway referencing clinical data first submitted by Licensee or its Affiliates or Sublicensees for obtaining Regulatory Approval for such Licensed Product.</w:t>
      </w:r>
    </w:p>
    <w:p>
      <w:pPr>
        <w:spacing w:after="0" w:line="71"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79" w:lineRule="exact"/>
        <w:rPr>
          <w:sz w:val="20"/>
          <w:szCs w:val="20"/>
          <w:color w:val="auto"/>
        </w:rPr>
      </w:pPr>
    </w:p>
    <w:p>
      <w:pPr>
        <w:ind w:right="320" w:firstLine="881"/>
        <w:spacing w:after="0" w:line="264"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clinical study application, clinical trial exemption, or similar application or submission for approval to conduct human clinical investigations filed with or submitted to a Regulatory Authority in conformance with the requirements of such Regulatory Authority.</w:t>
      </w:r>
    </w:p>
    <w:p>
      <w:pPr>
        <w:spacing w:after="0" w:line="73"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Indication</w:t>
      </w:r>
      <w:r>
        <w:rPr>
          <w:rFonts w:ascii="Arial" w:cs="Arial" w:eastAsia="Arial" w:hAnsi="Arial"/>
          <w:sz w:val="18"/>
          <w:szCs w:val="18"/>
          <w:color w:val="auto"/>
        </w:rPr>
        <w:t>” means an application for a label or label expansion indicating the applicable drug for an initial, expanded or additional patient population, or indicating the drug for use in combination with another treatment or drug, in each case that requires a new Pivotal Clinical Trial for Regulatory Approval for such label or label expansion. It is understood and agreed that, notwithstanding anything herein to the contrary, each of the Initial Indications will be treated as separate Indications hereunder for all purposes.</w:t>
      </w:r>
    </w:p>
    <w:p>
      <w:pPr>
        <w:spacing w:after="0" w:line="79" w:lineRule="exact"/>
        <w:rPr>
          <w:sz w:val="20"/>
          <w:szCs w:val="20"/>
          <w:color w:val="auto"/>
        </w:rPr>
      </w:pPr>
    </w:p>
    <w:p>
      <w:pPr>
        <w:jc w:val="both"/>
        <w:ind w:right="140" w:firstLine="881"/>
        <w:spacing w:after="0" w:line="264"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Initial Indications</w:t>
      </w:r>
      <w:r>
        <w:rPr>
          <w:rFonts w:ascii="Arial" w:cs="Arial" w:eastAsia="Arial" w:hAnsi="Arial"/>
          <w:sz w:val="18"/>
          <w:szCs w:val="18"/>
          <w:color w:val="auto"/>
        </w:rPr>
        <w:t>” means each of the following Indications: (i) induction and maintenance in ulcerative colitis (or similar Indication solely related to inflammatory bowel disease (“</w:t>
      </w:r>
      <w:r>
        <w:rPr>
          <w:rFonts w:ascii="Arial" w:cs="Arial" w:eastAsia="Arial" w:hAnsi="Arial"/>
          <w:sz w:val="18"/>
          <w:szCs w:val="18"/>
          <w:u w:val="single" w:color="auto"/>
          <w:color w:val="auto"/>
        </w:rPr>
        <w:t>IBD</w:t>
      </w:r>
      <w:r>
        <w:rPr>
          <w:rFonts w:ascii="Arial" w:cs="Arial" w:eastAsia="Arial" w:hAnsi="Arial"/>
          <w:sz w:val="18"/>
          <w:szCs w:val="18"/>
          <w:color w:val="auto"/>
        </w:rPr>
        <w:t>”)), (ii) induction and maintenance in Crohn’s Disease (or similar Indication solely related to IBD), and (iii) any other Indication for which a Development Plan is attached to this Agreement as of the Effective Date.</w:t>
      </w:r>
    </w:p>
    <w:p>
      <w:pPr>
        <w:spacing w:after="0" w:line="73"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Know-How</w:t>
      </w:r>
      <w:r>
        <w:rPr>
          <w:rFonts w:ascii="Arial" w:cs="Arial" w:eastAsia="Arial" w:hAnsi="Arial"/>
          <w:sz w:val="18"/>
          <w:szCs w:val="18"/>
          <w:color w:val="auto"/>
        </w:rPr>
        <w:t>” means know-how, trade secrets, chemical and biological materials, formulations, information, documents, studies, results, data and regulatory approvals, data (including from clinical studies), filings and correspondence, including biological, chemical, pharmacological, toxicological, pre-clinical, clinical and assay data, manufacturing processes and data, specifications, sourcing information, assays, and quality control and testing procedures, whether or not patented or patentable.</w:t>
      </w:r>
    </w:p>
    <w:p>
      <w:pPr>
        <w:spacing w:after="0" w:line="7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provincial, local, international or multinational law, statute, standard, ordinance, code, rule, regulation, resolution or 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w:t>
      </w:r>
    </w:p>
    <w:p>
      <w:pPr>
        <w:spacing w:after="0" w:line="79"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Licensed Compound</w:t>
      </w:r>
      <w:r>
        <w:rPr>
          <w:rFonts w:ascii="Arial" w:cs="Arial" w:eastAsia="Arial" w:hAnsi="Arial"/>
          <w:sz w:val="18"/>
          <w:szCs w:val="18"/>
          <w:color w:val="auto"/>
        </w:rPr>
        <w:t>” means the compound known as AKB-4924, as further described on Exhibit C, and any solvates (including hydrates), salts, prodrugs, metabolites, acid forms, base forms, polymorphs and crystalline forms thereof.</w:t>
      </w:r>
    </w:p>
    <w:p>
      <w:pPr>
        <w:spacing w:after="0" w:line="62"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any pharmaceutical product containing either (a) the Licensed Compound or (b) any other compound that is an active pharmaceutical ingredient whose composition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56" w:name="page857"/>
    <w:bookmarkEnd w:id="856"/>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matter is Covered by the Aerpio Core Patent Rights in each case ((a) and (b)), alone or with other active ingredients, and in all forms, presentations, formulations and dosage forms.</w:t>
      </w:r>
    </w:p>
    <w:p>
      <w:pPr>
        <w:spacing w:after="0" w:line="62"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Licensee Patent Rights</w:t>
      </w:r>
      <w:r>
        <w:rPr>
          <w:rFonts w:ascii="Arial" w:cs="Arial" w:eastAsia="Arial" w:hAnsi="Arial"/>
          <w:sz w:val="18"/>
          <w:szCs w:val="18"/>
          <w:color w:val="auto"/>
        </w:rPr>
        <w:t>” means all patents, patent applications and other patent rights, existing as of the Effective Date or arising during the Term, owned or in-licensed by Licensee or any of its Affiliates as of the Effective Date or during the Term, that have a Valid Claim directed to and Covering [***].</w:t>
      </w:r>
    </w:p>
    <w:p>
      <w:pPr>
        <w:spacing w:after="0" w:line="73"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MAA</w:t>
      </w:r>
      <w:r>
        <w:rPr>
          <w:rFonts w:ascii="Arial" w:cs="Arial" w:eastAsia="Arial" w:hAnsi="Arial"/>
          <w:sz w:val="18"/>
          <w:szCs w:val="18"/>
          <w:color w:val="auto"/>
        </w:rPr>
        <w:t>” means (a) a marketing authorization application filed with (i) the EMA under the centralized EMA filing procedure or (ii) a Regulatory Authority in any country of the EU if the centralized EMA filing procedure is not used or (b) any other equivalent or related regulatory submission, in either case to gain approval to market a Licensed Product in any country in the European Union, in each case including, for clarity, amendments thereto and supplemental applications.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any of the United Kingdom, France, Germany, Italy or Spain.</w:t>
      </w:r>
    </w:p>
    <w:p>
      <w:pPr>
        <w:spacing w:after="0" w:line="117" w:lineRule="exact"/>
        <w:rPr>
          <w:sz w:val="20"/>
          <w:szCs w:val="20"/>
          <w:color w:val="auto"/>
        </w:rPr>
      </w:pPr>
    </w:p>
    <w:p>
      <w:pPr>
        <w:jc w:val="both"/>
        <w:ind w:right="340" w:firstLine="881"/>
        <w:spacing w:after="0" w:line="264"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filed with the FDA (including amendments and supplements thereto) to obtain Regulatory Approval in the United States, or any corresponding applications or submissions filed with the relevant Regulatory Authorities to obtain Regulatory Approvals in any other country or region in the Territory (including any MAA).</w:t>
      </w:r>
    </w:p>
    <w:p>
      <w:pPr>
        <w:spacing w:after="0" w:line="73"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Licensed Product, the gross amounts invoiced on sales of such Licensed Product by Licensee or any of its Affiliates or Sublicensees to a Third Party, less the following customary deductions, determined in accordance with the Accounting Standards, to the extent specifically and solely allocated to the sale of such Licensed Product and actually taken, paid, accrued, allowed, or included in the gross sales prices with respect to such sales:</w:t>
      </w:r>
    </w:p>
    <w:p>
      <w:pPr>
        <w:spacing w:after="0" w:line="79" w:lineRule="exact"/>
        <w:rPr>
          <w:sz w:val="20"/>
          <w:szCs w:val="20"/>
          <w:color w:val="auto"/>
        </w:rPr>
      </w:pPr>
    </w:p>
    <w:p>
      <w:pPr>
        <w:ind w:left="1140" w:hanging="255"/>
        <w:spacing w:after="0"/>
        <w:tabs>
          <w:tab w:leader="none" w:pos="11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20" w:hanging="235"/>
        <w:spacing w:after="0"/>
        <w:tabs>
          <w:tab w:leader="none" w:pos="112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right="40" w:firstLine="881"/>
        <w:spacing w:after="0" w:line="289"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u w:val="single" w:color="auto"/>
          <w:color w:val="auto"/>
        </w:rPr>
        <w:t>Patent Challenge</w:t>
      </w:r>
      <w:r>
        <w:rPr>
          <w:rFonts w:ascii="Arial" w:cs="Arial" w:eastAsia="Arial" w:hAnsi="Arial"/>
          <w:sz w:val="16"/>
          <w:szCs w:val="16"/>
          <w:color w:val="auto"/>
        </w:rPr>
        <w:t>” means any challenge to the patentability, validity or enforceability of any of the Aerpio Patent Rights (or any claim thereof), including by: (a) filing or pursuing a declaratory judgment action in which any of the Aerpio Patent Rights is alleged to be invalid or unenforceable; (b) citing prior art against any of the Aerpio Patent Rights, filing a request for or pursuing a re-examination of any of the Aerpio Patent Rights, or becoming a party to or pursuing an interference; or (c) filing or pursuing any re-examination, opposition, cancellation, nullity or other like proceedings against any of the Aerpio Patent Rights. Notwithstanding the foregoing, any of the following situations shall not be deemed to be a Patent Challenge: (i) any proceeding involving any Aerpio Patent Rights where Licensee, an Affiliate or Sublicensee has been compelled to participate in, or has been involuntarily drawn into, the proceeding by a court, patent office or third party, (ii) routine patent office prosecution where Licensee, an Affiliate or Sublicensee is prosecuting its own patent rights, and (iii) any situation where Aerpio or its Affiliates assert or file a patent infringement action against Licensee, an Affiliate or Sublicensee under any Aerpio Patent Right outside of the scope of the license grant set forth in Section 5.1(a).</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1.39 “</w:t>
      </w:r>
      <w:r>
        <w:rPr>
          <w:rFonts w:ascii="Arial" w:cs="Arial" w:eastAsia="Arial" w:hAnsi="Arial"/>
          <w:sz w:val="17"/>
          <w:szCs w:val="17"/>
          <w:u w:val="single" w:color="auto"/>
          <w:color w:val="auto"/>
        </w:rPr>
        <w:t>Phase 1 Clinical Trial</w:t>
      </w:r>
      <w:r>
        <w:rPr>
          <w:rFonts w:ascii="Arial" w:cs="Arial" w:eastAsia="Arial" w:hAnsi="Arial"/>
          <w:sz w:val="17"/>
          <w:szCs w:val="17"/>
          <w:color w:val="auto"/>
        </w:rPr>
        <w:t>” means a human clinical trial of a Licensed Product that would satisfy the requirements of 21 C.F.R.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312.21(a), or a comparable clinical study prescribed by the relevant Regulatory Authority in a country other than the United States.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1.40 “</w:t>
      </w:r>
      <w:r>
        <w:rPr>
          <w:rFonts w:ascii="Arial" w:cs="Arial" w:eastAsia="Arial" w:hAnsi="Arial"/>
          <w:sz w:val="17"/>
          <w:szCs w:val="17"/>
          <w:u w:val="single" w:color="auto"/>
          <w:color w:val="auto"/>
        </w:rPr>
        <w:t>Phase 2 Clinical Trial</w:t>
      </w:r>
      <w:r>
        <w:rPr>
          <w:rFonts w:ascii="Arial" w:cs="Arial" w:eastAsia="Arial" w:hAnsi="Arial"/>
          <w:sz w:val="17"/>
          <w:szCs w:val="17"/>
          <w:color w:val="auto"/>
        </w:rPr>
        <w:t>” means a human clinical trial of a Licensed Product that would satisfy the requirements of 21 C.F.R.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312.21(b), or a comparable clinical study prescribed by the relevant Regulatory Authority in a country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46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85" w:lineRule="exact"/>
        <w:rPr>
          <w:sz w:val="20"/>
          <w:szCs w:val="20"/>
          <w:color w:val="auto"/>
        </w:rPr>
      </w:pPr>
    </w:p>
    <w:p>
      <w:pPr>
        <w:ind w:left="440" w:right="440" w:hanging="436"/>
        <w:spacing w:after="0" w:line="277" w:lineRule="auto"/>
        <w:tabs>
          <w:tab w:leader="none" w:pos="440" w:val="left"/>
        </w:tabs>
        <w:numPr>
          <w:ilvl w:val="0"/>
          <w:numId w:val="76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5" w:right="459" w:bottom="1440" w:gutter="0" w:footer="0" w:header="0"/>
        </w:sectPr>
      </w:pPr>
    </w:p>
    <w:bookmarkStart w:id="857" w:name="page858"/>
    <w:bookmarkEnd w:id="857"/>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 “</w:t>
      </w:r>
      <w:r>
        <w:rPr>
          <w:rFonts w:ascii="Arial" w:cs="Arial" w:eastAsia="Arial" w:hAnsi="Arial"/>
          <w:sz w:val="17"/>
          <w:szCs w:val="17"/>
          <w:u w:val="single" w:color="auto"/>
          <w:color w:val="auto"/>
        </w:rPr>
        <w:t>Phase 3 Clinical Trial</w:t>
      </w:r>
      <w:r>
        <w:rPr>
          <w:rFonts w:ascii="Arial" w:cs="Arial" w:eastAsia="Arial" w:hAnsi="Arial"/>
          <w:sz w:val="17"/>
          <w:szCs w:val="17"/>
          <w:color w:val="auto"/>
        </w:rPr>
        <w:t>” means a human clinical trial of a Licensed Product that would satisfy the requirements of 21 C.F.R.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312.21(c), or a comparable clinical study prescribed by the relevant Regulatory Authority in a country other than the United States.</w:t>
      </w:r>
    </w:p>
    <w:p>
      <w:pPr>
        <w:spacing w:after="0" w:line="103"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u w:val="single" w:color="auto"/>
          <w:color w:val="auto"/>
        </w:rPr>
        <w:t>Pivotal Clinical Trial</w:t>
      </w:r>
      <w:r>
        <w:rPr>
          <w:rFonts w:ascii="Arial" w:cs="Arial" w:eastAsia="Arial" w:hAnsi="Arial"/>
          <w:sz w:val="17"/>
          <w:szCs w:val="17"/>
          <w:color w:val="auto"/>
        </w:rPr>
        <w:t>” means a human clinical trial of a Licensed Product (a) intended to establish that such Licensed Product is safe and effective for its intended use and (b) intended to be sufficient for filing for a Regulatory Approval for such Licensed Product in patients having the disease or condition being studied, solely as evidenced by the acceptance for filing for a Regulatory Approval for such Licensed Product after completion of such clinical trial. For clarity, a Pivotal Clinical Trial is often referred to as a “label enabling” trial.</w:t>
      </w:r>
    </w:p>
    <w:p>
      <w:pPr>
        <w:spacing w:after="0" w:line="63"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Program Transaction</w:t>
      </w:r>
      <w:r>
        <w:rPr>
          <w:rFonts w:ascii="Arial" w:cs="Arial" w:eastAsia="Arial" w:hAnsi="Arial"/>
          <w:sz w:val="18"/>
          <w:szCs w:val="18"/>
          <w:color w:val="auto"/>
        </w:rPr>
        <w:t>” means a (a) Change of Control of Licensee or (b) Subsidiary/Parent Sale, excluding in each case an initial public offering of Licensee or its Affiliate, as applicable.</w:t>
      </w:r>
    </w:p>
    <w:p>
      <w:pPr>
        <w:spacing w:after="0" w:line="62"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u w:val="single" w:color="auto"/>
          <w:color w:val="auto"/>
        </w:rPr>
        <w:t>Prosecute</w:t>
      </w:r>
      <w:r>
        <w:rPr>
          <w:rFonts w:ascii="Arial" w:cs="Arial" w:eastAsia="Arial" w:hAnsi="Arial"/>
          <w:sz w:val="17"/>
          <w:szCs w:val="17"/>
          <w:color w:val="auto"/>
        </w:rPr>
        <w:t>”, “</w:t>
      </w:r>
      <w:r>
        <w:rPr>
          <w:rFonts w:ascii="Arial" w:cs="Arial" w:eastAsia="Arial" w:hAnsi="Arial"/>
          <w:sz w:val="17"/>
          <w:szCs w:val="17"/>
          <w:u w:val="single" w:color="auto"/>
          <w:color w:val="auto"/>
        </w:rPr>
        <w:t>Prosecution</w:t>
      </w:r>
      <w:r>
        <w:rPr>
          <w:rFonts w:ascii="Arial" w:cs="Arial" w:eastAsia="Arial" w:hAnsi="Arial"/>
          <w:sz w:val="17"/>
          <w:szCs w:val="17"/>
          <w:color w:val="auto"/>
        </w:rPr>
        <w:t>” or “</w:t>
      </w:r>
      <w:r>
        <w:rPr>
          <w:rFonts w:ascii="Arial" w:cs="Arial" w:eastAsia="Arial" w:hAnsi="Arial"/>
          <w:sz w:val="17"/>
          <w:szCs w:val="17"/>
          <w:u w:val="single" w:color="auto"/>
          <w:color w:val="auto"/>
        </w:rPr>
        <w:t>Prosecuting</w:t>
      </w:r>
      <w:r>
        <w:rPr>
          <w:rFonts w:ascii="Arial" w:cs="Arial" w:eastAsia="Arial" w:hAnsi="Arial"/>
          <w:sz w:val="17"/>
          <w:szCs w:val="17"/>
          <w:color w:val="auto"/>
        </w:rPr>
        <w:t>” means with respect to any patent rights, (a) to prepare and file patent applications, including re-examinations or re-issues thereof, and represent applicants or assignees before relevant patent offices or other relevant Governmental Authorities during examination, re-examination and re-issue thereof, in appeal processes and interferences, or any equivalent proceedings or any other prosecution activities, (b) to defend all such applications against Third Party oppositions or other challenges (other than any challenges in response to an enforcement against any Competitive Infringement pursuant to Section 7.2 that are not administered by any patent office or like Governmental Authority), (c) to secure the grant of any patents arising from such patent application, (d) to maintain in force any issued patent (including through payment of any relevant maintenance fees), (e) obtain and maintain patent term extension or supplemental protection certificates or their equivalents, and (f) to make all decisions with regard to any of the foregoing activities.</w:t>
      </w:r>
    </w:p>
    <w:p>
      <w:pPr>
        <w:spacing w:after="0" w:line="71"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country or region in the Territory, approvals, licenses, registrations or authorizations from the relevant Regulatory Authority necessary in order to import, distribute, market or sell a pharmaceutical product (including any Licensed Product) in such country or region, but not including any pricing or reimbursement approvals or decisions.</w:t>
      </w:r>
    </w:p>
    <w:p>
      <w:pPr>
        <w:spacing w:after="0" w:line="73"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the FDA, the EMA, and any other analogous government regulatory authority or agency involved in granting approvals (including any required pricing or reimbursement approvals) for the development, manufacture or commercialization of any pharmaceutical product (including any Licensed Product) in the Territory.</w:t>
      </w:r>
    </w:p>
    <w:p>
      <w:pPr>
        <w:spacing w:after="0" w:line="73" w:lineRule="exact"/>
        <w:rPr>
          <w:sz w:val="20"/>
          <w:szCs w:val="20"/>
          <w:color w:val="auto"/>
        </w:rPr>
      </w:pPr>
    </w:p>
    <w:p>
      <w:pPr>
        <w:ind w:right="100" w:firstLine="881"/>
        <w:spacing w:after="0" w:line="257"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Regulatory Filing</w:t>
      </w:r>
      <w:r>
        <w:rPr>
          <w:rFonts w:ascii="Arial" w:cs="Arial" w:eastAsia="Arial" w:hAnsi="Arial"/>
          <w:sz w:val="18"/>
          <w:szCs w:val="18"/>
          <w:color w:val="auto"/>
        </w:rPr>
        <w:t>” means any documentation comprising or relating to or supporting any filing or application with any Regulatory Authority with respect to any compound or product (including the Licensed Compound or any Licensed Product), or its use or potential use in humans, including any documents submitted to any Regulatory Authority and all supporting data, including INDs and NDAs, and all correspondence with any Regulatory Authority with respect to such compound or product (including minutes of any meetings, telephone conferences or discussions with any Regulatory Authority).</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Royalty Patent Rights</w:t>
      </w:r>
      <w:r>
        <w:rPr>
          <w:rFonts w:ascii="Arial" w:cs="Arial" w:eastAsia="Arial" w:hAnsi="Arial"/>
          <w:sz w:val="18"/>
          <w:szCs w:val="18"/>
          <w:color w:val="auto"/>
        </w:rPr>
        <w:t>” means the Aerpio Patent Rights and the Licensee Patent Rights.</w:t>
      </w:r>
    </w:p>
    <w:p>
      <w:pPr>
        <w:spacing w:after="0" w:line="117"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Affiliate of Licensee or any Third Party in each case that has been granted a sublicense (or an option or right of negotiation or refusal for a sublicense) by Licensee under Section 5.1(a) and in accordance with Section 5.2.</w:t>
      </w:r>
    </w:p>
    <w:p>
      <w:pPr>
        <w:spacing w:after="0" w:line="62"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Subsidiary/Parent Sale</w:t>
      </w:r>
      <w:r>
        <w:rPr>
          <w:rFonts w:ascii="Arial" w:cs="Arial" w:eastAsia="Arial" w:hAnsi="Arial"/>
          <w:sz w:val="18"/>
          <w:szCs w:val="18"/>
          <w:color w:val="auto"/>
        </w:rPr>
        <w:t>” means, with regard to [***] any direct or indirect parent Affiliate of Licensee, any transaction, [***], that would constitute a Change of 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46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440" w:right="420" w:hanging="436"/>
        <w:spacing w:after="0" w:line="277" w:lineRule="auto"/>
        <w:tabs>
          <w:tab w:leader="none" w:pos="440" w:val="left"/>
        </w:tabs>
        <w:numPr>
          <w:ilvl w:val="0"/>
          <w:numId w:val="765"/>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858" w:name="page859"/>
    <w:bookmarkEnd w:id="858"/>
    <w:p>
      <w:pPr>
        <w:ind w:firstLine="88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1.51 “</w:t>
      </w:r>
      <w:r>
        <w:rPr>
          <w:rFonts w:ascii="Arial" w:cs="Arial" w:eastAsia="Arial" w:hAnsi="Arial"/>
          <w:sz w:val="16"/>
          <w:szCs w:val="16"/>
          <w:u w:val="single" w:color="auto"/>
          <w:color w:val="auto"/>
        </w:rPr>
        <w:t>Transaction Payments</w:t>
      </w:r>
      <w:r>
        <w:rPr>
          <w:rFonts w:ascii="Arial" w:cs="Arial" w:eastAsia="Arial" w:hAnsi="Arial"/>
          <w:sz w:val="16"/>
          <w:szCs w:val="16"/>
          <w:color w:val="auto"/>
        </w:rPr>
        <w:t>” means all consideration in any form, including merger consideration, equity or other securities purchase price, exercise price, option purchase price, option fee, upfront, marketing, distribution, franchise, milestone, royalties or license payments, profit shares, fees, bonuses or other payments, paid (directly or indirectly) to, or for the benefit of, Licensee, its Affiliates, or equity or other security holders (or former equity or other security holders) of Licensee or any of its Affiliates from any Sublicensees or other Third Parties solely with respect to any (a) grant of license or other rights by Licensee or any of its Affiliates to the Licensed Compound or any Licensed Product, including any distribution rights or any sublicense under any of the Aerpio Patent Rights or Aerpio Know-How (other than by any Program Transaction) or (b) Program Transaction, in each case provided that to the extent that the consideration from any such transaction includes contingent payments related to future events or release of escrowed amounts, such payments and amounts shall be included as Transaction Payments only as and when such payments and amounts are received (directly or indirectly) by or on behalf of Licensee or its Affiliates or such equity or other security holders (or former equity or other security holders). Not included in Transaction Payments shall be any consideration attributable to the sale or transfer of physical assets, leases or inventory, and with respect to clause (a) (but not clause (b)) above, the following will not be treated as Transaction Payments: (i) payments to reimburse Licensee for research or development activities or for patent prosecution costs specific to any Licensed Product, and (ii) payments made for debt or securities of Licensee up to fair market value (with any premium on debt or securities included as “Transaction Payments” hereunder).</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Licensee or Aerpio or any of their respective Affiliates.</w:t>
      </w:r>
    </w:p>
    <w:p>
      <w:pPr>
        <w:spacing w:after="0" w:line="117"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1.54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a claim of an issued and unexpired patent, which claim has not been held invalid or unenforceable by a court or other government agency of competent jurisdiction from which no appeal can be or has been taken and has not been held or admitted to be invalid or unenforceable through re-examination or disclaimer, opposition procedure, nullity suit or otherwise and (b) a claim of any patent application that has been pending for fewer than seven (7) years after the earliest priority date of such patent application.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defined terms have the meanings set forth in the section indicated:</w:t>
      </w:r>
    </w:p>
    <w:p>
      <w:pPr>
        <w:sectPr>
          <w:pgSz w:w="11900" w:h="16838" w:orient="portrait"/>
          <w:cols w:equalWidth="0" w:num="1">
            <w:col w:w="10960"/>
          </w:cols>
          <w:pgMar w:left="440" w:top="275" w:right="499" w:bottom="1440" w:gutter="0" w:footer="0" w:header="0"/>
        </w:sectPr>
      </w:pP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Defined Term</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AAA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Additional Third Party Licenses</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Aerpio</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Aerpio Core Patent Rights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Aerpio Indemnitees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Affected Party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Alliance Manager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Bankruptcy Event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Claim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CREATE Act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Disclosing Party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Effective Date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Hatch-Waxman Time Period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Indemnitee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Indemnitor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Issuing Party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11.8(b)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Introductory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Introductory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2.2(f)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Introductory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7.2(b)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8.2(c)</w:t>
      </w:r>
    </w:p>
    <w:p>
      <w:pPr>
        <w:spacing w:after="0" w:line="143" w:lineRule="exact"/>
        <w:rPr>
          <w:sz w:val="20"/>
          <w:szCs w:val="20"/>
          <w:color w:val="auto"/>
        </w:rPr>
      </w:pPr>
    </w:p>
    <w:p>
      <w:pPr>
        <w:sectPr>
          <w:pgSz w:w="11900" w:h="16838" w:orient="portrait"/>
          <w:cols w:equalWidth="0" w:num="2">
            <w:col w:w="5080" w:space="720"/>
            <w:col w:w="5160"/>
          </w:cols>
          <w:pgMar w:left="440" w:top="275" w:right="49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440" w:top="275" w:right="499" w:bottom="1440" w:gutter="0" w:footer="0" w:header="0"/>
          <w:type w:val="continuous"/>
        </w:sectPr>
      </w:pPr>
    </w:p>
    <w:bookmarkStart w:id="859" w:name="page860"/>
    <w:bookmarkEnd w:id="859"/>
    <w:p>
      <w:pPr>
        <w:ind w:left="840"/>
        <w:spacing w:after="0"/>
        <w:rPr>
          <w:sz w:val="20"/>
          <w:szCs w:val="20"/>
          <w:color w:val="auto"/>
        </w:rPr>
      </w:pPr>
      <w:r>
        <w:rPr>
          <w:rFonts w:ascii="Arial" w:cs="Arial" w:eastAsia="Arial" w:hAnsi="Arial"/>
          <w:sz w:val="18"/>
          <w:szCs w:val="18"/>
          <w:b w:val="1"/>
          <w:bCs w:val="1"/>
          <w:color w:val="auto"/>
        </w:rPr>
        <w:t>Defined Term</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JDC</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Licensee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Licensee Indemnitees</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Losses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Milestone Events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Milestone Payments</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Party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Receiving Party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Release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Reversion IP</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Reviewing Party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Royalty Term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Sublicense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Term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 Amount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Working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-213360</wp:posOffset>
            </wp:positionV>
            <wp:extent cx="72891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Introductory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Introductory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200" w:lineRule="exact"/>
        <w:rPr>
          <w:sz w:val="20"/>
          <w:szCs w:val="20"/>
          <w:color w:val="auto"/>
        </w:rPr>
      </w:pPr>
    </w:p>
    <w:p>
      <w:pPr>
        <w:sectPr>
          <w:pgSz w:w="11900" w:h="16838" w:orient="portrait"/>
          <w:cols w:equalWidth="0" w:num="2">
            <w:col w:w="5080" w:space="720"/>
            <w:col w:w="5180"/>
          </w:cols>
          <w:pgMar w:left="440" w:top="271" w:right="47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Development</w:t>
      </w:r>
      <w:r>
        <w:rPr>
          <w:rFonts w:ascii="Arial" w:cs="Arial" w:eastAsia="Arial" w:hAnsi="Arial"/>
          <w:sz w:val="18"/>
          <w:szCs w:val="18"/>
          <w:color w:val="auto"/>
        </w:rPr>
        <w:t>.</w:t>
      </w:r>
    </w:p>
    <w:p>
      <w:pPr>
        <w:spacing w:after="0" w:line="117" w:lineRule="exact"/>
        <w:rPr>
          <w:sz w:val="20"/>
          <w:szCs w:val="20"/>
          <w:color w:val="auto"/>
        </w:rPr>
      </w:pPr>
    </w:p>
    <w:p>
      <w:pPr>
        <w:jc w:val="both"/>
        <w:ind w:right="120" w:firstLine="881"/>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w:t>
      </w:r>
      <w:r>
        <w:rPr>
          <w:rFonts w:ascii="Arial" w:cs="Arial" w:eastAsia="Arial" w:hAnsi="Arial"/>
          <w:sz w:val="18"/>
          <w:szCs w:val="18"/>
          <w:color w:val="auto"/>
        </w:rPr>
        <w:t>. The JDC’s overall responsibility shall be to encourage and facilitate ongoing cooperation between the Parties with respect to the development activities contemplated by this Agreement and to coordinate the development of the Licensed Products for the Indications covered by each Development Plan.</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71" w:lineRule="auto"/>
        <w:tabs>
          <w:tab w:leader="none" w:pos="1108" w:val="left"/>
        </w:tabs>
        <w:numPr>
          <w:ilvl w:val="1"/>
          <w:numId w:val="766"/>
        </w:numPr>
        <w:rPr>
          <w:rFonts w:ascii="Arial" w:cs="Arial" w:eastAsia="Arial" w:hAnsi="Arial"/>
          <w:sz w:val="17"/>
          <w:szCs w:val="17"/>
          <w:color w:val="auto"/>
        </w:rPr>
      </w:pPr>
      <w:r>
        <w:rPr>
          <w:rFonts w:ascii="Arial" w:cs="Arial" w:eastAsia="Arial" w:hAnsi="Arial"/>
          <w:sz w:val="17"/>
          <w:szCs w:val="17"/>
          <w:i w:val="1"/>
          <w:iCs w:val="1"/>
          <w:color w:val="auto"/>
        </w:rPr>
        <w:t>Formation; Purposes</w:t>
      </w:r>
      <w:r>
        <w:rPr>
          <w:rFonts w:ascii="Arial" w:cs="Arial" w:eastAsia="Arial" w:hAnsi="Arial"/>
          <w:sz w:val="17"/>
          <w:szCs w:val="17"/>
          <w:color w:val="auto"/>
        </w:rPr>
        <w:t>. Within thirty (30) days after the Effective Date, Aerpio and Licensee will establish a joint development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JDC</w:t>
      </w:r>
      <w:r>
        <w:rPr>
          <w:rFonts w:ascii="Arial" w:cs="Arial" w:eastAsia="Arial" w:hAnsi="Arial"/>
          <w:sz w:val="17"/>
          <w:szCs w:val="17"/>
          <w:color w:val="auto"/>
        </w:rPr>
        <w:t>”) composed of no more than three (3) representatives of each Party. The JDC will have responsibility for (i) reviewing and overseeing the overall progress of development and manufacturing activities under this Agreement with respect to Licensed Products for use in the Territory and in the Field, including oversight of the various budgets and activities, (ii) overseeing the implementation of all development operational aspects of the arrangements established by this Agreement, and (iii) forming various working group(s) (each, a “</w:t>
      </w:r>
      <w:r>
        <w:rPr>
          <w:rFonts w:ascii="Arial" w:cs="Arial" w:eastAsia="Arial" w:hAnsi="Arial"/>
          <w:sz w:val="17"/>
          <w:szCs w:val="17"/>
          <w:u w:val="single" w:color="auto"/>
          <w:color w:val="auto"/>
        </w:rPr>
        <w:t>Working Group</w:t>
      </w:r>
      <w:r>
        <w:rPr>
          <w:rFonts w:ascii="Arial" w:cs="Arial" w:eastAsia="Arial" w:hAnsi="Arial"/>
          <w:sz w:val="17"/>
          <w:szCs w:val="17"/>
          <w:color w:val="auto"/>
        </w:rPr>
        <w:t>”) to oversee particular projects or activities from time to time and delegating to such Working Group(s) such operational responsibilities as the JDC may determine necessary or desirable. In conducting its activities, including in the allocation of activities to the Parties under each Development Plan, the JDC will operate and make its decisions consistent with the terms of this Agreement.</w:t>
      </w:r>
    </w:p>
    <w:p>
      <w:pPr>
        <w:spacing w:after="0" w:line="70" w:lineRule="exact"/>
        <w:rPr>
          <w:rFonts w:ascii="Arial" w:cs="Arial" w:eastAsia="Arial" w:hAnsi="Arial"/>
          <w:sz w:val="17"/>
          <w:szCs w:val="17"/>
          <w:color w:val="auto"/>
        </w:rPr>
      </w:pPr>
    </w:p>
    <w:p>
      <w:pPr>
        <w:ind w:left="440" w:firstLine="428"/>
        <w:spacing w:after="0" w:line="284" w:lineRule="auto"/>
        <w:tabs>
          <w:tab w:leader="none" w:pos="1118" w:val="left"/>
        </w:tabs>
        <w:numPr>
          <w:ilvl w:val="1"/>
          <w:numId w:val="766"/>
        </w:numPr>
        <w:rPr>
          <w:rFonts w:ascii="Arial" w:cs="Arial" w:eastAsia="Arial" w:hAnsi="Arial"/>
          <w:sz w:val="16"/>
          <w:szCs w:val="16"/>
          <w:color w:val="auto"/>
        </w:rPr>
      </w:pPr>
      <w:r>
        <w:rPr>
          <w:rFonts w:ascii="Arial" w:cs="Arial" w:eastAsia="Arial" w:hAnsi="Arial"/>
          <w:sz w:val="16"/>
          <w:szCs w:val="16"/>
          <w:i w:val="1"/>
          <w:iCs w:val="1"/>
          <w:color w:val="auto"/>
        </w:rPr>
        <w:t>Membership</w:t>
      </w:r>
      <w:r>
        <w:rPr>
          <w:rFonts w:ascii="Arial" w:cs="Arial" w:eastAsia="Arial" w:hAnsi="Arial"/>
          <w:sz w:val="16"/>
          <w:szCs w:val="16"/>
          <w:color w:val="auto"/>
        </w:rPr>
        <w:t>. The JDC will be composed of an equal number of representatives appointed by each of Aerpio and Licensee. Each Party</w:t>
      </w:r>
      <w:r>
        <w:rPr>
          <w:rFonts w:ascii="Arial" w:cs="Arial" w:eastAsia="Arial" w:hAnsi="Arial"/>
          <w:sz w:val="16"/>
          <w:szCs w:val="16"/>
          <w:i w:val="1"/>
          <w:iCs w:val="1"/>
          <w:color w:val="auto"/>
        </w:rPr>
        <w:t xml:space="preserve"> </w:t>
      </w:r>
      <w:r>
        <w:rPr>
          <w:rFonts w:ascii="Arial" w:cs="Arial" w:eastAsia="Arial" w:hAnsi="Arial"/>
          <w:sz w:val="16"/>
          <w:szCs w:val="16"/>
          <w:color w:val="auto"/>
        </w:rPr>
        <w:t>will have the right, but not be obligated, to appoint the same number of representatives to the various Working Groups as are appointed by the other Party; however, each Party will have collectively one vote, as set forth in Section 2.2(e)(i), regardless of the number or representatives from each Party. The Parties may from time to time change the size of the JDC. Each Party may replace JDC and any Working Group representatives at any time upon written notice to the other Party. The JDC and the various Working Groups will be co-chaired by one designated representative of each Party. The co-chairpersons of each committee and Working Group will not have any greater authority than any other representative on the committee or Working Group. The co-chairperson of Licensee will be responsible for: (a) calling meetings; (b) preparing and circulating an agenda in advance of each meeting, provided that the co-chairperson will include any agenda items proposed by either Party on such agenda;</w:t>
      </w:r>
    </w:p>
    <w:p>
      <w:pPr>
        <w:spacing w:after="0" w:line="1" w:lineRule="exact"/>
        <w:rPr>
          <w:rFonts w:ascii="Arial" w:cs="Arial" w:eastAsia="Arial" w:hAnsi="Arial"/>
          <w:sz w:val="16"/>
          <w:szCs w:val="16"/>
          <w:color w:val="auto"/>
        </w:rPr>
      </w:pPr>
    </w:p>
    <w:p>
      <w:pPr>
        <w:ind w:left="680" w:hanging="236"/>
        <w:spacing w:after="0"/>
        <w:tabs>
          <w:tab w:leader="none" w:pos="68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ensuring that all decision-making is carried out 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1" w:right="479" w:bottom="1440" w:gutter="0" w:footer="0" w:header="0"/>
          <w:type w:val="continuous"/>
        </w:sectPr>
      </w:pPr>
    </w:p>
    <w:bookmarkStart w:id="860" w:name="page861"/>
    <w:bookmarkEnd w:id="860"/>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voting and dispute resolution mechanisms set forth in this Agreement; and (d) preparing and issuing minutes of each meeting within thirty (30) days thereafter. Each Party may designate the same individual as a representative on more than one committee or Working Group, and such individual may be an employee or consultant of such Party or any of its Affiliates. Each Party will be responsible for all costs and expenses incurred by it in participating in the JDC and any Working Groups.</w:t>
      </w:r>
    </w:p>
    <w:p>
      <w:pPr>
        <w:spacing w:after="0" w:line="79" w:lineRule="exact"/>
        <w:rPr>
          <w:sz w:val="20"/>
          <w:szCs w:val="20"/>
          <w:color w:val="auto"/>
        </w:rPr>
      </w:pPr>
    </w:p>
    <w:p>
      <w:pPr>
        <w:ind w:left="440" w:firstLine="428"/>
        <w:spacing w:after="0" w:line="270" w:lineRule="auto"/>
        <w:tabs>
          <w:tab w:leader="none" w:pos="1108" w:val="left"/>
        </w:tabs>
        <w:numPr>
          <w:ilvl w:val="0"/>
          <w:numId w:val="768"/>
        </w:numPr>
        <w:rPr>
          <w:rFonts w:ascii="Arial" w:cs="Arial" w:eastAsia="Arial" w:hAnsi="Arial"/>
          <w:sz w:val="17"/>
          <w:szCs w:val="17"/>
          <w:color w:val="auto"/>
        </w:rPr>
      </w:pPr>
      <w:r>
        <w:rPr>
          <w:rFonts w:ascii="Arial" w:cs="Arial" w:eastAsia="Arial" w:hAnsi="Arial"/>
          <w:sz w:val="17"/>
          <w:szCs w:val="17"/>
          <w:i w:val="1"/>
          <w:iCs w:val="1"/>
          <w:color w:val="auto"/>
        </w:rPr>
        <w:t>Meetings of the JDC and Working Groups</w:t>
      </w:r>
      <w:r>
        <w:rPr>
          <w:rFonts w:ascii="Arial" w:cs="Arial" w:eastAsia="Arial" w:hAnsi="Arial"/>
          <w:sz w:val="17"/>
          <w:szCs w:val="17"/>
          <w:color w:val="auto"/>
        </w:rPr>
        <w:t>. The JDC will hold meetings at such times as the JDC will determine, but in no event will such</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of the JDC be held less frequently than once every six (6) months during the Term for so long as the JDC exists. Each Working Group will hold meetings at such times as the Working Group agrees, or as the JDC directs. Each of the JDC and the Working Groups may meet in person or by audio or video conference as the Parties may mutually agree. Other representatives of the Parties, their Affiliates and Third Parties involved in the development, manufacture or commercialization of the Licensed Compound and Licensed Products may attend such meetings of the JDC or Working Groups as nonvoting observers. The JDC and Working Groups may upon agreement meet on an ad hoc basis between regularly scheduled meetings in order to address and resolve time-sensitive issues within their purview that may arise from time to time. No action taken at a meeting of the JDC or any Working Group will be effective unless a representative of each Party is present or participating. Neither Party will unreasonably withhold attendance of at least one representative of such Party at any meeting of a committee or Working Group for which reasonable advance notice was provided.</w:t>
      </w:r>
    </w:p>
    <w:p>
      <w:pPr>
        <w:spacing w:after="0" w:line="69" w:lineRule="exact"/>
        <w:rPr>
          <w:rFonts w:ascii="Arial" w:cs="Arial" w:eastAsia="Arial" w:hAnsi="Arial"/>
          <w:sz w:val="17"/>
          <w:szCs w:val="17"/>
          <w:color w:val="auto"/>
        </w:rPr>
      </w:pPr>
    </w:p>
    <w:p>
      <w:pPr>
        <w:ind w:left="1120" w:hanging="252"/>
        <w:spacing w:after="0"/>
        <w:tabs>
          <w:tab w:leader="none" w:pos="1120" w:val="left"/>
        </w:tabs>
        <w:numPr>
          <w:ilvl w:val="0"/>
          <w:numId w:val="768"/>
        </w:numPr>
        <w:rPr>
          <w:rFonts w:ascii="Arial" w:cs="Arial" w:eastAsia="Arial" w:hAnsi="Arial"/>
          <w:sz w:val="18"/>
          <w:szCs w:val="18"/>
          <w:color w:val="auto"/>
        </w:rPr>
      </w:pPr>
      <w:r>
        <w:rPr>
          <w:rFonts w:ascii="Arial" w:cs="Arial" w:eastAsia="Arial" w:hAnsi="Arial"/>
          <w:sz w:val="18"/>
          <w:szCs w:val="18"/>
          <w:i w:val="1"/>
          <w:iCs w:val="1"/>
          <w:color w:val="auto"/>
        </w:rPr>
        <w:t>JDC Specific Responsibilities</w:t>
      </w:r>
      <w:r>
        <w:rPr>
          <w:rFonts w:ascii="Arial" w:cs="Arial" w:eastAsia="Arial" w:hAnsi="Arial"/>
          <w:sz w:val="18"/>
          <w:szCs w:val="18"/>
          <w:color w:val="auto"/>
        </w:rPr>
        <w:t>. The JDC will:</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review and discuss the research and development activities for the Licensed Compound and Licensed Products;</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review and discuss the implementation of each Development Plan and the corresponding Development Budget;</w:t>
      </w:r>
    </w:p>
    <w:p>
      <w:pPr>
        <w:spacing w:after="0" w:line="117" w:lineRule="exact"/>
        <w:rPr>
          <w:rFonts w:ascii="Arial" w:cs="Arial" w:eastAsia="Arial" w:hAnsi="Arial"/>
          <w:sz w:val="18"/>
          <w:szCs w:val="18"/>
          <w:color w:val="auto"/>
        </w:rPr>
      </w:pPr>
    </w:p>
    <w:p>
      <w:pPr>
        <w:ind w:right="280" w:firstLine="1436"/>
        <w:spacing w:after="0" w:line="264" w:lineRule="auto"/>
        <w:tabs>
          <w:tab w:leader="none" w:pos="174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review and discuss each Development Plan, including the corresponding Development Budget set forth therein, on an annual basis, including new Development Plans and corresponding Development Budgets, and review and discuss amendments and updates to each Development Plan and corresponding Development Budget;</w:t>
      </w:r>
    </w:p>
    <w:p>
      <w:pPr>
        <w:spacing w:after="0" w:line="73" w:lineRule="exact"/>
        <w:rPr>
          <w:rFonts w:ascii="Arial" w:cs="Arial" w:eastAsia="Arial" w:hAnsi="Arial"/>
          <w:sz w:val="18"/>
          <w:szCs w:val="18"/>
          <w:color w:val="auto"/>
        </w:rPr>
      </w:pPr>
    </w:p>
    <w:p>
      <w:pPr>
        <w:ind w:left="1740" w:hanging="304"/>
        <w:spacing w:after="0"/>
        <w:tabs>
          <w:tab w:leader="none" w:pos="174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review and discuss non-clinical research or development of the Licensed Compound and Licensed Products;</w:t>
      </w:r>
    </w:p>
    <w:p>
      <w:pPr>
        <w:spacing w:after="0" w:line="117" w:lineRule="exact"/>
        <w:rPr>
          <w:rFonts w:ascii="Arial" w:cs="Arial" w:eastAsia="Arial" w:hAnsi="Arial"/>
          <w:sz w:val="18"/>
          <w:szCs w:val="18"/>
          <w:color w:val="auto"/>
        </w:rPr>
      </w:pPr>
    </w:p>
    <w:p>
      <w:pPr>
        <w:ind w:right="680" w:firstLine="1436"/>
        <w:spacing w:after="0" w:line="308" w:lineRule="auto"/>
        <w:tabs>
          <w:tab w:leader="none" w:pos="1688" w:val="left"/>
        </w:tabs>
        <w:numPr>
          <w:ilvl w:val="1"/>
          <w:numId w:val="768"/>
        </w:numPr>
        <w:rPr>
          <w:rFonts w:ascii="Arial" w:cs="Arial" w:eastAsia="Arial" w:hAnsi="Arial"/>
          <w:sz w:val="17"/>
          <w:szCs w:val="17"/>
          <w:color w:val="auto"/>
        </w:rPr>
      </w:pPr>
      <w:r>
        <w:rPr>
          <w:rFonts w:ascii="Arial" w:cs="Arial" w:eastAsia="Arial" w:hAnsi="Arial"/>
          <w:sz w:val="17"/>
          <w:szCs w:val="17"/>
          <w:color w:val="auto"/>
        </w:rPr>
        <w:t>review and discuss clinical development of the Licensed Compound and Licensed Product in all Indications subject of a Development Plan, including clinical study design, clinical study endpoints, clinical methodology and monitoring requirements; and</w:t>
      </w:r>
    </w:p>
    <w:p>
      <w:pPr>
        <w:spacing w:after="0" w:line="38" w:lineRule="exact"/>
        <w:rPr>
          <w:rFonts w:ascii="Arial" w:cs="Arial" w:eastAsia="Arial" w:hAnsi="Arial"/>
          <w:sz w:val="17"/>
          <w:szCs w:val="17"/>
          <w:color w:val="auto"/>
        </w:rPr>
      </w:pPr>
    </w:p>
    <w:p>
      <w:pPr>
        <w:ind w:right="720" w:firstLine="1436"/>
        <w:spacing w:after="0" w:line="277" w:lineRule="auto"/>
        <w:tabs>
          <w:tab w:leader="none" w:pos="173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perform such other functions as are assigned to it in this Agreement or as are appropriate to further the purposes of this Agreement as agreed in writing by the Parties.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768"/>
        </w:numPr>
        <w:rPr>
          <w:rFonts w:ascii="Arial" w:cs="Arial" w:eastAsia="Arial" w:hAnsi="Arial"/>
          <w:sz w:val="18"/>
          <w:szCs w:val="18"/>
          <w:color w:val="auto"/>
        </w:rPr>
      </w:pPr>
      <w:r>
        <w:rPr>
          <w:rFonts w:ascii="Arial" w:cs="Arial" w:eastAsia="Arial" w:hAnsi="Arial"/>
          <w:sz w:val="18"/>
          <w:szCs w:val="18"/>
          <w:i w:val="1"/>
          <w:iCs w:val="1"/>
          <w:color w:val="auto"/>
        </w:rPr>
        <w:t>JDC Decision-Making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36"/>
        <w:spacing w:after="0" w:line="264" w:lineRule="auto"/>
        <w:tabs>
          <w:tab w:leader="none" w:pos="164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Other than as set forth herein, in order to make any decision required of it hereunder with respect to any approval, the JDC must have present (in person, by videoconference or telephonically) at least one member of each Party. The Parties will endeavor to make decisions of the JDC by consensus.</w:t>
      </w:r>
    </w:p>
    <w:p>
      <w:pPr>
        <w:spacing w:after="0" w:line="73" w:lineRule="exact"/>
        <w:rPr>
          <w:rFonts w:ascii="Arial" w:cs="Arial" w:eastAsia="Arial" w:hAnsi="Arial"/>
          <w:sz w:val="18"/>
          <w:szCs w:val="18"/>
          <w:color w:val="auto"/>
        </w:rPr>
      </w:pPr>
    </w:p>
    <w:p>
      <w:pPr>
        <w:ind w:firstLine="1436"/>
        <w:spacing w:after="0" w:line="259" w:lineRule="auto"/>
        <w:tabs>
          <w:tab w:leader="none" w:pos="169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The JDC will attempt in good faith to resolve any disputes or failure to agree by unanimous consent (with each Party having one vote). If the JDC cannot resolve such dispute or failure to agree within thirty (30) days of the matter being referred to it, such matter will be resolved pursuant to Section 11.8(a) by referral directly to a senior executive of each Party designated by such Party’s Executive Officer (but not Section 11.8(b)). If such matter is not resolved pursuant to the dispute resolution process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861" w:name="page862"/>
    <w:bookmarkEnd w:id="86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in Section 11.8(a), then Licensee will have the tie-breaking vote, provided that no decision by Licensee may be in conflict with any of the terms of this Agreement (including by amending or increasing any obligations on Aerpio or any of its Affiliates or by granting any licenses or other rights to Licensee or any of its Affiliates that, in each case, are not expressly set forth in this Agreement).</w:t>
      </w:r>
    </w:p>
    <w:p>
      <w:pPr>
        <w:spacing w:after="0" w:line="73" w:lineRule="exact"/>
        <w:rPr>
          <w:sz w:val="20"/>
          <w:szCs w:val="20"/>
          <w:color w:val="auto"/>
        </w:rPr>
      </w:pPr>
    </w:p>
    <w:p>
      <w:pPr>
        <w:ind w:right="340" w:firstLine="1436"/>
        <w:spacing w:after="0" w:line="264" w:lineRule="auto"/>
        <w:tabs>
          <w:tab w:leader="none" w:pos="1748" w:val="left"/>
        </w:tabs>
        <w:numPr>
          <w:ilvl w:val="1"/>
          <w:numId w:val="769"/>
        </w:numPr>
        <w:rPr>
          <w:rFonts w:ascii="Arial" w:cs="Arial" w:eastAsia="Arial" w:hAnsi="Arial"/>
          <w:sz w:val="18"/>
          <w:szCs w:val="18"/>
          <w:color w:val="auto"/>
        </w:rPr>
      </w:pPr>
      <w:r>
        <w:rPr>
          <w:rFonts w:ascii="Arial" w:cs="Arial" w:eastAsia="Arial" w:hAnsi="Arial"/>
          <w:sz w:val="18"/>
          <w:szCs w:val="18"/>
          <w:color w:val="auto"/>
        </w:rPr>
        <w:t>Notwithstanding anything herein to the contrary, with respect to any decision to be made by any of the JDC or the various Working Groups, each Party will exercise its voting right (including Licensee’s tie-breaking vote of Section 2.2(e)(ii)) in good faith and in a manner consistent with its obligations under this Agreement, including Sections 2.4(a) and 3.1(a).</w:t>
      </w:r>
    </w:p>
    <w:p>
      <w:pPr>
        <w:spacing w:after="0" w:line="73" w:lineRule="exact"/>
        <w:rPr>
          <w:rFonts w:ascii="Arial" w:cs="Arial" w:eastAsia="Arial" w:hAnsi="Arial"/>
          <w:sz w:val="18"/>
          <w:szCs w:val="18"/>
          <w:color w:val="auto"/>
        </w:rPr>
      </w:pPr>
    </w:p>
    <w:p>
      <w:pPr>
        <w:ind w:left="1740" w:hanging="304"/>
        <w:spacing w:after="0"/>
        <w:tabs>
          <w:tab w:leader="none" w:pos="1740" w:val="left"/>
        </w:tabs>
        <w:numPr>
          <w:ilvl w:val="1"/>
          <w:numId w:val="769"/>
        </w:numPr>
        <w:rPr>
          <w:rFonts w:ascii="Arial" w:cs="Arial" w:eastAsia="Arial" w:hAnsi="Arial"/>
          <w:sz w:val="18"/>
          <w:szCs w:val="18"/>
          <w:color w:val="auto"/>
        </w:rPr>
      </w:pPr>
      <w:r>
        <w:rPr>
          <w:rFonts w:ascii="Arial" w:cs="Arial" w:eastAsia="Arial" w:hAnsi="Arial"/>
          <w:sz w:val="18"/>
          <w:szCs w:val="18"/>
          <w:color w:val="auto"/>
        </w:rPr>
        <w:t>Neither the JDC nor any Working Group will have the authority to amend or modify this Agreement.</w:t>
      </w:r>
    </w:p>
    <w:p>
      <w:pPr>
        <w:spacing w:after="0" w:line="117" w:lineRule="exact"/>
        <w:rPr>
          <w:rFonts w:ascii="Arial" w:cs="Arial" w:eastAsia="Arial" w:hAnsi="Arial"/>
          <w:sz w:val="18"/>
          <w:szCs w:val="18"/>
          <w:color w:val="auto"/>
        </w:rPr>
      </w:pPr>
    </w:p>
    <w:p>
      <w:pPr>
        <w:ind w:left="1100" w:hanging="232"/>
        <w:spacing w:after="0"/>
        <w:tabs>
          <w:tab w:leader="none" w:pos="1100" w:val="left"/>
        </w:tabs>
        <w:numPr>
          <w:ilvl w:val="0"/>
          <w:numId w:val="770"/>
        </w:numPr>
        <w:rPr>
          <w:rFonts w:ascii="Arial" w:cs="Arial" w:eastAsia="Arial" w:hAnsi="Arial"/>
          <w:sz w:val="17"/>
          <w:szCs w:val="17"/>
          <w:color w:val="auto"/>
        </w:rPr>
      </w:pPr>
      <w:r>
        <w:rPr>
          <w:rFonts w:ascii="Arial" w:cs="Arial" w:eastAsia="Arial" w:hAnsi="Arial"/>
          <w:sz w:val="17"/>
          <w:szCs w:val="17"/>
          <w:i w:val="1"/>
          <w:iCs w:val="1"/>
          <w:color w:val="auto"/>
        </w:rPr>
        <w:t>Alliance Managers</w:t>
      </w:r>
      <w:r>
        <w:rPr>
          <w:rFonts w:ascii="Arial" w:cs="Arial" w:eastAsia="Arial" w:hAnsi="Arial"/>
          <w:sz w:val="17"/>
          <w:szCs w:val="17"/>
          <w:color w:val="auto"/>
        </w:rPr>
        <w:t>. Each Party will designate a single alliance manager for all of the activities contemplated under this Agreement</w:t>
      </w:r>
    </w:p>
    <w:p>
      <w:pPr>
        <w:spacing w:after="0" w:line="35" w:lineRule="exact"/>
        <w:rPr>
          <w:sz w:val="20"/>
          <w:szCs w:val="20"/>
          <w:color w:val="auto"/>
        </w:rPr>
      </w:pPr>
    </w:p>
    <w:p>
      <w:pPr>
        <w:ind w:left="440" w:right="1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Alliance Manager</w:t>
      </w:r>
      <w:r>
        <w:rPr>
          <w:rFonts w:ascii="Arial" w:cs="Arial" w:eastAsia="Arial" w:hAnsi="Arial"/>
          <w:sz w:val="18"/>
          <w:szCs w:val="18"/>
          <w:color w:val="auto"/>
        </w:rPr>
        <w:t>”). Such Alliance Managers will be responsible for the day-to-day worldwide coordination of the arrangements contemplated by this Agreement and will serve to facilitate communication between the Parties. Such Alliance Managers will have experience and knowledge appropriate for managers with such project management responsibilities. Each Party may change its designated Alliance Manager from time to time upon notice to the other Party.</w:t>
      </w:r>
    </w:p>
    <w:p>
      <w:pPr>
        <w:spacing w:after="0" w:line="82" w:lineRule="exact"/>
        <w:rPr>
          <w:sz w:val="20"/>
          <w:szCs w:val="20"/>
          <w:color w:val="auto"/>
        </w:rPr>
      </w:pPr>
    </w:p>
    <w:p>
      <w:pPr>
        <w:ind w:left="440" w:right="40" w:firstLine="428"/>
        <w:spacing w:after="0" w:line="264" w:lineRule="auto"/>
        <w:tabs>
          <w:tab w:leader="none" w:pos="1118" w:val="left"/>
        </w:tabs>
        <w:numPr>
          <w:ilvl w:val="0"/>
          <w:numId w:val="771"/>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JDC, and any Alliance Manager relationship described in Section 2.2(f), will continue until the initial Regulatory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Licensed Product in the United States or a Major European Country, unless otherwise agreed by the Parties in writing, provided that Aerpio may, at its sole discretion, elect to dissolve the JDC or the Alliance Manager at any time.</w:t>
      </w:r>
    </w:p>
    <w:p>
      <w:pPr>
        <w:spacing w:after="0" w:line="73" w:lineRule="exact"/>
        <w:rPr>
          <w:rFonts w:ascii="Arial" w:cs="Arial" w:eastAsia="Arial" w:hAnsi="Arial"/>
          <w:sz w:val="18"/>
          <w:szCs w:val="18"/>
          <w:color w:val="auto"/>
        </w:rPr>
      </w:pPr>
    </w:p>
    <w:p>
      <w:pPr>
        <w:ind w:left="440" w:right="560" w:firstLine="428"/>
        <w:spacing w:after="0" w:line="277" w:lineRule="auto"/>
        <w:tabs>
          <w:tab w:leader="none" w:pos="1118"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Notwithstanding anything to the contrary herein, Licensee may, in its sole discretion, dissolve the JDC or any Working Groups or Alliance Manager in the event of a Change of Control of Aerpio.</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Development Plan; Amendments; Development Responsibilities</w:t>
      </w:r>
      <w:r>
        <w:rPr>
          <w:rFonts w:ascii="Arial" w:cs="Arial" w:eastAsia="Arial" w:hAnsi="Arial"/>
          <w:sz w:val="18"/>
          <w:szCs w:val="18"/>
          <w:color w:val="auto"/>
        </w:rPr>
        <w:t>.</w:t>
      </w:r>
    </w:p>
    <w:p>
      <w:pPr>
        <w:spacing w:after="0" w:line="117" w:lineRule="exact"/>
        <w:rPr>
          <w:sz w:val="20"/>
          <w:szCs w:val="20"/>
          <w:color w:val="auto"/>
        </w:rPr>
      </w:pPr>
    </w:p>
    <w:p>
      <w:pPr>
        <w:jc w:val="both"/>
        <w:ind w:left="440" w:right="40" w:firstLine="428"/>
        <w:spacing w:after="0" w:line="297" w:lineRule="auto"/>
        <w:tabs>
          <w:tab w:leader="none" w:pos="1108" w:val="left"/>
        </w:tabs>
        <w:numPr>
          <w:ilvl w:val="0"/>
          <w:numId w:val="772"/>
        </w:numPr>
        <w:rPr>
          <w:rFonts w:ascii="Arial" w:cs="Arial" w:eastAsia="Arial" w:hAnsi="Arial"/>
          <w:sz w:val="16"/>
          <w:szCs w:val="16"/>
          <w:color w:val="auto"/>
        </w:rPr>
      </w:pPr>
      <w:r>
        <w:rPr>
          <w:rFonts w:ascii="Arial" w:cs="Arial" w:eastAsia="Arial" w:hAnsi="Arial"/>
          <w:sz w:val="16"/>
          <w:szCs w:val="16"/>
          <w:i w:val="1"/>
          <w:iCs w:val="1"/>
          <w:color w:val="auto"/>
        </w:rPr>
        <w:t>Development Plan</w:t>
      </w:r>
      <w:r>
        <w:rPr>
          <w:rFonts w:ascii="Arial" w:cs="Arial" w:eastAsia="Arial" w:hAnsi="Arial"/>
          <w:sz w:val="16"/>
          <w:szCs w:val="16"/>
          <w:color w:val="auto"/>
        </w:rPr>
        <w:t>. The global development of the Licensed Products, including pre-clinical development activities, will be governed on</w:t>
      </w:r>
      <w:r>
        <w:rPr>
          <w:rFonts w:ascii="Arial" w:cs="Arial" w:eastAsia="Arial" w:hAnsi="Arial"/>
          <w:sz w:val="16"/>
          <w:szCs w:val="16"/>
          <w:i w:val="1"/>
          <w:iCs w:val="1"/>
          <w:color w:val="auto"/>
        </w:rPr>
        <w:t xml:space="preserve"> </w:t>
      </w:r>
      <w:r>
        <w:rPr>
          <w:rFonts w:ascii="Arial" w:cs="Arial" w:eastAsia="Arial" w:hAnsi="Arial"/>
          <w:sz w:val="16"/>
          <w:szCs w:val="16"/>
          <w:color w:val="auto"/>
        </w:rPr>
        <w:t>an Indication-by-Indication basis by a Development Plan, and Licensee agrees to conduct (and to cause its Affiliates and Sublicensees to conduct) all of Licensee’s development activities relating to the Licensed Products in accordance with each Development Plan at Licensee’s sole cost and expense. The terms of and activities set forth in each Development Plan will at all times be designed to be in compliance with all applicable Law and to be conducted in accordance with professional and ethical standards customary in the pharmaceutical industry.</w:t>
      </w:r>
    </w:p>
    <w:p>
      <w:pPr>
        <w:spacing w:after="0" w:line="50" w:lineRule="exact"/>
        <w:rPr>
          <w:rFonts w:ascii="Arial" w:cs="Arial" w:eastAsia="Arial" w:hAnsi="Arial"/>
          <w:sz w:val="16"/>
          <w:szCs w:val="16"/>
          <w:color w:val="auto"/>
        </w:rPr>
      </w:pPr>
    </w:p>
    <w:p>
      <w:pPr>
        <w:ind w:left="1120" w:hanging="252"/>
        <w:spacing w:after="0"/>
        <w:tabs>
          <w:tab w:leader="none" w:pos="1120" w:val="left"/>
        </w:tabs>
        <w:numPr>
          <w:ilvl w:val="0"/>
          <w:numId w:val="772"/>
        </w:numPr>
        <w:rPr>
          <w:rFonts w:ascii="Arial" w:cs="Arial" w:eastAsia="Arial" w:hAnsi="Arial"/>
          <w:sz w:val="18"/>
          <w:szCs w:val="18"/>
          <w:color w:val="auto"/>
        </w:rPr>
      </w:pPr>
      <w:r>
        <w:rPr>
          <w:rFonts w:ascii="Arial" w:cs="Arial" w:eastAsia="Arial" w:hAnsi="Arial"/>
          <w:sz w:val="18"/>
          <w:szCs w:val="18"/>
          <w:i w:val="1"/>
          <w:iCs w:val="1"/>
          <w:color w:val="auto"/>
        </w:rPr>
        <w:t>Development Budget</w:t>
      </w:r>
      <w:r>
        <w:rPr>
          <w:rFonts w:ascii="Arial" w:cs="Arial" w:eastAsia="Arial" w:hAnsi="Arial"/>
          <w:sz w:val="18"/>
          <w:szCs w:val="18"/>
          <w:color w:val="auto"/>
        </w:rPr>
        <w:t>. A Development Budget will be included in each Development Plan.</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772"/>
        </w:numPr>
        <w:rPr>
          <w:rFonts w:ascii="Arial" w:cs="Arial" w:eastAsia="Arial" w:hAnsi="Arial"/>
          <w:sz w:val="18"/>
          <w:szCs w:val="18"/>
          <w:color w:val="auto"/>
        </w:rPr>
      </w:pPr>
      <w:r>
        <w:rPr>
          <w:rFonts w:ascii="Arial" w:cs="Arial" w:eastAsia="Arial" w:hAnsi="Arial"/>
          <w:sz w:val="18"/>
          <w:szCs w:val="18"/>
          <w:i w:val="1"/>
          <w:iCs w:val="1"/>
          <w:color w:val="auto"/>
        </w:rPr>
        <w:t>Updating and Amending Each Development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36"/>
        <w:spacing w:after="0" w:line="259" w:lineRule="auto"/>
        <w:tabs>
          <w:tab w:leader="none" w:pos="1648" w:val="left"/>
        </w:tabs>
        <w:numPr>
          <w:ilvl w:val="1"/>
          <w:numId w:val="772"/>
        </w:numPr>
        <w:rPr>
          <w:rFonts w:ascii="Arial" w:cs="Arial" w:eastAsia="Arial" w:hAnsi="Arial"/>
          <w:sz w:val="18"/>
          <w:szCs w:val="18"/>
          <w:color w:val="auto"/>
        </w:rPr>
      </w:pPr>
      <w:r>
        <w:rPr>
          <w:rFonts w:ascii="Arial" w:cs="Arial" w:eastAsia="Arial" w:hAnsi="Arial"/>
          <w:sz w:val="18"/>
          <w:szCs w:val="18"/>
          <w:color w:val="auto"/>
        </w:rPr>
        <w:t>The JDC will review each Development Plan and develop updates as necessary. Upon the JDC’s preliminary approval, such updates will be submitted to Licensee for its internal budgeting process with a target for final approval by the JDC. No amendments to updates to any Development Plan (including the corresponding Development Budget), nor any new Development Plan (with corresponding Development Budget), will be effective without the approval of the JDC.</w:t>
      </w:r>
    </w:p>
    <w:p>
      <w:pPr>
        <w:spacing w:after="0" w:line="78" w:lineRule="exact"/>
        <w:rPr>
          <w:rFonts w:ascii="Arial" w:cs="Arial" w:eastAsia="Arial" w:hAnsi="Arial"/>
          <w:sz w:val="18"/>
          <w:szCs w:val="18"/>
          <w:color w:val="auto"/>
        </w:rPr>
      </w:pPr>
    </w:p>
    <w:p>
      <w:pPr>
        <w:ind w:right="40" w:firstLine="1436"/>
        <w:spacing w:after="0" w:line="308" w:lineRule="auto"/>
        <w:tabs>
          <w:tab w:leader="none" w:pos="1698" w:val="left"/>
        </w:tabs>
        <w:numPr>
          <w:ilvl w:val="1"/>
          <w:numId w:val="772"/>
        </w:numPr>
        <w:rPr>
          <w:rFonts w:ascii="Arial" w:cs="Arial" w:eastAsia="Arial" w:hAnsi="Arial"/>
          <w:sz w:val="17"/>
          <w:szCs w:val="17"/>
          <w:color w:val="auto"/>
        </w:rPr>
      </w:pPr>
      <w:r>
        <w:rPr>
          <w:rFonts w:ascii="Arial" w:cs="Arial" w:eastAsia="Arial" w:hAnsi="Arial"/>
          <w:sz w:val="17"/>
          <w:szCs w:val="17"/>
          <w:color w:val="auto"/>
        </w:rPr>
        <w:t>Exhibit B-2 sets for the Development Budgets for the initial Development Plans set forth in Exhibit B-1, and those Development Budgets include a high-level forecast of anticipated budget amounts and associated timelines for the applicable development.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62" w:name="page863"/>
    <w:bookmarkEnd w:id="862"/>
    <w:p>
      <w:pPr>
        <w:ind w:left="87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Development Efforts; Manner of Performance; Reports</w:t>
      </w:r>
      <w:r>
        <w:rPr>
          <w:rFonts w:ascii="Arial" w:cs="Arial" w:eastAsia="Arial" w:hAnsi="Arial"/>
          <w:sz w:val="18"/>
          <w:szCs w:val="18"/>
          <w:color w:val="auto"/>
        </w:rPr>
        <w:t>.</w:t>
      </w:r>
    </w:p>
    <w:p>
      <w:pPr>
        <w:spacing w:after="0" w:line="117" w:lineRule="exact"/>
        <w:rPr>
          <w:sz w:val="20"/>
          <w:szCs w:val="20"/>
          <w:color w:val="auto"/>
        </w:rPr>
      </w:pPr>
    </w:p>
    <w:p>
      <w:pPr>
        <w:ind w:left="436" w:right="40" w:firstLine="428"/>
        <w:spacing w:after="0" w:line="253" w:lineRule="auto"/>
        <w:tabs>
          <w:tab w:leader="none" w:pos="1104" w:val="left"/>
        </w:tabs>
        <w:numPr>
          <w:ilvl w:val="1"/>
          <w:numId w:val="773"/>
        </w:numPr>
        <w:rPr>
          <w:rFonts w:ascii="Arial" w:cs="Arial" w:eastAsia="Arial" w:hAnsi="Arial"/>
          <w:sz w:val="18"/>
          <w:szCs w:val="18"/>
          <w:color w:val="auto"/>
        </w:rPr>
      </w:pPr>
      <w:r>
        <w:rPr>
          <w:rFonts w:ascii="Arial" w:cs="Arial" w:eastAsia="Arial" w:hAnsi="Arial"/>
          <w:sz w:val="18"/>
          <w:szCs w:val="18"/>
          <w:i w:val="1"/>
          <w:iCs w:val="1"/>
          <w:color w:val="auto"/>
        </w:rPr>
        <w:t>Development Efforts</w:t>
      </w:r>
      <w:r>
        <w:rPr>
          <w:rFonts w:ascii="Arial" w:cs="Arial" w:eastAsia="Arial" w:hAnsi="Arial"/>
          <w:sz w:val="18"/>
          <w:szCs w:val="18"/>
          <w:color w:val="auto"/>
        </w:rPr>
        <w:t>. Licensee will use Commercially Reasonable Efforts to develop, and seek Regulatory Approval for,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containing the Licensed Compound for use in at least the United States, two Major European Countries, and Japan for at least one of the Initial Indications. All other development and commercialization efforts with respect to the Licensed Compound and Licensed Products shall be at the discretion of Licensee. Without limiting the generality of the foregoing, Licensee will use Commercially Reasonable Efforts to perform, or cause others to perform, each Development Plan as set forth therein (including in accordance with the applicable Development Budget and timelines set forth therein). Licensee will conduct, and will cause its Affiliates and Sublicensees to conduct (as applicable), all research and development activities in good scientific manner and in compliance with applicable Law, including Laws regarding environmental, safety and industrial hygiene, and GLP, GCP, current standards for pharmacovigilance practice, and all applicable requirements relating to the protection of human subjects.</w:t>
      </w:r>
    </w:p>
    <w:p>
      <w:pPr>
        <w:spacing w:after="0" w:line="89" w:lineRule="exact"/>
        <w:rPr>
          <w:rFonts w:ascii="Arial" w:cs="Arial" w:eastAsia="Arial" w:hAnsi="Arial"/>
          <w:sz w:val="18"/>
          <w:szCs w:val="18"/>
          <w:color w:val="auto"/>
        </w:rPr>
      </w:pPr>
    </w:p>
    <w:p>
      <w:pPr>
        <w:ind w:left="436" w:right="580" w:firstLine="428"/>
        <w:spacing w:after="0" w:line="264" w:lineRule="auto"/>
        <w:tabs>
          <w:tab w:leader="none" w:pos="1114" w:val="left"/>
        </w:tabs>
        <w:numPr>
          <w:ilvl w:val="1"/>
          <w:numId w:val="773"/>
        </w:numPr>
        <w:rPr>
          <w:rFonts w:ascii="Arial" w:cs="Arial" w:eastAsia="Arial" w:hAnsi="Arial"/>
          <w:sz w:val="18"/>
          <w:szCs w:val="18"/>
          <w:color w:val="auto"/>
        </w:rPr>
      </w:pPr>
      <w:r>
        <w:rPr>
          <w:rFonts w:ascii="Arial" w:cs="Arial" w:eastAsia="Arial" w:hAnsi="Arial"/>
          <w:sz w:val="18"/>
          <w:szCs w:val="18"/>
          <w:i w:val="1"/>
          <w:iCs w:val="1"/>
          <w:color w:val="auto"/>
        </w:rPr>
        <w:t>Responsibility; Cost and Expense</w:t>
      </w:r>
      <w:r>
        <w:rPr>
          <w:rFonts w:ascii="Arial" w:cs="Arial" w:eastAsia="Arial" w:hAnsi="Arial"/>
          <w:sz w:val="18"/>
          <w:szCs w:val="18"/>
          <w:color w:val="auto"/>
        </w:rPr>
        <w:t>. As between the Parties, Licensee will be solely responsible, at its sole cost and expense,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activities under this Agreement (including the performance of each Development Plan), and all associated manufacturing.</w:t>
      </w:r>
    </w:p>
    <w:p>
      <w:pPr>
        <w:spacing w:after="0" w:line="73" w:lineRule="exact"/>
        <w:rPr>
          <w:rFonts w:ascii="Arial" w:cs="Arial" w:eastAsia="Arial" w:hAnsi="Arial"/>
          <w:sz w:val="18"/>
          <w:szCs w:val="18"/>
          <w:color w:val="auto"/>
        </w:rPr>
      </w:pPr>
    </w:p>
    <w:p>
      <w:pPr>
        <w:ind w:left="436" w:firstLine="428"/>
        <w:spacing w:after="0" w:line="289" w:lineRule="auto"/>
        <w:tabs>
          <w:tab w:leader="none" w:pos="1104" w:val="left"/>
        </w:tabs>
        <w:numPr>
          <w:ilvl w:val="1"/>
          <w:numId w:val="773"/>
        </w:numPr>
        <w:rPr>
          <w:rFonts w:ascii="Arial" w:cs="Arial" w:eastAsia="Arial" w:hAnsi="Arial"/>
          <w:sz w:val="16"/>
          <w:szCs w:val="16"/>
          <w:color w:val="auto"/>
        </w:rPr>
      </w:pPr>
      <w:r>
        <w:rPr>
          <w:rFonts w:ascii="Arial" w:cs="Arial" w:eastAsia="Arial" w:hAnsi="Arial"/>
          <w:sz w:val="16"/>
          <w:szCs w:val="16"/>
          <w:i w:val="1"/>
          <w:iCs w:val="1"/>
          <w:color w:val="auto"/>
        </w:rPr>
        <w:t>Development Reports</w:t>
      </w:r>
      <w:r>
        <w:rPr>
          <w:rFonts w:ascii="Arial" w:cs="Arial" w:eastAsia="Arial" w:hAnsi="Arial"/>
          <w:sz w:val="16"/>
          <w:szCs w:val="16"/>
          <w:color w:val="auto"/>
        </w:rPr>
        <w:t>. In the event that Licensee has not received Regulatory Approval for a Licensed Product in [***], Licensee will</w:t>
      </w:r>
      <w:r>
        <w:rPr>
          <w:rFonts w:ascii="Arial" w:cs="Arial" w:eastAsia="Arial" w:hAnsi="Arial"/>
          <w:sz w:val="16"/>
          <w:szCs w:val="16"/>
          <w:i w:val="1"/>
          <w:iCs w:val="1"/>
          <w:color w:val="auto"/>
        </w:rPr>
        <w:t xml:space="preserve"> </w:t>
      </w:r>
      <w:r>
        <w:rPr>
          <w:rFonts w:ascii="Arial" w:cs="Arial" w:eastAsia="Arial" w:hAnsi="Arial"/>
          <w:sz w:val="16"/>
          <w:szCs w:val="16"/>
          <w:color w:val="auto"/>
        </w:rPr>
        <w:t>prepare and maintain, and will cause each of its Affiliates and Sublicensees to prepare and maintain (as applicable), reasonably complete and accurate records regarding the development activities on the Licensed Compound or Licensed Products that have been performed. Each calendar year, Licensee will provide to Aerpio a written progress report that includes information of Licensee and its Affiliates and Sublicensees regarding accrual, site initiation, progress on protocol writing, meeting requests and briefing documents, in the case of clinical or regulatory activities, and in other cases such information as is reasonably necessary to convey a reasonably comprehensive understanding of the status of the applicable research or development activity. In addition to the foregoing, Licensee will immediately provide notice to Aerpio in the event that the development of the Licensed Compound or any of the Licensed Products, or any Indications in development, is suspended or terminated, or if any significant adverse events have occurred, as defined by the applicable Regulatory Authority.</w:t>
      </w:r>
    </w:p>
    <w:p>
      <w:pPr>
        <w:spacing w:after="0" w:line="58" w:lineRule="exact"/>
        <w:rPr>
          <w:rFonts w:ascii="Arial" w:cs="Arial" w:eastAsia="Arial" w:hAnsi="Arial"/>
          <w:sz w:val="16"/>
          <w:szCs w:val="16"/>
          <w:color w:val="auto"/>
        </w:rPr>
      </w:pPr>
    </w:p>
    <w:p>
      <w:pPr>
        <w:ind w:left="1116" w:hanging="252"/>
        <w:spacing w:after="0"/>
        <w:tabs>
          <w:tab w:leader="none" w:pos="1116" w:val="left"/>
        </w:tabs>
        <w:numPr>
          <w:ilvl w:val="1"/>
          <w:numId w:val="773"/>
        </w:numPr>
        <w:rPr>
          <w:rFonts w:ascii="Arial" w:cs="Arial" w:eastAsia="Arial" w:hAnsi="Arial"/>
          <w:sz w:val="18"/>
          <w:szCs w:val="18"/>
          <w:color w:val="auto"/>
        </w:rPr>
      </w:pPr>
      <w:r>
        <w:rPr>
          <w:rFonts w:ascii="Arial" w:cs="Arial" w:eastAsia="Arial" w:hAnsi="Arial"/>
          <w:sz w:val="18"/>
          <w:szCs w:val="18"/>
          <w:i w:val="1"/>
          <w:iCs w:val="1"/>
          <w:color w:val="auto"/>
        </w:rPr>
        <w:t>Aerpio Know-How Transfer and Technical Assistance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40" w:firstLine="1436"/>
        <w:spacing w:after="0" w:line="259" w:lineRule="auto"/>
        <w:tabs>
          <w:tab w:leader="none" w:pos="1644" w:val="left"/>
        </w:tabs>
        <w:numPr>
          <w:ilvl w:val="2"/>
          <w:numId w:val="773"/>
        </w:numPr>
        <w:rPr>
          <w:rFonts w:ascii="Arial" w:cs="Arial" w:eastAsia="Arial" w:hAnsi="Arial"/>
          <w:sz w:val="18"/>
          <w:szCs w:val="18"/>
          <w:color w:val="auto"/>
        </w:rPr>
      </w:pPr>
      <w:r>
        <w:rPr>
          <w:rFonts w:ascii="Arial" w:cs="Arial" w:eastAsia="Arial" w:hAnsi="Arial"/>
          <w:sz w:val="18"/>
          <w:szCs w:val="18"/>
          <w:i w:val="1"/>
          <w:iCs w:val="1"/>
          <w:color w:val="auto"/>
        </w:rPr>
        <w:t>Know-How Transfer</w:t>
      </w:r>
      <w:r>
        <w:rPr>
          <w:rFonts w:ascii="Arial" w:cs="Arial" w:eastAsia="Arial" w:hAnsi="Arial"/>
          <w:sz w:val="18"/>
          <w:szCs w:val="18"/>
          <w:color w:val="auto"/>
        </w:rPr>
        <w:t>. During the [***] period following the Effective Date, Aerpio will endeavor to provide to Licensee all</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embodiments of all Aerpio Know-How in its possession and Control, including one (1) electronic copy of all documents, data or other information in Aerpio’s Control to the extent that such documents, data or other information describe or contain Aerpio Know-How (including any clinical studies on the Licensed Compound).</w:t>
      </w:r>
    </w:p>
    <w:p>
      <w:pPr>
        <w:spacing w:after="0" w:line="78" w:lineRule="exact"/>
        <w:rPr>
          <w:rFonts w:ascii="Arial" w:cs="Arial" w:eastAsia="Arial" w:hAnsi="Arial"/>
          <w:sz w:val="18"/>
          <w:szCs w:val="18"/>
          <w:color w:val="auto"/>
        </w:rPr>
      </w:pPr>
    </w:p>
    <w:p>
      <w:pPr>
        <w:ind w:left="-4" w:right="80" w:firstLine="1436"/>
        <w:spacing w:after="0" w:line="255" w:lineRule="auto"/>
        <w:tabs>
          <w:tab w:leader="none" w:pos="1694" w:val="left"/>
        </w:tabs>
        <w:numPr>
          <w:ilvl w:val="2"/>
          <w:numId w:val="773"/>
        </w:numPr>
        <w:rPr>
          <w:rFonts w:ascii="Arial" w:cs="Arial" w:eastAsia="Arial" w:hAnsi="Arial"/>
          <w:sz w:val="18"/>
          <w:szCs w:val="18"/>
          <w:color w:val="auto"/>
        </w:rPr>
      </w:pPr>
      <w:r>
        <w:rPr>
          <w:rFonts w:ascii="Arial" w:cs="Arial" w:eastAsia="Arial" w:hAnsi="Arial"/>
          <w:sz w:val="18"/>
          <w:szCs w:val="18"/>
          <w:i w:val="1"/>
          <w:iCs w:val="1"/>
          <w:color w:val="auto"/>
        </w:rPr>
        <w:t>Technical Assistance</w:t>
      </w:r>
      <w:r>
        <w:rPr>
          <w:rFonts w:ascii="Arial" w:cs="Arial" w:eastAsia="Arial" w:hAnsi="Arial"/>
          <w:sz w:val="18"/>
          <w:szCs w:val="18"/>
          <w:color w:val="auto"/>
        </w:rPr>
        <w:t>. During the six (6) month period following the Effective Date, Aerpio will reasonably cooperate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Licensee to provide (i) up to two hundred fifty (250) hours of technical assistance without charge to Licensee (with travel and accommodation expenses to be borne by Licensee) and (ii) any additional hours of technical assistance as Licensee may reasonably request, for which Licensee will pay Aerpio a rate of [***] dollars (also “USD”) ($[***]) for C-level executives, [***] U.S. dollars ($[***]) for VP-level employees and [***] U.S. dollars ($[***]) for other employees, in each case per hour of such technical assistance and reimburse Aerpio for all out-of-pocket expenses incurred in providing such technical assistance under this clause (ii), in each case to facilitate the transfer of development efforts related to the Licensed Compound and Licensed Products. Such cooperation will</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36" w:right="460" w:hanging="436"/>
        <w:spacing w:after="0" w:line="258" w:lineRule="auto"/>
        <w:tabs>
          <w:tab w:leader="none" w:pos="436" w:val="left"/>
        </w:tabs>
        <w:numPr>
          <w:ilvl w:val="0"/>
          <w:numId w:val="77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 w:lineRule="exact"/>
        <w:rPr>
          <w:rFonts w:ascii="Arial" w:cs="Arial" w:eastAsia="Arial" w:hAnsi="Arial"/>
          <w:sz w:val="15"/>
          <w:szCs w:val="15"/>
          <w:color w:val="auto"/>
        </w:rPr>
      </w:pPr>
    </w:p>
    <w:p>
      <w:pPr>
        <w:ind w:left="436" w:right="460" w:hanging="436"/>
        <w:spacing w:after="0" w:line="261" w:lineRule="auto"/>
        <w:tabs>
          <w:tab w:leader="none" w:pos="436" w:val="left"/>
        </w:tabs>
        <w:numPr>
          <w:ilvl w:val="0"/>
          <w:numId w:val="77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-593725</wp:posOffset>
            </wp:positionV>
            <wp:extent cx="6946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9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16"/>
          </w:cols>
          <w:pgMar w:left="444" w:top="274" w:right="439" w:bottom="1440" w:gutter="0" w:footer="0" w:header="0"/>
        </w:sectPr>
      </w:pPr>
    </w:p>
    <w:bookmarkStart w:id="863" w:name="page864"/>
    <w:bookmarkEnd w:id="863"/>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providing Licensee with reasonable access by teleconference or in-person at Aerpio’s facilities to Aerpio personnel involved in the development of the Licensed Compound and Licensed Products to provide Licensee with a reasonable level of technical assistance and consultation in connection with the transfer of Aerpio Know-How.</w:t>
      </w:r>
    </w:p>
    <w:p>
      <w:pPr>
        <w:spacing w:after="0" w:line="73" w:lineRule="exact"/>
        <w:rPr>
          <w:sz w:val="20"/>
          <w:szCs w:val="20"/>
          <w:color w:val="auto"/>
        </w:rPr>
      </w:pPr>
    </w:p>
    <w:p>
      <w:pPr>
        <w:ind w:firstLine="1436"/>
        <w:spacing w:after="0" w:line="257" w:lineRule="auto"/>
        <w:tabs>
          <w:tab w:leader="none" w:pos="1748" w:val="left"/>
        </w:tabs>
        <w:numPr>
          <w:ilvl w:val="0"/>
          <w:numId w:val="774"/>
        </w:numPr>
        <w:rPr>
          <w:rFonts w:ascii="Arial" w:cs="Arial" w:eastAsia="Arial" w:hAnsi="Arial"/>
          <w:sz w:val="18"/>
          <w:szCs w:val="18"/>
          <w:color w:val="auto"/>
        </w:rPr>
      </w:pPr>
      <w:r>
        <w:rPr>
          <w:rFonts w:ascii="Arial" w:cs="Arial" w:eastAsia="Arial" w:hAnsi="Arial"/>
          <w:sz w:val="18"/>
          <w:szCs w:val="18"/>
          <w:color w:val="auto"/>
        </w:rPr>
        <w:t>Aerpio agrees that, during the Term and subject to Section 8.4, any Aerpio Know-How disclosed to or required to be disclosed to Licensee shall be treated as Licensee Confidential Information hereunder (in addition to being treated as Aerpio Confidential Information), but only to the extent any such Aerpio Know-How relates solely to the Licensed Compound and is not excepted from the confidentiality obligations pursuant to Section 8.1(b). Notwithstanding the foregoing or anything else contained herein, Licensee may publish or otherwise disclose Aerpio Know-How to the extent reasonably related to any Licensed Compound or Licensed Products.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Regulatory Filings and Regulatory Approvals</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64" w:lineRule="auto"/>
        <w:tabs>
          <w:tab w:leader="none" w:pos="1108" w:val="left"/>
        </w:tabs>
        <w:numPr>
          <w:ilvl w:val="0"/>
          <w:numId w:val="775"/>
        </w:numPr>
        <w:rPr>
          <w:rFonts w:ascii="Arial" w:cs="Arial" w:eastAsia="Arial" w:hAnsi="Arial"/>
          <w:sz w:val="18"/>
          <w:szCs w:val="18"/>
          <w:color w:val="auto"/>
        </w:rPr>
      </w:pPr>
      <w:r>
        <w:rPr>
          <w:rFonts w:ascii="Arial" w:cs="Arial" w:eastAsia="Arial" w:hAnsi="Arial"/>
          <w:sz w:val="18"/>
          <w:szCs w:val="18"/>
          <w:i w:val="1"/>
          <w:iCs w:val="1"/>
          <w:color w:val="auto"/>
        </w:rPr>
        <w:t>Responsibility; Cost and Expense</w:t>
      </w:r>
      <w:r>
        <w:rPr>
          <w:rFonts w:ascii="Arial" w:cs="Arial" w:eastAsia="Arial" w:hAnsi="Arial"/>
          <w:sz w:val="18"/>
          <w:szCs w:val="18"/>
          <w:color w:val="auto"/>
        </w:rPr>
        <w:t>. As between the Parties, Licensee will solely be responsible, at its sole cost and expense, for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attempting to obtain all Regulatory Approvals for the Licensed Products for use in the Territory and in the Field, including in accordance with each Development Plan.</w:t>
      </w:r>
    </w:p>
    <w:p>
      <w:pPr>
        <w:spacing w:after="0" w:line="73"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775"/>
        </w:numPr>
        <w:rPr>
          <w:rFonts w:ascii="Arial" w:cs="Arial" w:eastAsia="Arial" w:hAnsi="Arial"/>
          <w:sz w:val="18"/>
          <w:szCs w:val="18"/>
          <w:color w:val="auto"/>
        </w:rPr>
      </w:pPr>
      <w:r>
        <w:rPr>
          <w:rFonts w:ascii="Arial" w:cs="Arial" w:eastAsia="Arial" w:hAnsi="Arial"/>
          <w:sz w:val="18"/>
          <w:szCs w:val="18"/>
          <w:i w:val="1"/>
          <w:iCs w:val="1"/>
          <w:color w:val="auto"/>
        </w:rPr>
        <w:t>Ownership of Regulatory Approvals</w:t>
      </w:r>
      <w:r>
        <w:rPr>
          <w:rFonts w:ascii="Arial" w:cs="Arial" w:eastAsia="Arial" w:hAnsi="Arial"/>
          <w:sz w:val="18"/>
          <w:szCs w:val="18"/>
          <w:color w:val="auto"/>
        </w:rPr>
        <w:t>. As between the Parties, Licensee will own all Regulatory Filings and Regulatory Approval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Products for use in the Territory and in the Field filed by Licensee or any of its Affiliates or Sublicensees.</w:t>
      </w:r>
    </w:p>
    <w:p>
      <w:pPr>
        <w:spacing w:after="0" w:line="62" w:lineRule="exact"/>
        <w:rPr>
          <w:rFonts w:ascii="Arial" w:cs="Arial" w:eastAsia="Arial" w:hAnsi="Arial"/>
          <w:sz w:val="18"/>
          <w:szCs w:val="18"/>
          <w:color w:val="auto"/>
        </w:rPr>
      </w:pPr>
    </w:p>
    <w:p>
      <w:pPr>
        <w:ind w:left="440" w:firstLine="428"/>
        <w:spacing w:after="0" w:line="269" w:lineRule="auto"/>
        <w:tabs>
          <w:tab w:leader="none" w:pos="1108" w:val="left"/>
        </w:tabs>
        <w:numPr>
          <w:ilvl w:val="0"/>
          <w:numId w:val="775"/>
        </w:numPr>
        <w:rPr>
          <w:rFonts w:ascii="Arial" w:cs="Arial" w:eastAsia="Arial" w:hAnsi="Arial"/>
          <w:sz w:val="17"/>
          <w:szCs w:val="17"/>
          <w:color w:val="auto"/>
        </w:rPr>
      </w:pPr>
      <w:r>
        <w:rPr>
          <w:rFonts w:ascii="Arial" w:cs="Arial" w:eastAsia="Arial" w:hAnsi="Arial"/>
          <w:sz w:val="17"/>
          <w:szCs w:val="17"/>
          <w:i w:val="1"/>
          <w:iCs w:val="1"/>
          <w:color w:val="auto"/>
        </w:rPr>
        <w:t>Regulatory Cooperation</w:t>
      </w:r>
      <w:r>
        <w:rPr>
          <w:rFonts w:ascii="Arial" w:cs="Arial" w:eastAsia="Arial" w:hAnsi="Arial"/>
          <w:sz w:val="17"/>
          <w:szCs w:val="17"/>
          <w:color w:val="auto"/>
        </w:rPr>
        <w:t>. Licensee will provide, and will cause its Affiliates and Sublicensees to provide (as applicable), Aerpio with</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drafts of any material documents or other material correspondence pertaining to Regulatory Approvals, including any proposed labeling, that is planned to be submitted to any Regulatory Authority. Aerpio may provide comments regarding such documents and other correspondence prior to their submission, which comments Licensee and its Affiliates and Sublicensees will consider in good faith. Licensee will provide, and will cause its Affiliates and Sublicensees to provide (as applicable), Aerpio with copies of all material submissions it makes to, and all material correspondence it receives from, a Regulatory Authority pertaining to a Regulatory Approval. Notices, copies of submissions and correspondence, and other materials to be given in advance as provided in this Section 2.5(c) will be provided at least [***] in advance unless circumstances necessitate a shorter time period, and in any event not less than a reasonable time in advance under the circumstances. For clarity, during the Term, Aerpio shall have no right to, and shall not, make any regulatory filings related to the Licensed Compound or Licensed Products or otherwise interact with any Regulatory Authorities with respect to the Licensed Compound or Licensed Product, unless compelled or involuntarily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Commercialization</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Commercialization Efforts; Manner of Performance; Reports; Pricing; Markings</w:t>
      </w:r>
      <w:r>
        <w:rPr>
          <w:rFonts w:ascii="Arial" w:cs="Arial" w:eastAsia="Arial" w:hAnsi="Arial"/>
          <w:sz w:val="18"/>
          <w:szCs w:val="18"/>
          <w:color w:val="auto"/>
        </w:rPr>
        <w:t>.</w:t>
      </w:r>
    </w:p>
    <w:p>
      <w:pPr>
        <w:spacing w:after="0" w:line="117" w:lineRule="exact"/>
        <w:rPr>
          <w:sz w:val="20"/>
          <w:szCs w:val="20"/>
          <w:color w:val="auto"/>
        </w:rPr>
      </w:pPr>
    </w:p>
    <w:p>
      <w:pPr>
        <w:ind w:left="440" w:right="40" w:firstLine="428"/>
        <w:spacing w:after="0" w:line="259" w:lineRule="auto"/>
        <w:tabs>
          <w:tab w:leader="none" w:pos="1108" w:val="left"/>
        </w:tabs>
        <w:numPr>
          <w:ilvl w:val="1"/>
          <w:numId w:val="776"/>
        </w:numPr>
        <w:rPr>
          <w:rFonts w:ascii="Arial" w:cs="Arial" w:eastAsia="Arial" w:hAnsi="Arial"/>
          <w:sz w:val="18"/>
          <w:szCs w:val="18"/>
          <w:color w:val="auto"/>
        </w:rPr>
      </w:pPr>
      <w:r>
        <w:rPr>
          <w:rFonts w:ascii="Arial" w:cs="Arial" w:eastAsia="Arial" w:hAnsi="Arial"/>
          <w:sz w:val="18"/>
          <w:szCs w:val="18"/>
          <w:i w:val="1"/>
          <w:iCs w:val="1"/>
          <w:color w:val="auto"/>
        </w:rPr>
        <w:t>Commercialization Efforts</w:t>
      </w:r>
      <w:r>
        <w:rPr>
          <w:rFonts w:ascii="Arial" w:cs="Arial" w:eastAsia="Arial" w:hAnsi="Arial"/>
          <w:sz w:val="18"/>
          <w:szCs w:val="18"/>
          <w:color w:val="auto"/>
        </w:rPr>
        <w:t>. Licensee will use Commercially Reasonable Efforts to commercialize Licensed Products for use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Territory and in the Field in those countries and for those Indications for which Regulatory Approval (and, if applicable, pricing or reimbursement approval or decision) has been obtained. Without limiting the generality of the foregoing, Licensee will use Commercially Reasonable Efforts to execute and to perform, or cause to be performed, the Commercialization Plan.</w:t>
      </w:r>
    </w:p>
    <w:p>
      <w:pPr>
        <w:spacing w:after="0" w:line="281" w:lineRule="exact"/>
        <w:rPr>
          <w:rFonts w:ascii="Arial" w:cs="Arial" w:eastAsia="Arial" w:hAnsi="Arial"/>
          <w:sz w:val="18"/>
          <w:szCs w:val="18"/>
          <w:color w:val="auto"/>
        </w:rPr>
      </w:pPr>
    </w:p>
    <w:p>
      <w:pPr>
        <w:ind w:left="440" w:right="460" w:hanging="436"/>
        <w:spacing w:after="0" w:line="277" w:lineRule="auto"/>
        <w:tabs>
          <w:tab w:leader="none" w:pos="440" w:val="left"/>
        </w:tabs>
        <w:numPr>
          <w:ilvl w:val="0"/>
          <w:numId w:val="77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864" w:name="page865"/>
    <w:bookmarkEnd w:id="864"/>
    <w:p>
      <w:pPr>
        <w:ind w:left="440" w:right="560" w:firstLine="428"/>
        <w:spacing w:after="0" w:line="342" w:lineRule="auto"/>
        <w:tabs>
          <w:tab w:leader="none" w:pos="1118" w:val="left"/>
        </w:tabs>
        <w:numPr>
          <w:ilvl w:val="0"/>
          <w:numId w:val="77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Cost and Expense</w:t>
      </w:r>
      <w:r>
        <w:rPr>
          <w:rFonts w:ascii="Arial" w:cs="Arial" w:eastAsia="Arial" w:hAnsi="Arial"/>
          <w:sz w:val="16"/>
          <w:szCs w:val="16"/>
          <w:color w:val="auto"/>
        </w:rPr>
        <w:t>. As between the Parties, Licensee will be solely responsible, at its sole cost and expense,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activities under this Agreement (including under the Commercialization Plan), and all associated manufacturing.</w:t>
      </w:r>
    </w:p>
    <w:p>
      <w:pPr>
        <w:spacing w:after="0" w:line="15" w:lineRule="exact"/>
        <w:rPr>
          <w:rFonts w:ascii="Arial" w:cs="Arial" w:eastAsia="Arial" w:hAnsi="Arial"/>
          <w:sz w:val="16"/>
          <w:szCs w:val="16"/>
          <w:color w:val="auto"/>
        </w:rPr>
      </w:pPr>
    </w:p>
    <w:p>
      <w:pPr>
        <w:ind w:left="440" w:firstLine="428"/>
        <w:spacing w:after="0" w:line="259" w:lineRule="auto"/>
        <w:tabs>
          <w:tab w:leader="none" w:pos="1108" w:val="left"/>
        </w:tabs>
        <w:numPr>
          <w:ilvl w:val="0"/>
          <w:numId w:val="777"/>
        </w:numPr>
        <w:rPr>
          <w:rFonts w:ascii="Arial" w:cs="Arial" w:eastAsia="Arial" w:hAnsi="Arial"/>
          <w:sz w:val="18"/>
          <w:szCs w:val="18"/>
          <w:color w:val="auto"/>
        </w:rPr>
      </w:pPr>
      <w:r>
        <w:rPr>
          <w:rFonts w:ascii="Arial" w:cs="Arial" w:eastAsia="Arial" w:hAnsi="Arial"/>
          <w:sz w:val="18"/>
          <w:szCs w:val="18"/>
          <w:i w:val="1"/>
          <w:iCs w:val="1"/>
          <w:color w:val="auto"/>
        </w:rPr>
        <w:t>Commercialization Reports</w:t>
      </w:r>
      <w:r>
        <w:rPr>
          <w:rFonts w:ascii="Arial" w:cs="Arial" w:eastAsia="Arial" w:hAnsi="Arial"/>
          <w:sz w:val="18"/>
          <w:szCs w:val="18"/>
          <w:color w:val="auto"/>
        </w:rPr>
        <w:t>. Licensee will prepare and maintain and will cause its Affiliates and Sublicensees to prepare and maintain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reasonably complete and accurate records regarding the commercialization activities for Licensed Products. Each calendar quarter, Licensee will provide to Aerpio a written progress report that describes commercialization activities that Licensee and its Affiliates and Sublicensees has performed or caused to be performed since the last progress report submitted.</w:t>
      </w:r>
    </w:p>
    <w:p>
      <w:pPr>
        <w:spacing w:after="0" w:line="78"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0"/>
          <w:numId w:val="777"/>
        </w:numPr>
        <w:rPr>
          <w:rFonts w:ascii="Arial" w:cs="Arial" w:eastAsia="Arial" w:hAnsi="Arial"/>
          <w:sz w:val="18"/>
          <w:szCs w:val="18"/>
          <w:color w:val="auto"/>
        </w:rPr>
      </w:pPr>
      <w:r>
        <w:rPr>
          <w:rFonts w:ascii="Arial" w:cs="Arial" w:eastAsia="Arial" w:hAnsi="Arial"/>
          <w:sz w:val="18"/>
          <w:szCs w:val="18"/>
          <w:i w:val="1"/>
          <w:iCs w:val="1"/>
          <w:color w:val="auto"/>
        </w:rPr>
        <w:t>Pricing and Reimbursement</w:t>
      </w:r>
      <w:r>
        <w:rPr>
          <w:rFonts w:ascii="Arial" w:cs="Arial" w:eastAsia="Arial" w:hAnsi="Arial"/>
          <w:sz w:val="18"/>
          <w:szCs w:val="18"/>
          <w:color w:val="auto"/>
        </w:rPr>
        <w:t>. As between the Parties, Licensee will be responsible for and have the exclusive right to seek and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and reimbursement approvals for the Licensed Products for use in the Territory and in the Field.</w:t>
      </w:r>
    </w:p>
    <w:p>
      <w:pPr>
        <w:spacing w:after="0" w:line="62" w:lineRule="exact"/>
        <w:rPr>
          <w:rFonts w:ascii="Arial" w:cs="Arial" w:eastAsia="Arial" w:hAnsi="Arial"/>
          <w:sz w:val="18"/>
          <w:szCs w:val="18"/>
          <w:color w:val="auto"/>
        </w:rPr>
      </w:pPr>
    </w:p>
    <w:p>
      <w:pPr>
        <w:jc w:val="both"/>
        <w:ind w:left="440" w:firstLine="428"/>
        <w:spacing w:after="0" w:line="264" w:lineRule="auto"/>
        <w:tabs>
          <w:tab w:leader="none" w:pos="1108" w:val="left"/>
        </w:tabs>
        <w:numPr>
          <w:ilvl w:val="0"/>
          <w:numId w:val="777"/>
        </w:numPr>
        <w:rPr>
          <w:rFonts w:ascii="Arial" w:cs="Arial" w:eastAsia="Arial" w:hAnsi="Arial"/>
          <w:sz w:val="18"/>
          <w:szCs w:val="18"/>
          <w:color w:val="auto"/>
        </w:rPr>
      </w:pPr>
      <w:r>
        <w:rPr>
          <w:rFonts w:ascii="Arial" w:cs="Arial" w:eastAsia="Arial" w:hAnsi="Arial"/>
          <w:sz w:val="18"/>
          <w:szCs w:val="18"/>
          <w:i w:val="1"/>
          <w:iCs w:val="1"/>
          <w:color w:val="auto"/>
        </w:rPr>
        <w:t>Commercialization Markings</w:t>
      </w:r>
      <w:r>
        <w:rPr>
          <w:rFonts w:ascii="Arial" w:cs="Arial" w:eastAsia="Arial" w:hAnsi="Arial"/>
          <w:sz w:val="18"/>
          <w:szCs w:val="18"/>
          <w:color w:val="auto"/>
        </w:rPr>
        <w:t>. All promotional materials, packaging and product labeling for Licensed Products will contain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prohibited by applicable Law, the corporate name of Aerpio (in a form and manner to be provided by Aerpio), and further will indicate that the Licensed Product was in-licensed from Aerpio.</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Commercialization Plan and Budget</w:t>
      </w:r>
      <w:r>
        <w:rPr>
          <w:rFonts w:ascii="Arial" w:cs="Arial" w:eastAsia="Arial" w:hAnsi="Arial"/>
          <w:sz w:val="18"/>
          <w:szCs w:val="18"/>
          <w:color w:val="auto"/>
        </w:rPr>
        <w:t>.</w:t>
      </w:r>
    </w:p>
    <w:p>
      <w:pPr>
        <w:spacing w:after="0" w:line="117" w:lineRule="exact"/>
        <w:rPr>
          <w:sz w:val="20"/>
          <w:szCs w:val="20"/>
          <w:color w:val="auto"/>
        </w:rPr>
      </w:pPr>
    </w:p>
    <w:p>
      <w:pPr>
        <w:ind w:left="1120" w:hanging="252"/>
        <w:spacing w:after="0"/>
        <w:tabs>
          <w:tab w:leader="none" w:pos="1120" w:val="left"/>
        </w:tabs>
        <w:numPr>
          <w:ilvl w:val="0"/>
          <w:numId w:val="778"/>
        </w:numPr>
        <w:rPr>
          <w:rFonts w:ascii="Arial" w:cs="Arial" w:eastAsia="Arial" w:hAnsi="Arial"/>
          <w:sz w:val="17"/>
          <w:szCs w:val="17"/>
          <w:color w:val="auto"/>
        </w:rPr>
      </w:pPr>
      <w:r>
        <w:rPr>
          <w:rFonts w:ascii="Arial" w:cs="Arial" w:eastAsia="Arial" w:hAnsi="Arial"/>
          <w:sz w:val="17"/>
          <w:szCs w:val="17"/>
          <w:i w:val="1"/>
          <w:iCs w:val="1"/>
          <w:color w:val="auto"/>
        </w:rPr>
        <w:t>Commercialization Plan</w:t>
      </w:r>
      <w:r>
        <w:rPr>
          <w:rFonts w:ascii="Arial" w:cs="Arial" w:eastAsia="Arial" w:hAnsi="Arial"/>
          <w:sz w:val="17"/>
          <w:szCs w:val="17"/>
          <w:color w:val="auto"/>
        </w:rPr>
        <w:t>. Licensee will develop a Commercialization Plan that sets forth the commercialization activities to be</w:t>
      </w:r>
    </w:p>
    <w:p>
      <w:pPr>
        <w:spacing w:after="0" w:line="34" w:lineRule="exact"/>
        <w:rPr>
          <w:rFonts w:ascii="Arial" w:cs="Arial" w:eastAsia="Arial" w:hAnsi="Arial"/>
          <w:sz w:val="17"/>
          <w:szCs w:val="17"/>
          <w:color w:val="auto"/>
        </w:rPr>
      </w:pPr>
    </w:p>
    <w:p>
      <w:pPr>
        <w:ind w:left="440" w:right="100"/>
        <w:spacing w:after="0" w:line="269" w:lineRule="auto"/>
        <w:rPr>
          <w:rFonts w:ascii="Arial" w:cs="Arial" w:eastAsia="Arial" w:hAnsi="Arial"/>
          <w:sz w:val="17"/>
          <w:szCs w:val="17"/>
          <w:color w:val="auto"/>
        </w:rPr>
      </w:pPr>
      <w:r>
        <w:rPr>
          <w:rFonts w:ascii="Arial" w:cs="Arial" w:eastAsia="Arial" w:hAnsi="Arial"/>
          <w:sz w:val="17"/>
          <w:szCs w:val="17"/>
          <w:color w:val="auto"/>
        </w:rPr>
        <w:t>undertaken with respect to Licensed Products for use in the Territory and in the Field (which may set forth commercialization activities for use in the Territory and in the Field on a regional basis, rather than a country-by-country basis, defining the regions in a manner consistent with Licensee’s internal procedures). Licensee will use Commercially Reasonable Efforts to commercialize the Licensed Compound and Licensed Products in accordance with the Commercialization Plan and this Agreement. The Commercialization Plan (including the Commercialization Budget) will be provided to Aerpio and will be updated at least annually by Licensee. The terms of and activities set forth in the Commercialization Plan will at all times be designed to be in compliance with all applicable Law and to be conducted in accordance with professional and ethical standards customary in the pharmaceutical industry.</w:t>
      </w:r>
    </w:p>
    <w:p>
      <w:pPr>
        <w:spacing w:after="0" w:line="72" w:lineRule="exact"/>
        <w:rPr>
          <w:rFonts w:ascii="Arial" w:cs="Arial" w:eastAsia="Arial" w:hAnsi="Arial"/>
          <w:sz w:val="17"/>
          <w:szCs w:val="17"/>
          <w:color w:val="auto"/>
        </w:rPr>
      </w:pPr>
    </w:p>
    <w:p>
      <w:pPr>
        <w:ind w:left="440" w:firstLine="428"/>
        <w:spacing w:after="0" w:line="276" w:lineRule="auto"/>
        <w:tabs>
          <w:tab w:leader="none" w:pos="1118" w:val="left"/>
        </w:tabs>
        <w:numPr>
          <w:ilvl w:val="0"/>
          <w:numId w:val="778"/>
        </w:numPr>
        <w:rPr>
          <w:rFonts w:ascii="Arial" w:cs="Arial" w:eastAsia="Arial" w:hAnsi="Arial"/>
          <w:sz w:val="17"/>
          <w:szCs w:val="17"/>
          <w:color w:val="auto"/>
        </w:rPr>
      </w:pPr>
      <w:r>
        <w:rPr>
          <w:rFonts w:ascii="Arial" w:cs="Arial" w:eastAsia="Arial" w:hAnsi="Arial"/>
          <w:sz w:val="17"/>
          <w:szCs w:val="17"/>
          <w:i w:val="1"/>
          <w:iCs w:val="1"/>
          <w:color w:val="auto"/>
        </w:rPr>
        <w:t>Commercialization Budget</w:t>
      </w:r>
      <w:r>
        <w:rPr>
          <w:rFonts w:ascii="Arial" w:cs="Arial" w:eastAsia="Arial" w:hAnsi="Arial"/>
          <w:sz w:val="17"/>
          <w:szCs w:val="17"/>
          <w:color w:val="auto"/>
        </w:rPr>
        <w:t>. The Commercialization Budget will be included in the Commercialization Plan and will be a written budget</w:t>
      </w:r>
      <w:r>
        <w:rPr>
          <w:rFonts w:ascii="Arial" w:cs="Arial" w:eastAsia="Arial" w:hAnsi="Arial"/>
          <w:sz w:val="17"/>
          <w:szCs w:val="17"/>
          <w:i w:val="1"/>
          <w:iCs w:val="1"/>
          <w:color w:val="auto"/>
        </w:rPr>
        <w:t xml:space="preserve"> </w:t>
      </w:r>
      <w:r>
        <w:rPr>
          <w:rFonts w:ascii="Arial" w:cs="Arial" w:eastAsia="Arial" w:hAnsi="Arial"/>
          <w:sz w:val="17"/>
          <w:szCs w:val="17"/>
          <w:color w:val="auto"/>
        </w:rPr>
        <w:t>setting forth the budgeted amounts for costs with respect to activities set forth in the Commercialization Plan during the then-current calendar year and [</w:t>
      </w:r>
      <w:r>
        <w:rPr>
          <w:rFonts w:ascii="Arial" w:cs="Arial" w:eastAsia="Arial" w:hAnsi="Arial"/>
          <w:sz w:val="14"/>
          <w:szCs w:val="14"/>
          <w:color w:val="auto"/>
        </w:rPr>
        <w:t>***</w:t>
      </w:r>
      <w:r>
        <w:rPr>
          <w:rFonts w:ascii="Arial" w:cs="Arial" w:eastAsia="Arial" w:hAnsi="Arial"/>
          <w:sz w:val="17"/>
          <w:szCs w:val="17"/>
          <w:color w:val="auto"/>
        </w:rPr>
        <w:t>], broken down by calendar quarter for the then current calendar year. The Commercialization Budget also will include a breakout of costs by functional area or category (and may set forth budgets for commercialization activities in the Territory on a regional basis, rather than a country-by-country basis, defining the regions in a manner consistent with Licensee’s internal procedures).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Manufacturing</w:t>
      </w:r>
      <w:r>
        <w:rPr>
          <w:rFonts w:ascii="Arial" w:cs="Arial" w:eastAsia="Arial" w:hAnsi="Arial"/>
          <w:sz w:val="18"/>
          <w:szCs w:val="18"/>
          <w:color w:val="auto"/>
        </w:rPr>
        <w:t>.</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Licensee will be solely responsible, at its sole cost and expense, for manufacturing and supplying the worldwide requirements for the research, development and commercialization of the Licensed Compound and Licensed Products for use in the Territory and in the Field. The manufacturing contracts of Aerpio for the Licensed Compound or Licensed Products listed on Exhibit G hereto will be assigned to Licensee within [***] of the Effective Date. Notwithstanding the foregoing, upon request by Licensee within [***] of the Effective Date, Aerpio shall sell to Licensee at Aerpio’s cost of goods plus delivery costs some or substantially all quantities (as requested by Licensee) of the Licensed Compound or Licensed Product in its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6946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8" w:lineRule="exact"/>
        <w:rPr>
          <w:sz w:val="20"/>
          <w:szCs w:val="20"/>
          <w:color w:val="auto"/>
        </w:rPr>
      </w:pPr>
    </w:p>
    <w:p>
      <w:pPr>
        <w:ind w:left="440" w:right="440" w:hanging="436"/>
        <w:spacing w:after="0" w:line="277" w:lineRule="auto"/>
        <w:tabs>
          <w:tab w:leader="none" w:pos="440" w:val="left"/>
        </w:tabs>
        <w:numPr>
          <w:ilvl w:val="0"/>
          <w:numId w:val="779"/>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65" w:name="page866"/>
    <w:bookmarkEnd w:id="8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Licenses and Other Rights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Exclusive License Grants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30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Aerpio Patents and Aerpio Know-How</w:t>
      </w:r>
      <w:r>
        <w:rPr>
          <w:rFonts w:ascii="Arial" w:cs="Arial" w:eastAsia="Arial" w:hAnsi="Arial"/>
          <w:sz w:val="16"/>
          <w:szCs w:val="16"/>
          <w:color w:val="auto"/>
        </w:rPr>
        <w:t>. Subject to the terms and conditions of this Agreement, Aerpio hereby grants to Licensee a non-transferable (except in accordance with Section 11.1), exclusive (even as to Aerpio), royalty- and milestone-bearing license, with the right to sublicense in accordance with Section 5.2 only, under the Aerpio Patent Rights and Aerpio Know-How, to make, have made, use, sell, offer to sell, import, develop, and commercialize the Licensed Compound and the Licensed Products, for use in the Territory and in the Field.</w:t>
      </w:r>
    </w:p>
    <w:p>
      <w:pPr>
        <w:spacing w:after="0" w:line="46" w:lineRule="exact"/>
        <w:rPr>
          <w:sz w:val="20"/>
          <w:szCs w:val="20"/>
          <w:color w:val="auto"/>
        </w:rPr>
      </w:pPr>
    </w:p>
    <w:p>
      <w:pPr>
        <w:ind w:left="440" w:right="100" w:firstLine="428"/>
        <w:spacing w:after="0" w:line="257" w:lineRule="auto"/>
        <w:tabs>
          <w:tab w:leader="none" w:pos="1118" w:val="left"/>
        </w:tabs>
        <w:numPr>
          <w:ilvl w:val="0"/>
          <w:numId w:val="780"/>
        </w:numPr>
        <w:rPr>
          <w:rFonts w:ascii="Arial" w:cs="Arial" w:eastAsia="Arial" w:hAnsi="Arial"/>
          <w:sz w:val="18"/>
          <w:szCs w:val="18"/>
          <w:color w:val="auto"/>
        </w:rPr>
      </w:pPr>
      <w:r>
        <w:rPr>
          <w:rFonts w:ascii="Arial" w:cs="Arial" w:eastAsia="Arial" w:hAnsi="Arial"/>
          <w:sz w:val="18"/>
          <w:szCs w:val="18"/>
          <w:i w:val="1"/>
          <w:iCs w:val="1"/>
          <w:color w:val="auto"/>
        </w:rPr>
        <w:t>INDs</w:t>
      </w:r>
      <w:r>
        <w:rPr>
          <w:rFonts w:ascii="Arial" w:cs="Arial" w:eastAsia="Arial" w:hAnsi="Arial"/>
          <w:sz w:val="18"/>
          <w:szCs w:val="18"/>
          <w:color w:val="auto"/>
        </w:rPr>
        <w:t>. Subject to the terms and conditions of this Agreement, Aerpio hereby grants to Licensee a non-transferable (except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11.1), exclusive (even as to Aerpio), royalty- and milestone-bearing right of reference, with the right to grant further rights of reference only to those person or entities that have been granted a sublicense by Licensee under the license grant in Section 5.1(a) in compliance with Section 5.2, to the INDs listed on Exhibit D, solely for the Licensed Compound and Licensed Products, for use in the Territory and in the Field.</w:t>
      </w:r>
    </w:p>
    <w:p>
      <w:pPr>
        <w:spacing w:after="0" w:line="80" w:lineRule="exact"/>
        <w:rPr>
          <w:rFonts w:ascii="Arial" w:cs="Arial" w:eastAsia="Arial" w:hAnsi="Arial"/>
          <w:sz w:val="18"/>
          <w:szCs w:val="18"/>
          <w:color w:val="auto"/>
        </w:rPr>
      </w:pPr>
    </w:p>
    <w:p>
      <w:pPr>
        <w:ind w:left="440" w:right="20" w:firstLine="428"/>
        <w:spacing w:after="0" w:line="285" w:lineRule="auto"/>
        <w:tabs>
          <w:tab w:leader="none" w:pos="1108" w:val="left"/>
        </w:tabs>
        <w:numPr>
          <w:ilvl w:val="0"/>
          <w:numId w:val="780"/>
        </w:numPr>
        <w:rPr>
          <w:rFonts w:ascii="Arial" w:cs="Arial" w:eastAsia="Arial" w:hAnsi="Arial"/>
          <w:sz w:val="16"/>
          <w:szCs w:val="16"/>
          <w:color w:val="auto"/>
        </w:rPr>
      </w:pPr>
      <w:r>
        <w:rPr>
          <w:rFonts w:ascii="Arial" w:cs="Arial" w:eastAsia="Arial" w:hAnsi="Arial"/>
          <w:sz w:val="16"/>
          <w:szCs w:val="16"/>
          <w:i w:val="1"/>
          <w:iCs w:val="1"/>
          <w:color w:val="auto"/>
        </w:rPr>
        <w:t>Aerpio In-License</w:t>
      </w:r>
      <w:r>
        <w:rPr>
          <w:rFonts w:ascii="Arial" w:cs="Arial" w:eastAsia="Arial" w:hAnsi="Arial"/>
          <w:sz w:val="16"/>
          <w:szCs w:val="16"/>
          <w:color w:val="auto"/>
        </w:rPr>
        <w:t>. Subject to the terms and conditions of this Agreement and the Aerpio In-License, Aerpio hereby grants to Licensee</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Affiliates a non-transferable (except in accordance with Section 11.1), royalty- and milestone-bearing (solely as set forth in Section 6 of this Agreement) sublicense, with no right to sublicense further, under the Licensed Patents (as defined in the Aerpio In-License), of the non-exclusive rights under those Licensed Patents granted to Aerpio under the Aerpio In-License, up to but not more than the scope and term of the license granted by Aerpio to Licensee under Section 5.1(a) (and in any event not more than what was granted to Aerpio under the Aerpio In-License). At Licensee’s reasonable request, Aerpio will grant to Licensee’s Sublicensees a sublicense under the Aerpio In-License equivalent to the grant above, subject to this Section 5.1(c) and the remainder of this Agreement and pursuant to a mutually agreeable written agreement, without any requirements for further consideration or additional obligations. Subject to the terms and conditions of this Agreement, the foregoing sublicense by Aerpio to Licensee will be exclusive as to Aerpio but, for clarity, not the UC Regents per the Aerpio In-License, and save for the continuing right to grant sublicenses in accordance with the immediately preceding sentence. Any sublicense under the Aerpio In-License is subject to the terms of this Agreement and the Aerpio In-License (including Article 4 thereof), and further and without limitation, Section 4.3 thereof (and the provisions of the Aerpio In-License identified therein) are hereby incorporated by reference and made applicable to Licensee as a sublicensee for the benefit of the UC Regents. It is understood and agreed that Licensee and no other sublicensee of Aerpio under the Aerpio In-License will be a third party beneficiary of the Aerpio In-License. For clarity, any sub-license under Section 5.1(a) under the Aerpio In-License will be subject to the terms and conditions of the Aerpio In-License and this Section 5.1(c). Aerpio represents and warrants that Licensee will not be obligated to make any payments to UC Regents under the Aerpio In-License. Aerpio shall be liable for any and all payments that may become due to UC Regents under the Aerpio In-License with respect to Licensee’s activities under this Agreement, including any activities related to the development or commercialization of Licensed Products.</w:t>
      </w:r>
    </w:p>
    <w:p>
      <w:pPr>
        <w:spacing w:after="0" w:line="283" w:lineRule="exact"/>
        <w:rPr>
          <w:rFonts w:ascii="Arial" w:cs="Arial" w:eastAsia="Arial" w:hAnsi="Arial"/>
          <w:sz w:val="16"/>
          <w:szCs w:val="16"/>
          <w:color w:val="auto"/>
        </w:rPr>
      </w:pPr>
    </w:p>
    <w:p>
      <w:pPr>
        <w:ind w:left="440" w:right="40" w:firstLine="428"/>
        <w:spacing w:after="0" w:line="257" w:lineRule="auto"/>
        <w:tabs>
          <w:tab w:leader="none" w:pos="1118" w:val="left"/>
        </w:tabs>
        <w:numPr>
          <w:ilvl w:val="0"/>
          <w:numId w:val="780"/>
        </w:numPr>
        <w:rPr>
          <w:rFonts w:ascii="Arial" w:cs="Arial" w:eastAsia="Arial" w:hAnsi="Arial"/>
          <w:sz w:val="18"/>
          <w:szCs w:val="18"/>
          <w:color w:val="auto"/>
        </w:rPr>
      </w:pPr>
      <w:r>
        <w:rPr>
          <w:rFonts w:ascii="Arial" w:cs="Arial" w:eastAsia="Arial" w:hAnsi="Arial"/>
          <w:sz w:val="18"/>
          <w:szCs w:val="18"/>
          <w:i w:val="1"/>
          <w:iCs w:val="1"/>
          <w:color w:val="auto"/>
        </w:rPr>
        <w:t>Scope Clarification</w:t>
      </w:r>
      <w:r>
        <w:rPr>
          <w:rFonts w:ascii="Arial" w:cs="Arial" w:eastAsia="Arial" w:hAnsi="Arial"/>
          <w:sz w:val="18"/>
          <w:szCs w:val="18"/>
          <w:color w:val="auto"/>
        </w:rPr>
        <w:t>. The licenses and other rights granted in this Section 5.1 and the remainder of this Agreement will not grant or create</w:t>
      </w:r>
      <w:r>
        <w:rPr>
          <w:rFonts w:ascii="Arial" w:cs="Arial" w:eastAsia="Arial" w:hAnsi="Arial"/>
          <w:sz w:val="18"/>
          <w:szCs w:val="18"/>
          <w:i w:val="1"/>
          <w:iCs w:val="1"/>
          <w:color w:val="auto"/>
        </w:rPr>
        <w:t xml:space="preserve"> </w:t>
      </w:r>
      <w:r>
        <w:rPr>
          <w:rFonts w:ascii="Arial" w:cs="Arial" w:eastAsia="Arial" w:hAnsi="Arial"/>
          <w:sz w:val="18"/>
          <w:szCs w:val="18"/>
          <w:color w:val="auto"/>
        </w:rPr>
        <w:t>(by implication, estoppel or otherwise) any license or right under any Aerpio Patent Rights, Aerpio Know-How, INDs listed on Exhibit D, or under the Aerpio In-License, to research, develop, manufacture or commercialize, make, use, sell, offer to sell or import any molecule that is not a Licensed Compound or any other molecule Covered by the Aerpio Patent Rights (including any other therapeutically active molecule in any Licensed Product).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866" w:name="page867"/>
    <w:bookmarkEnd w:id="86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Sublicenses</w:t>
      </w:r>
      <w:r>
        <w:rPr>
          <w:rFonts w:ascii="Arial" w:cs="Arial" w:eastAsia="Arial" w:hAnsi="Arial"/>
          <w:sz w:val="18"/>
          <w:szCs w:val="18"/>
          <w:color w:val="auto"/>
        </w:rPr>
        <w:t>.</w:t>
      </w:r>
    </w:p>
    <w:p>
      <w:pPr>
        <w:spacing w:after="0" w:line="117" w:lineRule="exact"/>
        <w:rPr>
          <w:sz w:val="20"/>
          <w:szCs w:val="20"/>
          <w:color w:val="auto"/>
        </w:rPr>
      </w:pPr>
    </w:p>
    <w:p>
      <w:pPr>
        <w:ind w:left="440" w:right="900" w:firstLine="428"/>
        <w:spacing w:after="0" w:line="277" w:lineRule="auto"/>
        <w:tabs>
          <w:tab w:leader="none" w:pos="1108" w:val="left"/>
        </w:tabs>
        <w:numPr>
          <w:ilvl w:val="0"/>
          <w:numId w:val="781"/>
        </w:numPr>
        <w:rPr>
          <w:rFonts w:ascii="Arial" w:cs="Arial" w:eastAsia="Arial" w:hAnsi="Arial"/>
          <w:sz w:val="18"/>
          <w:szCs w:val="18"/>
          <w:color w:val="auto"/>
        </w:rPr>
      </w:pPr>
      <w:r>
        <w:rPr>
          <w:rFonts w:ascii="Arial" w:cs="Arial" w:eastAsia="Arial" w:hAnsi="Arial"/>
          <w:sz w:val="18"/>
          <w:szCs w:val="18"/>
          <w:color w:val="auto"/>
        </w:rPr>
        <w:t>Licensee may grant sublicenses (or any option or right of negotiation or refusal for a sublicense) of the license granted under Section 5.1(a) and the rights granted under Section 5.1(b) only as follows:</w:t>
      </w:r>
    </w:p>
    <w:p>
      <w:pPr>
        <w:spacing w:after="0" w:line="62" w:lineRule="exact"/>
        <w:rPr>
          <w:rFonts w:ascii="Arial" w:cs="Arial" w:eastAsia="Arial" w:hAnsi="Arial"/>
          <w:sz w:val="18"/>
          <w:szCs w:val="18"/>
          <w:color w:val="auto"/>
        </w:rPr>
      </w:pPr>
    </w:p>
    <w:p>
      <w:pPr>
        <w:ind w:right="40" w:firstLine="1436"/>
        <w:spacing w:after="0" w:line="277" w:lineRule="auto"/>
        <w:tabs>
          <w:tab w:leader="none" w:pos="1648" w:val="left"/>
        </w:tabs>
        <w:numPr>
          <w:ilvl w:val="1"/>
          <w:numId w:val="781"/>
        </w:numPr>
        <w:rPr>
          <w:rFonts w:ascii="Arial" w:cs="Arial" w:eastAsia="Arial" w:hAnsi="Arial"/>
          <w:sz w:val="18"/>
          <w:szCs w:val="18"/>
          <w:color w:val="auto"/>
        </w:rPr>
      </w:pPr>
      <w:r>
        <w:rPr>
          <w:rFonts w:ascii="Arial" w:cs="Arial" w:eastAsia="Arial" w:hAnsi="Arial"/>
          <w:sz w:val="18"/>
          <w:szCs w:val="18"/>
          <w:color w:val="auto"/>
        </w:rPr>
        <w:t>to any Affiliate of Licensee as a Sublicensee hereunder, provided such sublicense (or any option or right of negotiation or refusal for a sublicense) only remains in effect for as long as such Sublicensee remains an Affiliate of Licensee;</w:t>
      </w:r>
    </w:p>
    <w:p>
      <w:pPr>
        <w:spacing w:after="0" w:line="62" w:lineRule="exact"/>
        <w:rPr>
          <w:rFonts w:ascii="Arial" w:cs="Arial" w:eastAsia="Arial" w:hAnsi="Arial"/>
          <w:sz w:val="18"/>
          <w:szCs w:val="18"/>
          <w:color w:val="auto"/>
        </w:rPr>
      </w:pPr>
    </w:p>
    <w:p>
      <w:pPr>
        <w:ind w:right="20" w:firstLine="1436"/>
        <w:spacing w:after="0" w:line="257" w:lineRule="auto"/>
        <w:tabs>
          <w:tab w:leader="none" w:pos="1698" w:val="left"/>
        </w:tabs>
        <w:numPr>
          <w:ilvl w:val="1"/>
          <w:numId w:val="781"/>
        </w:numPr>
        <w:rPr>
          <w:rFonts w:ascii="Arial" w:cs="Arial" w:eastAsia="Arial" w:hAnsi="Arial"/>
          <w:sz w:val="18"/>
          <w:szCs w:val="18"/>
          <w:color w:val="auto"/>
        </w:rPr>
      </w:pPr>
      <w:r>
        <w:rPr>
          <w:rFonts w:ascii="Arial" w:cs="Arial" w:eastAsia="Arial" w:hAnsi="Arial"/>
          <w:sz w:val="18"/>
          <w:szCs w:val="18"/>
          <w:color w:val="auto"/>
        </w:rPr>
        <w:t>to non-Affiliated Third Parties that are clinical research organizations, contract manufacturers, contract laboratory organizations, and other similar organizations that support the development and commercialization of the Licensed Compound and Licensed Products on a fee-for-service basis as Sublicensees hereunder, provided that such sublicenses (or options or rights of negotiation or refusal for a sublicense) include obligations of confidentiality and non-use of Aerpio Patent Rights, Aerpio Know-How and Confidential Information of Aerpio substantially in accordance with the terms of this Agreement; and</w:t>
      </w:r>
    </w:p>
    <w:p>
      <w:pPr>
        <w:spacing w:after="0" w:line="80" w:lineRule="exact"/>
        <w:rPr>
          <w:rFonts w:ascii="Arial" w:cs="Arial" w:eastAsia="Arial" w:hAnsi="Arial"/>
          <w:sz w:val="18"/>
          <w:szCs w:val="18"/>
          <w:color w:val="auto"/>
        </w:rPr>
      </w:pPr>
    </w:p>
    <w:p>
      <w:pPr>
        <w:ind w:firstLine="1436"/>
        <w:spacing w:after="0" w:line="277" w:lineRule="auto"/>
        <w:tabs>
          <w:tab w:leader="none" w:pos="1748" w:val="left"/>
        </w:tabs>
        <w:numPr>
          <w:ilvl w:val="1"/>
          <w:numId w:val="781"/>
        </w:numPr>
        <w:rPr>
          <w:rFonts w:ascii="Arial" w:cs="Arial" w:eastAsia="Arial" w:hAnsi="Arial"/>
          <w:sz w:val="18"/>
          <w:szCs w:val="18"/>
          <w:color w:val="auto"/>
        </w:rPr>
      </w:pPr>
      <w:r>
        <w:rPr>
          <w:rFonts w:ascii="Arial" w:cs="Arial" w:eastAsia="Arial" w:hAnsi="Arial"/>
          <w:sz w:val="18"/>
          <w:szCs w:val="18"/>
          <w:color w:val="auto"/>
        </w:rPr>
        <w:t>to other non-Affiliated Third Parties as a Sublicensee hereunder, provided that only one (1) such non-Affiliated Third Party may be a Sublicensee at any given time in any given geographic area in the Territory.</w:t>
      </w:r>
    </w:p>
    <w:p>
      <w:pPr>
        <w:spacing w:after="0" w:line="62" w:lineRule="exact"/>
        <w:rPr>
          <w:rFonts w:ascii="Arial" w:cs="Arial" w:eastAsia="Arial" w:hAnsi="Arial"/>
          <w:sz w:val="18"/>
          <w:szCs w:val="18"/>
          <w:color w:val="auto"/>
        </w:rPr>
      </w:pPr>
    </w:p>
    <w:p>
      <w:pPr>
        <w:ind w:left="440" w:firstLine="428"/>
        <w:spacing w:after="0" w:line="253" w:lineRule="auto"/>
        <w:tabs>
          <w:tab w:leader="none" w:pos="1118" w:val="left"/>
        </w:tabs>
        <w:numPr>
          <w:ilvl w:val="0"/>
          <w:numId w:val="781"/>
        </w:numPr>
        <w:rPr>
          <w:rFonts w:ascii="Arial" w:cs="Arial" w:eastAsia="Arial" w:hAnsi="Arial"/>
          <w:sz w:val="18"/>
          <w:szCs w:val="18"/>
          <w:color w:val="auto"/>
        </w:rPr>
      </w:pPr>
      <w:r>
        <w:rPr>
          <w:rFonts w:ascii="Arial" w:cs="Arial" w:eastAsia="Arial" w:hAnsi="Arial"/>
          <w:sz w:val="18"/>
          <w:szCs w:val="18"/>
          <w:color w:val="auto"/>
        </w:rPr>
        <w:t>Each sublicense (or any option or right of negotiation or refusal for a sublicense) granted by a Licensee to a non-Affiliated Third Party pursuant to this Section 5.2 is required to (i) be in writing; and (ii) be subject and subordinate to, and consistent with, the terms and conditions of this Agreement. Licensee will provide Aerpio with a copy of each agreement containing any such sublicense (or any option or right of negotiation or refusal for a sublicense) within thirty (30) days of execution. No sublicense (or any option or right of negotiation or refusal for a sublicense) will diminish, reduce or eliminate any obligation of Licensee under this Agreement, and Licensee will remain responsible for its obligations under this Agreement and will be responsible for the performance of the relevant Sublicensee as if such Sublicensee were “Licensee” hereunder. Each sublicense (or any option or right of negotiation or refusal for a sublicense) granted by Licensee to any rights licensed to it hereunder will, at the option of Aerpio, either be (i) assigned to Aerpio or (ii) terminate immediately upon the termination of the license under Section 5.1(a) from Aerpio to Licensee.</w:t>
      </w:r>
    </w:p>
    <w:p>
      <w:pPr>
        <w:spacing w:after="0" w:line="89"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License Limitations</w:t>
      </w:r>
      <w:r>
        <w:rPr>
          <w:rFonts w:ascii="Arial" w:cs="Arial" w:eastAsia="Arial" w:hAnsi="Arial"/>
          <w:sz w:val="18"/>
          <w:szCs w:val="18"/>
          <w:color w:val="auto"/>
        </w:rPr>
        <w:t>. Except as expressly set forth in this Agreement, no licenses or other rights are granted or created hereunder to use any patent right, Know-How or other intellectual property rights owned or in-licensed by Aerpio or any of its Affiliates or licensors. All licenses and other rights are or will be granted only as expressly provided in this Agreement, and no other licenses or other rights is or will be created or granted hereunder by implication, estoppel or otherwise.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59" w:lineRule="auto"/>
        <w:tabs>
          <w:tab w:leader="none" w:pos="1108" w:val="left"/>
        </w:tabs>
        <w:numPr>
          <w:ilvl w:val="1"/>
          <w:numId w:val="782"/>
        </w:numPr>
        <w:rPr>
          <w:rFonts w:ascii="Arial" w:cs="Arial" w:eastAsia="Arial" w:hAnsi="Arial"/>
          <w:sz w:val="18"/>
          <w:szCs w:val="18"/>
          <w:color w:val="auto"/>
        </w:rPr>
      </w:pPr>
      <w:r>
        <w:rPr>
          <w:rFonts w:ascii="Arial" w:cs="Arial" w:eastAsia="Arial" w:hAnsi="Arial"/>
          <w:sz w:val="18"/>
          <w:szCs w:val="18"/>
          <w:color w:val="auto"/>
        </w:rPr>
        <w:t>During the Term, Aerpio will not (either alone or with any of its Affiliates), directly or indirectly, develop, manufacture or commercialize, or collaborate with, enable or otherwise authorize, license, sublicense, or otherwise grant any right to any Third Party, to develop, manufacture or commercialize, any compound that primarily binds to HIF prolyl hydroxylase resulting in HIF stabilization anywhere in the Territory.</w:t>
      </w:r>
    </w:p>
    <w:p>
      <w:pPr>
        <w:spacing w:after="0" w:line="78" w:lineRule="exact"/>
        <w:rPr>
          <w:rFonts w:ascii="Arial" w:cs="Arial" w:eastAsia="Arial" w:hAnsi="Arial"/>
          <w:sz w:val="18"/>
          <w:szCs w:val="18"/>
          <w:color w:val="auto"/>
        </w:rPr>
      </w:pPr>
    </w:p>
    <w:p>
      <w:pPr>
        <w:ind w:left="440" w:right="20" w:firstLine="428"/>
        <w:spacing w:after="0" w:line="277" w:lineRule="auto"/>
        <w:tabs>
          <w:tab w:leader="none" w:pos="1118" w:val="left"/>
        </w:tabs>
        <w:numPr>
          <w:ilvl w:val="1"/>
          <w:numId w:val="782"/>
        </w:numPr>
        <w:rPr>
          <w:rFonts w:ascii="Arial" w:cs="Arial" w:eastAsia="Arial" w:hAnsi="Arial"/>
          <w:sz w:val="18"/>
          <w:szCs w:val="18"/>
          <w:color w:val="auto"/>
        </w:rPr>
      </w:pPr>
      <w:r>
        <w:rPr>
          <w:rFonts w:ascii="Arial" w:cs="Arial" w:eastAsia="Arial" w:hAnsi="Arial"/>
          <w:sz w:val="18"/>
          <w:szCs w:val="18"/>
          <w:color w:val="auto"/>
        </w:rPr>
        <w:t>During the Term, Licensee will not (either alone or with any of its Affiliates), directly or indirectly, [***], enable or otherwise authorize, license, sublicense, or otherwise grant any</w:t>
      </w:r>
    </w:p>
    <w:p>
      <w:pPr>
        <w:spacing w:after="0" w:line="264" w:lineRule="exact"/>
        <w:rPr>
          <w:rFonts w:ascii="Arial" w:cs="Arial" w:eastAsia="Arial" w:hAnsi="Arial"/>
          <w:sz w:val="18"/>
          <w:szCs w:val="18"/>
          <w:color w:val="auto"/>
        </w:rPr>
      </w:pPr>
    </w:p>
    <w:p>
      <w:pPr>
        <w:ind w:left="440" w:right="420" w:hanging="436"/>
        <w:spacing w:after="0" w:line="277" w:lineRule="auto"/>
        <w:tabs>
          <w:tab w:leader="none" w:pos="440" w:val="left"/>
        </w:tabs>
        <w:numPr>
          <w:ilvl w:val="0"/>
          <w:numId w:val="78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867" w:name="page868"/>
    <w:bookmarkEnd w:id="86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any Third Party, to [***] any compound (except for Licensed Compounds and any compound contained in Licensed Products) that [***].</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117" w:lineRule="exact"/>
        <w:rPr>
          <w:sz w:val="20"/>
          <w:szCs w:val="20"/>
          <w:color w:val="auto"/>
        </w:rPr>
      </w:pPr>
    </w:p>
    <w:p>
      <w:pPr>
        <w:ind w:right="460" w:firstLine="881"/>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Initial License Fee</w:t>
      </w:r>
      <w:r>
        <w:rPr>
          <w:rFonts w:ascii="Arial" w:cs="Arial" w:eastAsia="Arial" w:hAnsi="Arial"/>
          <w:sz w:val="17"/>
          <w:szCs w:val="17"/>
          <w:color w:val="auto"/>
        </w:rPr>
        <w:t>. Licensee will pay to Aerpio within five (5) days after the Effective Date a one-time payment in cash of twenty million U.S. dollars ($20,000,000), which payment will be non-refundable and non-creditable and not subject to set-off.</w:t>
      </w:r>
    </w:p>
    <w:p>
      <w:pPr>
        <w:spacing w:after="0" w:line="38"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Milestone Payments</w:t>
      </w:r>
      <w:r>
        <w:rPr>
          <w:rFonts w:ascii="Arial" w:cs="Arial" w:eastAsia="Arial" w:hAnsi="Arial"/>
          <w:sz w:val="18"/>
          <w:szCs w:val="18"/>
          <w:color w:val="auto"/>
        </w:rPr>
        <w:t>. As set forth in the following table, Licensee will make the following payments in cash (the “</w:t>
      </w:r>
      <w:r>
        <w:rPr>
          <w:rFonts w:ascii="Arial" w:cs="Arial" w:eastAsia="Arial" w:hAnsi="Arial"/>
          <w:sz w:val="18"/>
          <w:szCs w:val="18"/>
          <w:u w:val="single" w:color="auto"/>
          <w:color w:val="auto"/>
        </w:rPr>
        <w:t>Milestone Payments</w:t>
      </w:r>
      <w:r>
        <w:rPr>
          <w:rFonts w:ascii="Arial" w:cs="Arial" w:eastAsia="Arial" w:hAnsi="Arial"/>
          <w:sz w:val="18"/>
          <w:szCs w:val="18"/>
          <w:color w:val="auto"/>
        </w:rPr>
        <w:t>”) to Aerpio upon achievement of each of the milestone events set forth in the tables below (the “</w:t>
      </w:r>
      <w:r>
        <w:rPr>
          <w:rFonts w:ascii="Arial" w:cs="Arial" w:eastAsia="Arial" w:hAnsi="Arial"/>
          <w:sz w:val="18"/>
          <w:szCs w:val="18"/>
          <w:u w:val="single" w:color="auto"/>
          <w:color w:val="auto"/>
        </w:rPr>
        <w:t>Milestone Events</w:t>
      </w:r>
      <w:r>
        <w:rPr>
          <w:rFonts w:ascii="Arial" w:cs="Arial" w:eastAsia="Arial" w:hAnsi="Arial"/>
          <w:sz w:val="18"/>
          <w:szCs w:val="18"/>
          <w:color w:val="auto"/>
        </w:rPr>
        <w:t>”) by Licensee or its Affiliates or Sublicensees. Each Milestone Payment will be payable by Licensee to Aerpio within [***] after the achievement of the corresponding Milestone Event with respect to the first Licensed Product in each of the first and second Initial Indications. Such payments will be non-refundable and non-creditable and not subject to set-off.</w:t>
      </w:r>
    </w:p>
    <w:p>
      <w:pPr>
        <w:spacing w:after="0" w:line="19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620" w:type="dxa"/>
            <w:vAlign w:val="bottom"/>
            <w:gridSpan w:val="2"/>
          </w:tcPr>
          <w:p>
            <w:pPr>
              <w:ind w:left="800"/>
              <w:spacing w:after="0"/>
              <w:rPr>
                <w:sz w:val="20"/>
                <w:szCs w:val="20"/>
                <w:color w:val="auto"/>
              </w:rPr>
            </w:pPr>
            <w:r>
              <w:rPr>
                <w:rFonts w:ascii="Arial" w:cs="Arial" w:eastAsia="Arial" w:hAnsi="Arial"/>
                <w:sz w:val="14"/>
                <w:szCs w:val="14"/>
                <w:b w:val="1"/>
                <w:bCs w:val="1"/>
                <w:color w:val="auto"/>
              </w:rPr>
              <w:t>“Clinical Development Milestones”</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1"/>
        </w:trPr>
        <w:tc>
          <w:tcPr>
            <w:tcW w:w="1860" w:type="dxa"/>
            <w:vAlign w:val="bottom"/>
          </w:tcPr>
          <w:p>
            <w:pPr>
              <w:spacing w:after="0"/>
              <w:rPr>
                <w:sz w:val="16"/>
                <w:szCs w:val="16"/>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“Milestone Event”</w:t>
            </w:r>
          </w:p>
        </w:tc>
        <w:tc>
          <w:tcPr>
            <w:tcW w:w="2480" w:type="dxa"/>
            <w:vAlign w:val="bottom"/>
          </w:tcPr>
          <w:p>
            <w:pPr>
              <w:spacing w:after="0"/>
              <w:rPr>
                <w:sz w:val="16"/>
                <w:szCs w:val="16"/>
                <w:color w:val="auto"/>
              </w:rPr>
            </w:pPr>
          </w:p>
        </w:tc>
        <w:tc>
          <w:tcPr>
            <w:tcW w:w="200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93"/>
              </w:rPr>
              <w:t>“Milestone Payment”</w:t>
            </w:r>
          </w:p>
        </w:tc>
      </w:tr>
      <w:tr>
        <w:trPr>
          <w:trHeight w:val="175"/>
        </w:trPr>
        <w:tc>
          <w:tcPr>
            <w:tcW w:w="54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Initiation (i.e., first patient, first dosing) of first Phase 2 Clinical</w:t>
            </w:r>
          </w:p>
        </w:tc>
        <w:tc>
          <w:tcPr>
            <w:tcW w:w="6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Trial for the first Licensed Product for the first Initial Indication to</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achieve such milestone</w:t>
            </w:r>
          </w:p>
        </w:tc>
        <w:tc>
          <w:tcPr>
            <w:tcW w:w="20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r>
    </w:tbl>
    <w:p>
      <w:pPr>
        <w:ind w:left="1780" w:right="1740"/>
        <w:spacing w:after="0" w:line="261" w:lineRule="auto"/>
        <w:rPr>
          <w:sz w:val="20"/>
          <w:szCs w:val="20"/>
          <w:color w:val="auto"/>
        </w:rPr>
      </w:pPr>
      <w:r>
        <w:rPr>
          <w:rFonts w:ascii="Arial" w:cs="Arial" w:eastAsia="Arial" w:hAnsi="Arial"/>
          <w:sz w:val="18"/>
          <w:szCs w:val="18"/>
          <w:color w:val="auto"/>
        </w:rPr>
        <w:t>For clarity, each Clinical Development Milestone payment is due only once regardless of the number of Licensed Products developed by Licensee.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first [***] for the first Licensed Product for the first [***] in the foregoing table is skipped [***] then the [***]for the first Licensed Product for the [***] will be deemed to have been achieved upon the achievement of [***] for the first Licensed Product [***].</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“Commercial Milestones”</w:t>
      </w:r>
    </w:p>
    <w:p>
      <w:pPr>
        <w:spacing w:after="0" w:line="4" w:lineRule="exact"/>
        <w:rPr>
          <w:sz w:val="20"/>
          <w:szCs w:val="20"/>
          <w:color w:val="auto"/>
        </w:rPr>
      </w:pPr>
    </w:p>
    <w:p>
      <w:pPr>
        <w:ind w:left="3960"/>
        <w:spacing w:after="0"/>
        <w:tabs>
          <w:tab w:leader="none" w:pos="6260" w:val="left"/>
        </w:tabs>
        <w:rPr>
          <w:sz w:val="20"/>
          <w:szCs w:val="20"/>
          <w:color w:val="auto"/>
        </w:rPr>
      </w:pPr>
      <w:r>
        <w:rPr>
          <w:rFonts w:ascii="Arial" w:cs="Arial" w:eastAsia="Arial" w:hAnsi="Arial"/>
          <w:sz w:val="14"/>
          <w:szCs w:val="14"/>
          <w:b w:val="1"/>
          <w:bCs w:val="1"/>
          <w:u w:val="single" w:color="auto"/>
          <w:color w:val="auto"/>
        </w:rPr>
        <w:t>“Milestone Event”</w:t>
      </w:r>
      <w:r>
        <w:rPr>
          <w:sz w:val="20"/>
          <w:szCs w:val="20"/>
          <w:color w:val="auto"/>
        </w:rPr>
        <w:tab/>
      </w:r>
      <w:r>
        <w:rPr>
          <w:rFonts w:ascii="Arial" w:cs="Arial" w:eastAsia="Arial" w:hAnsi="Arial"/>
          <w:sz w:val="13"/>
          <w:szCs w:val="13"/>
          <w:b w:val="1"/>
          <w:bCs w:val="1"/>
          <w:u w:val="single" w:color="auto"/>
          <w:color w:val="auto"/>
        </w:rPr>
        <w:t>“Milestone Payment”</w:t>
      </w:r>
    </w:p>
    <w:p>
      <w:pPr>
        <w:spacing w:after="0" w:line="250" w:lineRule="exact"/>
        <w:rPr>
          <w:sz w:val="20"/>
          <w:szCs w:val="20"/>
          <w:color w:val="auto"/>
        </w:rPr>
      </w:pPr>
    </w:p>
    <w:p>
      <w:pPr>
        <w:ind w:left="1780" w:right="1720"/>
        <w:spacing w:after="0" w:line="277" w:lineRule="auto"/>
        <w:rPr>
          <w:sz w:val="20"/>
          <w:szCs w:val="20"/>
          <w:color w:val="auto"/>
        </w:rPr>
      </w:pPr>
      <w:r>
        <w:rPr>
          <w:rFonts w:ascii="Arial" w:cs="Arial" w:eastAsia="Arial" w:hAnsi="Arial"/>
          <w:sz w:val="18"/>
          <w:szCs w:val="18"/>
          <w:color w:val="auto"/>
        </w:rPr>
        <w:t>First Commercial Sale in the United States following achievement of Regulatory Approval by $[***] the FDA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-293370</wp:posOffset>
            </wp:positionV>
            <wp:extent cx="4751070" cy="2743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4751070" cy="274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6946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440" w:right="420" w:hanging="436"/>
        <w:spacing w:after="0" w:line="277" w:lineRule="auto"/>
        <w:tabs>
          <w:tab w:leader="none" w:pos="440" w:val="left"/>
        </w:tabs>
        <w:numPr>
          <w:ilvl w:val="0"/>
          <w:numId w:val="78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3" w:right="479" w:bottom="1440" w:gutter="0" w:footer="0" w:header="0"/>
        </w:sectPr>
      </w:pPr>
    </w:p>
    <w:bookmarkStart w:id="868" w:name="page869"/>
    <w:bookmarkEnd w:id="868"/>
    <w:p>
      <w:pPr>
        <w:spacing w:after="0" w:line="185" w:lineRule="auto"/>
        <w:framePr w:w="560" w:h="160" w:wrap="auto" w:vAnchor="page" w:hAnchor="page" w:x="8760" w:y="6652"/>
        <w:rPr>
          <w:rFonts w:ascii="Arial" w:cs="Arial" w:eastAsia="Arial" w:hAnsi="Arial"/>
          <w:sz w:val="18"/>
          <w:szCs w:val="18"/>
          <w:color w:val="auto"/>
        </w:rPr>
      </w:pPr>
      <w:r>
        <w:rPr>
          <w:rFonts w:ascii="Arial" w:cs="Arial" w:eastAsia="Arial" w:hAnsi="Arial"/>
          <w:sz w:val="18"/>
          <w:szCs w:val="18"/>
          <w:color w:val="auto"/>
        </w:rPr>
        <w:t>$[***]</w:t>
      </w:r>
    </w:p>
    <w:p>
      <w:pPr>
        <w:spacing w:after="0" w:line="185" w:lineRule="auto"/>
        <w:framePr w:w="560" w:h="160" w:wrap="auto" w:vAnchor="page" w:hAnchor="page" w:x="8760" w:y="6220"/>
        <w:rPr>
          <w:rFonts w:ascii="Arial" w:cs="Arial" w:eastAsia="Arial" w:hAnsi="Arial"/>
          <w:sz w:val="18"/>
          <w:szCs w:val="18"/>
          <w:color w:val="auto"/>
        </w:rPr>
      </w:pPr>
      <w:r>
        <w:rPr>
          <w:rFonts w:ascii="Arial" w:cs="Arial" w:eastAsia="Arial" w:hAnsi="Arial"/>
          <w:sz w:val="18"/>
          <w:szCs w:val="18"/>
          <w:color w:val="auto"/>
        </w:rPr>
        <w:t>$[***]</w:t>
      </w:r>
    </w:p>
    <w:p>
      <w:pPr>
        <w:spacing w:after="0" w:line="185" w:lineRule="auto"/>
        <w:framePr w:w="560" w:h="160" w:wrap="auto" w:vAnchor="page" w:hAnchor="page" w:x="8760" w:y="5788"/>
        <w:rPr>
          <w:rFonts w:ascii="Arial" w:cs="Arial" w:eastAsia="Arial" w:hAnsi="Arial"/>
          <w:sz w:val="18"/>
          <w:szCs w:val="18"/>
          <w:color w:val="auto"/>
        </w:rPr>
      </w:pPr>
      <w:r>
        <w:rPr>
          <w:rFonts w:ascii="Arial" w:cs="Arial" w:eastAsia="Arial" w:hAnsi="Arial"/>
          <w:sz w:val="18"/>
          <w:szCs w:val="18"/>
          <w:color w:val="auto"/>
        </w:rPr>
        <w:t>$[***]</w:t>
      </w:r>
    </w:p>
    <w:p>
      <w:pPr>
        <w:spacing w:after="0" w:line="185" w:lineRule="auto"/>
        <w:framePr w:w="560" w:h="160" w:wrap="auto" w:vAnchor="page" w:hAnchor="page" w:x="8760" w:y="5369"/>
        <w:rPr>
          <w:rFonts w:ascii="Arial" w:cs="Arial" w:eastAsia="Arial" w:hAnsi="Arial"/>
          <w:sz w:val="18"/>
          <w:szCs w:val="18"/>
          <w:color w:val="auto"/>
        </w:rPr>
      </w:pPr>
      <w:r>
        <w:rPr>
          <w:rFonts w:ascii="Arial" w:cs="Arial" w:eastAsia="Arial" w:hAnsi="Arial"/>
          <w:sz w:val="18"/>
          <w:szCs w:val="18"/>
          <w:color w:val="auto"/>
        </w:rPr>
        <w:t>$[***]</w:t>
      </w:r>
    </w:p>
    <w:p>
      <w:pPr>
        <w:spacing w:after="0" w:line="205" w:lineRule="auto"/>
        <w:framePr w:w="1400" w:h="128" w:wrap="auto" w:vAnchor="page" w:hAnchor="page" w:x="8340" w:y="5199"/>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“Milestone Payment”</w:t>
      </w:r>
    </w:p>
    <w:p>
      <w:pPr>
        <w:ind w:left="177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first Licensed Product for the first Initial Indication to achieve</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1127760</wp:posOffset>
            </wp:positionH>
            <wp:positionV relativeFrom="paragraph">
              <wp:posOffset>-121920</wp:posOffset>
            </wp:positionV>
            <wp:extent cx="4751070" cy="27432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spacing w:after="0" w:line="3"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such milestone</w:t>
      </w:r>
    </w:p>
    <w:p>
      <w:pPr>
        <w:spacing w:after="0" w:line="4" w:lineRule="exact"/>
        <w:rPr>
          <w:rFonts w:ascii="Arial" w:cs="Arial" w:eastAsia="Arial" w:hAnsi="Arial"/>
          <w:sz w:val="13"/>
          <w:szCs w:val="13"/>
          <w:b w:val="1"/>
          <w:bCs w:val="1"/>
          <w:u w:val="single" w:color="auto"/>
          <w:color w:val="auto"/>
        </w:rPr>
      </w:pPr>
    </w:p>
    <w:tbl>
      <w:tblPr>
        <w:tblLayout w:type="fixed"/>
        <w:tblInd w:w="1776"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First Commercial Sale in the United States following achievement</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of Regulatory Approval by the FDA for the first Licensed Product</w:t>
            </w:r>
          </w:p>
        </w:tc>
        <w:tc>
          <w:tcPr>
            <w:tcW w:w="1780" w:type="dxa"/>
            <w:vAlign w:val="bottom"/>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for the second Initial Indication to achieve such milestone</w:t>
            </w:r>
          </w:p>
        </w:tc>
        <w:tc>
          <w:tcPr>
            <w:tcW w:w="1780" w:type="dxa"/>
            <w:vAlign w:val="bottom"/>
          </w:tcPr>
          <w:p>
            <w:pPr>
              <w:spacing w:after="0"/>
              <w:rPr>
                <w:sz w:val="20"/>
                <w:szCs w:val="20"/>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Commercial Sale in a Major European Country following</w:t>
            </w:r>
          </w:p>
        </w:tc>
        <w:tc>
          <w:tcPr>
            <w:tcW w:w="178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achievement of Regulatory Approval by the EMA for the first</w:t>
            </w:r>
          </w:p>
        </w:tc>
        <w:tc>
          <w:tcPr>
            <w:tcW w:w="1780" w:type="dxa"/>
            <w:vAlign w:val="bottom"/>
            <w:shd w:val="clear" w:color="auto" w:fill="CCEEFF"/>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Licensed Product for the first Initial Indication to achieve such</w:t>
            </w:r>
          </w:p>
        </w:tc>
        <w:tc>
          <w:tcPr>
            <w:tcW w:w="1780" w:type="dxa"/>
            <w:vAlign w:val="bottom"/>
            <w:shd w:val="clear" w:color="auto" w:fill="CCEEFF"/>
          </w:tcPr>
          <w:p>
            <w:pPr>
              <w:spacing w:after="0"/>
              <w:rPr>
                <w:sz w:val="18"/>
                <w:szCs w:val="18"/>
                <w:color w:val="auto"/>
              </w:rPr>
            </w:pP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milestone</w:t>
            </w:r>
          </w:p>
        </w:tc>
        <w:tc>
          <w:tcPr>
            <w:tcW w:w="1780" w:type="dxa"/>
            <w:vAlign w:val="bottom"/>
            <w:shd w:val="clear" w:color="auto" w:fill="CCEEFF"/>
          </w:tcPr>
          <w:p>
            <w:pPr>
              <w:spacing w:after="0"/>
              <w:rPr>
                <w:sz w:val="20"/>
                <w:szCs w:val="20"/>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First Commercial Sale in a Major European Country following</w:t>
            </w:r>
          </w:p>
        </w:tc>
        <w:tc>
          <w:tcPr>
            <w:tcW w:w="17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achievement of Regulatory Approval by the EMA for the first</w:t>
            </w:r>
          </w:p>
        </w:tc>
        <w:tc>
          <w:tcPr>
            <w:tcW w:w="178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Licensed Product for the second Initial Indication to achieve such</w:t>
            </w:r>
          </w:p>
        </w:tc>
        <w:tc>
          <w:tcPr>
            <w:tcW w:w="1780" w:type="dxa"/>
            <w:vAlign w:val="bottom"/>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milestone</w:t>
            </w:r>
          </w:p>
        </w:tc>
        <w:tc>
          <w:tcPr>
            <w:tcW w:w="1780" w:type="dxa"/>
            <w:vAlign w:val="bottom"/>
          </w:tcPr>
          <w:p>
            <w:pPr>
              <w:spacing w:after="0"/>
              <w:rPr>
                <w:sz w:val="20"/>
                <w:szCs w:val="20"/>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Commercial Sale in Japan following achievement of</w:t>
            </w:r>
          </w:p>
        </w:tc>
        <w:tc>
          <w:tcPr>
            <w:tcW w:w="178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Regulatory Approval in Japan for the first Licensed Product for the</w:t>
            </w:r>
          </w:p>
        </w:tc>
        <w:tc>
          <w:tcPr>
            <w:tcW w:w="1780" w:type="dxa"/>
            <w:vAlign w:val="bottom"/>
            <w:shd w:val="clear" w:color="auto" w:fill="CCEEFF"/>
          </w:tcPr>
          <w:p>
            <w:pPr>
              <w:spacing w:after="0"/>
              <w:rPr>
                <w:sz w:val="18"/>
                <w:szCs w:val="18"/>
                <w:color w:val="auto"/>
              </w:rPr>
            </w:pP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first Initial Indication to achieve such milestone</w:t>
            </w:r>
          </w:p>
        </w:tc>
        <w:tc>
          <w:tcPr>
            <w:tcW w:w="1780" w:type="dxa"/>
            <w:vAlign w:val="bottom"/>
            <w:shd w:val="clear" w:color="auto" w:fill="CCEEFF"/>
          </w:tcPr>
          <w:p>
            <w:pPr>
              <w:spacing w:after="0"/>
              <w:rPr>
                <w:sz w:val="20"/>
                <w:szCs w:val="20"/>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First Commercial Sale in Japan following achievement of</w:t>
            </w:r>
          </w:p>
        </w:tc>
        <w:tc>
          <w:tcPr>
            <w:tcW w:w="17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Regulatory Approval in Japan for the first Licensed Product for the</w:t>
            </w:r>
          </w:p>
        </w:tc>
        <w:tc>
          <w:tcPr>
            <w:tcW w:w="1780" w:type="dxa"/>
            <w:vAlign w:val="bottom"/>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second Initial Indication to achieve such milestone</w:t>
            </w:r>
          </w:p>
        </w:tc>
        <w:tc>
          <w:tcPr>
            <w:tcW w:w="1780" w:type="dxa"/>
            <w:vAlign w:val="bottom"/>
          </w:tcPr>
          <w:p>
            <w:pPr>
              <w:spacing w:after="0"/>
              <w:rPr>
                <w:sz w:val="20"/>
                <w:szCs w:val="20"/>
                <w:color w:val="auto"/>
              </w:rPr>
            </w:pPr>
          </w:p>
        </w:tc>
      </w:tr>
    </w:tbl>
    <w:p>
      <w:pPr>
        <w:ind w:left="1776" w:right="1320"/>
        <w:spacing w:after="0" w:line="261" w:lineRule="auto"/>
        <w:rPr>
          <w:sz w:val="20"/>
          <w:szCs w:val="20"/>
          <w:color w:val="auto"/>
        </w:rPr>
      </w:pPr>
      <w:r>
        <w:rPr>
          <w:rFonts w:ascii="Arial" w:cs="Arial" w:eastAsia="Arial" w:hAnsi="Arial"/>
          <w:sz w:val="18"/>
          <w:szCs w:val="18"/>
          <w:color w:val="auto"/>
        </w:rPr>
        <w:t>For clarity, each Commercial Milestone payment is due only once regardless of the number of Licensed Products developed by Licensee.</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1127760</wp:posOffset>
            </wp:positionH>
            <wp:positionV relativeFrom="paragraph">
              <wp:posOffset>-285115</wp:posOffset>
            </wp:positionV>
            <wp:extent cx="4751070" cy="27432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spacing w:after="0" w:line="155" w:lineRule="exact"/>
        <w:rPr>
          <w:rFonts w:ascii="Arial" w:cs="Arial" w:eastAsia="Arial" w:hAnsi="Arial"/>
          <w:sz w:val="13"/>
          <w:szCs w:val="13"/>
          <w:b w:val="1"/>
          <w:bCs w:val="1"/>
          <w:u w:val="single" w:color="auto"/>
          <w:color w:val="auto"/>
        </w:rPr>
      </w:pPr>
    </w:p>
    <w:p>
      <w:pPr>
        <w:jc w:val="center"/>
        <w:ind w:right="-455"/>
        <w:spacing w:after="0"/>
        <w:rPr>
          <w:sz w:val="20"/>
          <w:szCs w:val="20"/>
          <w:color w:val="auto"/>
        </w:rPr>
      </w:pPr>
      <w:r>
        <w:rPr>
          <w:rFonts w:ascii="Arial" w:cs="Arial" w:eastAsia="Arial" w:hAnsi="Arial"/>
          <w:sz w:val="14"/>
          <w:szCs w:val="14"/>
          <w:b w:val="1"/>
          <w:bCs w:val="1"/>
          <w:color w:val="auto"/>
        </w:rPr>
        <w:t>“Sales Milestones”</w:t>
      </w:r>
    </w:p>
    <w:p>
      <w:pPr>
        <w:spacing w:after="0" w:line="4" w:lineRule="exact"/>
        <w:rPr>
          <w:rFonts w:ascii="Arial" w:cs="Arial" w:eastAsia="Arial" w:hAnsi="Arial"/>
          <w:sz w:val="13"/>
          <w:szCs w:val="13"/>
          <w:b w:val="1"/>
          <w:bCs w:val="1"/>
          <w:u w:val="single" w:color="auto"/>
          <w:color w:val="auto"/>
        </w:rPr>
      </w:pPr>
    </w:p>
    <w:p>
      <w:pPr>
        <w:ind w:left="3636"/>
        <w:spacing w:after="0"/>
        <w:rPr>
          <w:sz w:val="20"/>
          <w:szCs w:val="20"/>
          <w:color w:val="auto"/>
        </w:rPr>
      </w:pPr>
      <w:r>
        <w:rPr>
          <w:rFonts w:ascii="Arial" w:cs="Arial" w:eastAsia="Arial" w:hAnsi="Arial"/>
          <w:sz w:val="14"/>
          <w:szCs w:val="14"/>
          <w:b w:val="1"/>
          <w:bCs w:val="1"/>
          <w:u w:val="single" w:color="auto"/>
          <w:color w:val="auto"/>
        </w:rPr>
        <w:t>“Milestone Event”</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1127760</wp:posOffset>
            </wp:positionH>
            <wp:positionV relativeFrom="paragraph">
              <wp:posOffset>5080</wp:posOffset>
            </wp:positionV>
            <wp:extent cx="4751070" cy="2743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First achievement of USD $[***] of annual Net Sales of all</w:t>
      </w:r>
    </w:p>
    <w:p>
      <w:pPr>
        <w:spacing w:after="0" w:line="8"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Licensed Products in the Territory in a particular Calendar Year</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First achievement of USD $[***] of annual Net Sales of all</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Licensed Products in the Territory in a particular Calendar Year</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First achievement of USD $[***] of annual Net Sales of all</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2743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Licensed Products in the Territory in a particular Calendar Year</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First achievement of USD $[***] of annual Net Sales of all</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Licensed Products in the Territory in a particular Calendar Year</w:t>
      </w:r>
    </w:p>
    <w:p>
      <w:pPr>
        <w:spacing w:after="0" w:line="9" w:lineRule="exact"/>
        <w:rPr>
          <w:rFonts w:ascii="Arial" w:cs="Arial" w:eastAsia="Arial" w:hAnsi="Arial"/>
          <w:sz w:val="13"/>
          <w:szCs w:val="13"/>
          <w:b w:val="1"/>
          <w:bCs w:val="1"/>
          <w:u w:val="single" w:color="auto"/>
          <w:color w:val="auto"/>
        </w:rPr>
      </w:pPr>
    </w:p>
    <w:p>
      <w:pPr>
        <w:ind w:left="1776"/>
        <w:spacing w:after="0"/>
        <w:rPr>
          <w:sz w:val="20"/>
          <w:szCs w:val="20"/>
          <w:color w:val="auto"/>
        </w:rPr>
      </w:pPr>
      <w:r>
        <w:rPr>
          <w:rFonts w:ascii="Arial" w:cs="Arial" w:eastAsia="Arial" w:hAnsi="Arial"/>
          <w:sz w:val="18"/>
          <w:szCs w:val="18"/>
          <w:color w:val="auto"/>
        </w:rPr>
        <w:t>For clarity, each Sales Milestone payment is due only once regardless of the number of Licensed</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2743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8"/>
          <w:szCs w:val="18"/>
          <w:color w:val="auto"/>
        </w:rPr>
        <w:t>Products commercialized by Licensee or the number of times the Sales Milestone is met.</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946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85" w:lineRule="exact"/>
        <w:rPr>
          <w:rFonts w:ascii="Arial" w:cs="Arial" w:eastAsia="Arial" w:hAnsi="Arial"/>
          <w:sz w:val="13"/>
          <w:szCs w:val="13"/>
          <w:b w:val="1"/>
          <w:bCs w:val="1"/>
          <w:u w:val="single" w:color="auto"/>
          <w:color w:val="auto"/>
        </w:rPr>
      </w:pPr>
    </w:p>
    <w:p>
      <w:pPr>
        <w:ind w:left="436" w:hanging="436"/>
        <w:spacing w:after="0" w:line="277" w:lineRule="auto"/>
        <w:tabs>
          <w:tab w:leader="none" w:pos="436" w:val="left"/>
        </w:tabs>
        <w:numPr>
          <w:ilvl w:val="0"/>
          <w:numId w:val="78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rFonts w:ascii="Arial" w:cs="Arial" w:eastAsia="Arial" w:hAnsi="Arial"/>
          <w:sz w:val="13"/>
          <w:szCs w:val="13"/>
          <w:b w:val="1"/>
          <w:bCs w:val="1"/>
          <w:u w:val="single" w:color="auto"/>
          <w:color w:val="auto"/>
        </w:rPr>
      </w:pPr>
    </w:p>
    <w:p>
      <w:pPr>
        <w:jc w:val="center"/>
        <w:ind w:right="-45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56"/>
          </w:cols>
          <w:pgMar w:left="444" w:top="275" w:right="899" w:bottom="1440" w:gutter="0" w:footer="0" w:header="0"/>
        </w:sectPr>
      </w:pPr>
    </w:p>
    <w:bookmarkStart w:id="869" w:name="page870"/>
    <w:bookmarkEnd w:id="86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17" w:lineRule="exact"/>
        <w:rPr>
          <w:sz w:val="20"/>
          <w:szCs w:val="20"/>
          <w:color w:val="auto"/>
        </w:rPr>
      </w:pPr>
    </w:p>
    <w:p>
      <w:pPr>
        <w:ind w:left="440" w:right="520" w:firstLine="428"/>
        <w:spacing w:after="0" w:line="277" w:lineRule="auto"/>
        <w:tabs>
          <w:tab w:leader="none" w:pos="1108" w:val="left"/>
        </w:tabs>
        <w:numPr>
          <w:ilvl w:val="0"/>
          <w:numId w:val="785"/>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Licensee will pay to Aerpio running royalties in cash at the graduated royalty rates specified in the following table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aggregate annual worldwide Net Sales of all Licensed Products in a calendar year:</w:t>
      </w:r>
    </w:p>
    <w:p>
      <w:pPr>
        <w:spacing w:after="0" w:line="189"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Aggregate Annual Worldwide Net Sales of All Licensed Products in a calendar year</w:t>
            </w:r>
          </w:p>
        </w:tc>
        <w:tc>
          <w:tcPr>
            <w:tcW w:w="880" w:type="dxa"/>
            <w:vAlign w:val="bottom"/>
          </w:tcPr>
          <w:p>
            <w:pPr>
              <w:spacing w:after="0"/>
              <w:rPr>
                <w:sz w:val="16"/>
                <w:szCs w:val="16"/>
                <w:color w:val="auto"/>
              </w:rPr>
            </w:pPr>
          </w:p>
        </w:tc>
        <w:tc>
          <w:tcPr>
            <w:tcW w:w="1460" w:type="dxa"/>
            <w:vAlign w:val="bottom"/>
            <w:gridSpan w:val="2"/>
          </w:tcPr>
          <w:p>
            <w:pPr>
              <w:jc w:val="center"/>
              <w:ind w:left="554"/>
              <w:spacing w:after="0"/>
              <w:rPr>
                <w:sz w:val="20"/>
                <w:szCs w:val="20"/>
                <w:color w:val="auto"/>
              </w:rPr>
            </w:pPr>
            <w:r>
              <w:rPr>
                <w:rFonts w:ascii="Arial" w:cs="Arial" w:eastAsia="Arial" w:hAnsi="Arial"/>
                <w:sz w:val="14"/>
                <w:szCs w:val="14"/>
                <w:b w:val="1"/>
                <w:bCs w:val="1"/>
                <w:color w:val="auto"/>
                <w:w w:val="96"/>
              </w:rPr>
              <w:t>Royalty Rate</w:t>
            </w:r>
          </w:p>
        </w:tc>
      </w:tr>
      <w:tr>
        <w:trPr>
          <w:trHeight w:val="175"/>
        </w:trPr>
        <w:tc>
          <w:tcPr>
            <w:tcW w:w="6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Portion of cumulative Calendar Year Net Sales of Licensed Products in the</w:t>
            </w:r>
          </w:p>
        </w:tc>
        <w:tc>
          <w:tcPr>
            <w:tcW w:w="6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Territory up to and including USD $[***]</w:t>
            </w: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2"/>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Portion of cumulative Calendar Year Net Sales of Licensed Products in the</w:t>
            </w:r>
          </w:p>
        </w:tc>
        <w:tc>
          <w:tcPr>
            <w:tcW w:w="1460" w:type="dxa"/>
            <w:vAlign w:val="bottom"/>
            <w:gridSpan w:val="2"/>
          </w:tcPr>
          <w:p>
            <w:pPr>
              <w:jc w:val="center"/>
              <w:ind w:left="554"/>
              <w:spacing w:after="0" w:line="201" w:lineRule="exact"/>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Territory between USD $[***] and USD $[***]</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2"/>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Portion of cumulative Calendar Year Net Sales of Licensed Products in the</w:t>
            </w:r>
          </w:p>
        </w:tc>
        <w:tc>
          <w:tcPr>
            <w:tcW w:w="1460" w:type="dxa"/>
            <w:vAlign w:val="bottom"/>
            <w:gridSpan w:val="2"/>
            <w:shd w:val="clear" w:color="auto" w:fill="CCEEFF"/>
          </w:tcPr>
          <w:p>
            <w:pPr>
              <w:jc w:val="center"/>
              <w:ind w:left="554"/>
              <w:spacing w:after="0" w:line="201" w:lineRule="exact"/>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Territory between USD $[***] and USD $[***]</w:t>
            </w: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2"/>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Portion of cumulative Calendar Year Net Sales of Licensed Products in the</w:t>
            </w:r>
          </w:p>
        </w:tc>
        <w:tc>
          <w:tcPr>
            <w:tcW w:w="1460" w:type="dxa"/>
            <w:vAlign w:val="bottom"/>
            <w:gridSpan w:val="2"/>
          </w:tcPr>
          <w:p>
            <w:pPr>
              <w:jc w:val="center"/>
              <w:ind w:left="554"/>
              <w:spacing w:after="0" w:line="201" w:lineRule="exact"/>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Territory exceeding USD $[***]</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applicable royalty rate will be calculated as provided in this Section 6.3(a) by reference to the aggregate annual worldwide Net Sales of all Licensed Products. By way of example, [***].</w:t>
      </w:r>
    </w:p>
    <w:p>
      <w:pPr>
        <w:spacing w:after="0" w:line="62" w:lineRule="exact"/>
        <w:rPr>
          <w:sz w:val="20"/>
          <w:szCs w:val="20"/>
          <w:color w:val="auto"/>
        </w:rPr>
      </w:pPr>
    </w:p>
    <w:p>
      <w:pPr>
        <w:ind w:left="440" w:firstLine="428"/>
        <w:spacing w:after="0" w:line="255" w:lineRule="auto"/>
        <w:tabs>
          <w:tab w:leader="none" w:pos="1118" w:val="left"/>
        </w:tabs>
        <w:numPr>
          <w:ilvl w:val="1"/>
          <w:numId w:val="786"/>
        </w:numPr>
        <w:rPr>
          <w:rFonts w:ascii="Arial" w:cs="Arial" w:eastAsia="Arial" w:hAnsi="Arial"/>
          <w:sz w:val="18"/>
          <w:szCs w:val="18"/>
          <w:color w:val="auto"/>
        </w:rPr>
      </w:pPr>
      <w:r>
        <w:rPr>
          <w:rFonts w:ascii="Arial" w:cs="Arial" w:eastAsia="Arial" w:hAnsi="Arial"/>
          <w:sz w:val="18"/>
          <w:szCs w:val="18"/>
          <w:i w:val="1"/>
          <w:iCs w:val="1"/>
          <w:color w:val="auto"/>
        </w:rPr>
        <w:t>Royalty Term</w:t>
      </w:r>
      <w:r>
        <w:rPr>
          <w:rFonts w:ascii="Arial" w:cs="Arial" w:eastAsia="Arial" w:hAnsi="Arial"/>
          <w:sz w:val="18"/>
          <w:szCs w:val="18"/>
          <w:color w:val="auto"/>
        </w:rPr>
        <w:t>. The royalties due under Section 6.3(a) will be payable on Net Sales from the First Commercial Sale of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until the later of, on a country-by-country basis, (i) the date of expiration of the last-to-expire Valid Claim of any Aerpio Patent Right (including any applicable patent term extension) that Covers the manufacture, use, sale, offer for sale or importation of such Licensed Product in such country, (ii) if such Licensed Product contains AKB-4924, the date of expiration of the last-to-expire Valid Claim of any Licensee Patent Right (including any applicable patent term extension) that Covers the manufacture, use, sale, offer for sale or importation of such Licensed Product in such country, or (iii) fifteen (15) years from such First Commercial Sale of such Licensed Product in such country (the “</w:t>
      </w:r>
      <w:r>
        <w:rPr>
          <w:rFonts w:ascii="Arial" w:cs="Arial" w:eastAsia="Arial" w:hAnsi="Arial"/>
          <w:sz w:val="18"/>
          <w:szCs w:val="18"/>
          <w:b w:val="1"/>
          <w:bCs w:val="1"/>
          <w:color w:val="auto"/>
        </w:rPr>
        <w:t>Royalty</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440" w:right="200" w:firstLine="428"/>
        <w:spacing w:after="0" w:line="264" w:lineRule="auto"/>
        <w:tabs>
          <w:tab w:leader="none" w:pos="1108" w:val="left"/>
        </w:tabs>
        <w:numPr>
          <w:ilvl w:val="1"/>
          <w:numId w:val="786"/>
        </w:numPr>
        <w:rPr>
          <w:rFonts w:ascii="Arial" w:cs="Arial" w:eastAsia="Arial" w:hAnsi="Arial"/>
          <w:sz w:val="18"/>
          <w:szCs w:val="18"/>
          <w:color w:val="auto"/>
        </w:rPr>
      </w:pPr>
      <w:r>
        <w:rPr>
          <w:rFonts w:ascii="Arial" w:cs="Arial" w:eastAsia="Arial" w:hAnsi="Arial"/>
          <w:sz w:val="18"/>
          <w:szCs w:val="18"/>
          <w:i w:val="1"/>
          <w:iCs w:val="1"/>
          <w:color w:val="auto"/>
        </w:rPr>
        <w:t>Only One Royalty</w:t>
      </w:r>
      <w:r>
        <w:rPr>
          <w:rFonts w:ascii="Arial" w:cs="Arial" w:eastAsia="Arial" w:hAnsi="Arial"/>
          <w:sz w:val="18"/>
          <w:szCs w:val="18"/>
          <w:color w:val="auto"/>
        </w:rPr>
        <w:t>. Only one royalty will be due with respect to the sale of the same unit of Licensed Product. Only one royalty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due hereunder on the sale of the same unit of Licensed Product even if more than one claim of the Royalty Patent Rights Covers such Licensed Product.</w:t>
      </w:r>
    </w:p>
    <w:p>
      <w:pPr>
        <w:spacing w:after="0" w:line="73" w:lineRule="exact"/>
        <w:rPr>
          <w:rFonts w:ascii="Arial" w:cs="Arial" w:eastAsia="Arial" w:hAnsi="Arial"/>
          <w:sz w:val="18"/>
          <w:szCs w:val="18"/>
          <w:color w:val="auto"/>
        </w:rPr>
      </w:pPr>
    </w:p>
    <w:p>
      <w:pPr>
        <w:ind w:left="440" w:right="60" w:firstLine="428"/>
        <w:spacing w:after="0" w:line="254" w:lineRule="auto"/>
        <w:tabs>
          <w:tab w:leader="none" w:pos="1118" w:val="left"/>
        </w:tabs>
        <w:numPr>
          <w:ilvl w:val="1"/>
          <w:numId w:val="786"/>
        </w:numPr>
        <w:rPr>
          <w:rFonts w:ascii="Arial" w:cs="Arial" w:eastAsia="Arial" w:hAnsi="Arial"/>
          <w:sz w:val="18"/>
          <w:szCs w:val="18"/>
          <w:color w:val="auto"/>
        </w:rPr>
      </w:pPr>
      <w:r>
        <w:rPr>
          <w:rFonts w:ascii="Arial" w:cs="Arial" w:eastAsia="Arial" w:hAnsi="Arial"/>
          <w:sz w:val="18"/>
          <w:szCs w:val="18"/>
          <w:i w:val="1"/>
          <w:iCs w:val="1"/>
          <w:color w:val="auto"/>
        </w:rPr>
        <w:t>Anti-Stacking</w:t>
      </w:r>
      <w:r>
        <w:rPr>
          <w:rFonts w:ascii="Arial" w:cs="Arial" w:eastAsia="Arial" w:hAnsi="Arial"/>
          <w:sz w:val="18"/>
          <w:szCs w:val="18"/>
          <w:color w:val="auto"/>
        </w:rPr>
        <w:t>. In the event that Licensee reasonably determines that it is necessary for Licensee to obtain a license to any patent rights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Third Party to commercialize (including to make, have made, use, sell, offer for sale, have sold or import any Licensed Product for such commercialization) (“</w:t>
      </w:r>
      <w:r>
        <w:rPr>
          <w:rFonts w:ascii="Arial" w:cs="Arial" w:eastAsia="Arial" w:hAnsi="Arial"/>
          <w:sz w:val="18"/>
          <w:szCs w:val="18"/>
          <w:b w:val="1"/>
          <w:bCs w:val="1"/>
          <w:color w:val="auto"/>
        </w:rPr>
        <w:t>Additional Third Party Licenses</w:t>
      </w:r>
      <w:r>
        <w:rPr>
          <w:rFonts w:ascii="Arial" w:cs="Arial" w:eastAsia="Arial" w:hAnsi="Arial"/>
          <w:sz w:val="18"/>
          <w:szCs w:val="18"/>
          <w:color w:val="auto"/>
        </w:rPr>
        <w:t>”) and Licensee obtains such an Additional Third Party License, then Licensee may deduct from the royalty payment that would otherwise have been due to Aerpio, an amount equal to [***] percent ([***]%) of the royalties actually paid to such Third Party under such Additional Third Party Licenses by Licensee to commercialize (including to make, have made, use, sell, offer for sale, have sold or import for such commercialization, as applicable) such Licensed Product, provided that pursuant to this Section 6.3(d) the royalties owed by Licensee to Aerpio for a particular Licensed Product shall not be reduced to less than [***] percent ([***]%) of the amount otherwise owed.</w:t>
      </w:r>
    </w:p>
    <w:p>
      <w:pPr>
        <w:spacing w:after="0" w:line="286" w:lineRule="exact"/>
        <w:rPr>
          <w:rFonts w:ascii="Arial" w:cs="Arial" w:eastAsia="Arial" w:hAnsi="Arial"/>
          <w:sz w:val="18"/>
          <w:szCs w:val="18"/>
          <w:color w:val="auto"/>
        </w:rPr>
      </w:pPr>
    </w:p>
    <w:p>
      <w:pPr>
        <w:ind w:left="440" w:right="440" w:hanging="436"/>
        <w:spacing w:after="0" w:line="277" w:lineRule="auto"/>
        <w:tabs>
          <w:tab w:leader="none" w:pos="440" w:val="left"/>
        </w:tabs>
        <w:numPr>
          <w:ilvl w:val="0"/>
          <w:numId w:val="78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5" w:right="459" w:bottom="1440" w:gutter="0" w:footer="0" w:header="0"/>
        </w:sectPr>
      </w:pPr>
    </w:p>
    <w:bookmarkStart w:id="870" w:name="page871"/>
    <w:bookmarkEnd w:id="870"/>
    <w:p>
      <w:pPr>
        <w:ind w:left="436" w:right="14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 </w:t>
      </w:r>
      <w:r>
        <w:rPr>
          <w:rFonts w:ascii="Arial" w:cs="Arial" w:eastAsia="Arial" w:hAnsi="Arial"/>
          <w:sz w:val="18"/>
          <w:szCs w:val="18"/>
          <w:i w:val="1"/>
          <w:iCs w:val="1"/>
          <w:color w:val="auto"/>
        </w:rPr>
        <w:t>Know-How Royalty</w:t>
      </w:r>
      <w:r>
        <w:rPr>
          <w:rFonts w:ascii="Arial" w:cs="Arial" w:eastAsia="Arial" w:hAnsi="Arial"/>
          <w:sz w:val="18"/>
          <w:szCs w:val="18"/>
          <w:color w:val="auto"/>
        </w:rPr>
        <w:t>. In countries in the Territory where a Licensed Product is not Covered by a Valid Claim of a Royalty Patent Right (</w:t>
      </w:r>
      <w:r>
        <w:rPr>
          <w:rFonts w:ascii="Arial" w:cs="Arial" w:eastAsia="Arial" w:hAnsi="Arial"/>
          <w:sz w:val="18"/>
          <w:szCs w:val="18"/>
          <w:i w:val="1"/>
          <w:iCs w:val="1"/>
          <w:color w:val="auto"/>
        </w:rPr>
        <w:t>i.e</w:t>
      </w:r>
      <w:r>
        <w:rPr>
          <w:rFonts w:ascii="Arial" w:cs="Arial" w:eastAsia="Arial" w:hAnsi="Arial"/>
          <w:sz w:val="18"/>
          <w:szCs w:val="18"/>
          <w:color w:val="auto"/>
        </w:rPr>
        <w:t>., under clause (i) of Section 6.3(b)), Licensee shall pay royalties on Net Sales of such Licensed Products in such countries with respect to the Royalty Term at royalty rates that shall be set at [***] percent ([***]%) of the applicable royalty rate determined according to Section 6.3(a), mutatis mutandis.</w:t>
      </w:r>
    </w:p>
    <w:p>
      <w:pPr>
        <w:spacing w:after="0" w:line="79" w:lineRule="exact"/>
        <w:rPr>
          <w:sz w:val="20"/>
          <w:szCs w:val="20"/>
          <w:color w:val="auto"/>
        </w:rPr>
      </w:pPr>
    </w:p>
    <w:p>
      <w:pPr>
        <w:ind w:left="436" w:firstLine="428"/>
        <w:spacing w:after="0" w:line="264" w:lineRule="auto"/>
        <w:tabs>
          <w:tab w:leader="none" w:pos="1084" w:val="left"/>
        </w:tabs>
        <w:numPr>
          <w:ilvl w:val="0"/>
          <w:numId w:val="787"/>
        </w:numPr>
        <w:rPr>
          <w:rFonts w:ascii="Arial" w:cs="Arial" w:eastAsia="Arial" w:hAnsi="Arial"/>
          <w:sz w:val="18"/>
          <w:szCs w:val="18"/>
          <w:color w:val="auto"/>
        </w:rPr>
      </w:pPr>
      <w:r>
        <w:rPr>
          <w:rFonts w:ascii="Arial" w:cs="Arial" w:eastAsia="Arial" w:hAnsi="Arial"/>
          <w:sz w:val="18"/>
          <w:szCs w:val="18"/>
          <w:i w:val="1"/>
          <w:iCs w:val="1"/>
          <w:color w:val="auto"/>
        </w:rPr>
        <w:t>Generic Competition</w:t>
      </w:r>
      <w:r>
        <w:rPr>
          <w:rFonts w:ascii="Arial" w:cs="Arial" w:eastAsia="Arial" w:hAnsi="Arial"/>
          <w:sz w:val="18"/>
          <w:szCs w:val="18"/>
          <w:color w:val="auto"/>
        </w:rPr>
        <w:t>. In the event that, on a Licensed Product-by-Licensed Product and country-by-country basis, a Generic Product(s) is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available with respect to such Licensed Product in such country and the combined market share for such Generic Product(s) is [***].</w:t>
      </w:r>
    </w:p>
    <w:p>
      <w:pPr>
        <w:spacing w:after="0" w:line="73" w:lineRule="exact"/>
        <w:rPr>
          <w:rFonts w:ascii="Arial" w:cs="Arial" w:eastAsia="Arial" w:hAnsi="Arial"/>
          <w:sz w:val="18"/>
          <w:szCs w:val="18"/>
          <w:color w:val="auto"/>
        </w:rPr>
      </w:pPr>
    </w:p>
    <w:p>
      <w:pPr>
        <w:ind w:left="436" w:right="120" w:firstLine="428"/>
        <w:spacing w:after="0" w:line="297" w:lineRule="auto"/>
        <w:tabs>
          <w:tab w:leader="none" w:pos="1114" w:val="left"/>
        </w:tabs>
        <w:numPr>
          <w:ilvl w:val="0"/>
          <w:numId w:val="787"/>
        </w:numPr>
        <w:rPr>
          <w:rFonts w:ascii="Arial" w:cs="Arial" w:eastAsia="Arial" w:hAnsi="Arial"/>
          <w:sz w:val="16"/>
          <w:szCs w:val="16"/>
          <w:color w:val="auto"/>
        </w:rPr>
      </w:pPr>
      <w:r>
        <w:rPr>
          <w:rFonts w:ascii="Arial" w:cs="Arial" w:eastAsia="Arial" w:hAnsi="Arial"/>
          <w:sz w:val="16"/>
          <w:szCs w:val="16"/>
          <w:i w:val="1"/>
          <w:iCs w:val="1"/>
          <w:color w:val="auto"/>
        </w:rPr>
        <w:t>Payment Floor</w:t>
      </w:r>
      <w:r>
        <w:rPr>
          <w:rFonts w:ascii="Arial" w:cs="Arial" w:eastAsia="Arial" w:hAnsi="Arial"/>
          <w:sz w:val="16"/>
          <w:szCs w:val="16"/>
          <w:color w:val="auto"/>
        </w:rPr>
        <w:t>. In no event will any credits, deductions or reductions permitted to be taken under this Agreement against any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payment owed to Aerpio under this Section 6.3 (including under Section 6.3(d) or 6.3(e) or 6.3(f)) act to reduce such payment by more than [***] percent ([***]%) (or by more than [***] percent ([***]%) if the reduction set forth in Section 6.3(f) is then in effect) than would otherwise be payable hereunder in absent of any such credits, deductions or reductions. Further, save for the permitted reductions pursuant to Section 6.3(d), 6.3(e), and 6.3(f), all royalties payable hereunder shall be non-refundable and non-creditable and not subject to set-off.</w:t>
      </w:r>
    </w:p>
    <w:p>
      <w:pPr>
        <w:spacing w:after="0" w:line="50" w:lineRule="exact"/>
        <w:rPr>
          <w:sz w:val="20"/>
          <w:szCs w:val="20"/>
          <w:color w:val="auto"/>
        </w:rPr>
      </w:pPr>
    </w:p>
    <w:p>
      <w:pPr>
        <w:ind w:left="876"/>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Transaction Payments</w:t>
      </w:r>
      <w:r>
        <w:rPr>
          <w:rFonts w:ascii="Arial" w:cs="Arial" w:eastAsia="Arial" w:hAnsi="Arial"/>
          <w:sz w:val="18"/>
          <w:szCs w:val="18"/>
          <w:color w:val="auto"/>
        </w:rPr>
        <w:t>.</w:t>
      </w:r>
    </w:p>
    <w:p>
      <w:pPr>
        <w:spacing w:after="0" w:line="117" w:lineRule="exact"/>
        <w:rPr>
          <w:sz w:val="20"/>
          <w:szCs w:val="20"/>
          <w:color w:val="auto"/>
        </w:rPr>
      </w:pPr>
    </w:p>
    <w:p>
      <w:pPr>
        <w:jc w:val="both"/>
        <w:ind w:left="436" w:right="120" w:firstLine="428"/>
        <w:spacing w:after="0" w:line="274" w:lineRule="auto"/>
        <w:tabs>
          <w:tab w:leader="none" w:pos="1104" w:val="left"/>
        </w:tabs>
        <w:numPr>
          <w:ilvl w:val="1"/>
          <w:numId w:val="788"/>
        </w:numPr>
        <w:rPr>
          <w:rFonts w:ascii="Arial" w:cs="Arial" w:eastAsia="Arial" w:hAnsi="Arial"/>
          <w:sz w:val="17"/>
          <w:szCs w:val="17"/>
          <w:color w:val="auto"/>
        </w:rPr>
      </w:pPr>
      <w:r>
        <w:rPr>
          <w:rFonts w:ascii="Arial" w:cs="Arial" w:eastAsia="Arial" w:hAnsi="Arial"/>
          <w:sz w:val="17"/>
          <w:szCs w:val="17"/>
          <w:color w:val="auto"/>
        </w:rPr>
        <w:t>Within [***] before or after the signing of any transaction that will (or could) give rise to any [***] payment in excess of [***] Dollars ($[***]) (a “</w:t>
      </w:r>
      <w:r>
        <w:rPr>
          <w:rFonts w:ascii="Arial" w:cs="Arial" w:eastAsia="Arial" w:hAnsi="Arial"/>
          <w:sz w:val="17"/>
          <w:szCs w:val="17"/>
          <w:u w:val="single" w:color="auto"/>
          <w:color w:val="auto"/>
        </w:rPr>
        <w:t>Qualifying Transaction</w:t>
      </w:r>
      <w:r>
        <w:rPr>
          <w:rFonts w:ascii="Arial" w:cs="Arial" w:eastAsia="Arial" w:hAnsi="Arial"/>
          <w:sz w:val="17"/>
          <w:szCs w:val="17"/>
          <w:color w:val="auto"/>
        </w:rPr>
        <w:t>”), Licensee will notify Aerpio of such Qualifying Transaction and provide Aerpio under confidentiality with</w:t>
      </w:r>
    </w:p>
    <w:p>
      <w:pPr>
        <w:ind w:left="436" w:right="40" w:firstLine="4"/>
        <w:spacing w:after="0" w:line="252" w:lineRule="auto"/>
        <w:tabs>
          <w:tab w:leader="none" w:pos="651" w:val="left"/>
        </w:tabs>
        <w:numPr>
          <w:ilvl w:val="0"/>
          <w:numId w:val="789"/>
        </w:numPr>
        <w:rPr>
          <w:rFonts w:ascii="Arial" w:cs="Arial" w:eastAsia="Arial" w:hAnsi="Arial"/>
          <w:sz w:val="18"/>
          <w:szCs w:val="18"/>
          <w:color w:val="auto"/>
        </w:rPr>
      </w:pPr>
      <w:r>
        <w:rPr>
          <w:rFonts w:ascii="Arial" w:cs="Arial" w:eastAsia="Arial" w:hAnsi="Arial"/>
          <w:sz w:val="18"/>
          <w:szCs w:val="18"/>
          <w:color w:val="auto"/>
        </w:rPr>
        <w:t>documentation regarding the nature and amount of any Transaction Payments, including any upfront payments, (ii) Licensee’s good faith calculation of the amount and projected payment dates of those Transaction Payments, (iii) a calculation of [***] of the Transaction Payments (including the projected payment dates), with the only reductions allowed from such [***] as permitted by Sections 1.51 and 6.4(d), or for taxes pursuant to Section 6.5(e), in each case if applicable (such [***] of those Transaction Payments, the “[***]”), (iv) the expected date of the signing of such transaction, or if the signing has already occurred, the expected closing of such transaction, and (v) notification of whether Licensee is exercising its option pursuant to Section 6.4(b).</w:t>
      </w:r>
    </w:p>
    <w:p>
      <w:pPr>
        <w:spacing w:after="0" w:line="86" w:lineRule="exact"/>
        <w:rPr>
          <w:rFonts w:ascii="Arial" w:cs="Arial" w:eastAsia="Arial" w:hAnsi="Arial"/>
          <w:sz w:val="18"/>
          <w:szCs w:val="18"/>
          <w:color w:val="auto"/>
        </w:rPr>
      </w:pPr>
    </w:p>
    <w:p>
      <w:pPr>
        <w:ind w:left="1116" w:hanging="252"/>
        <w:spacing w:after="0"/>
        <w:tabs>
          <w:tab w:leader="none" w:pos="1116" w:val="left"/>
        </w:tabs>
        <w:numPr>
          <w:ilvl w:val="1"/>
          <w:numId w:val="789"/>
        </w:numPr>
        <w:rPr>
          <w:rFonts w:ascii="Arial" w:cs="Arial" w:eastAsia="Arial" w:hAnsi="Arial"/>
          <w:sz w:val="17"/>
          <w:szCs w:val="17"/>
          <w:color w:val="auto"/>
        </w:rPr>
      </w:pPr>
      <w:r>
        <w:rPr>
          <w:rFonts w:ascii="Arial" w:cs="Arial" w:eastAsia="Arial" w:hAnsi="Arial"/>
          <w:sz w:val="17"/>
          <w:szCs w:val="17"/>
          <w:color w:val="auto"/>
        </w:rPr>
        <w:t>For any Qualifying Transaction, Licensee shall have the option in its sole discretion to pay Aerpio the greater of (1) [***] Dollars</w:t>
      </w:r>
    </w:p>
    <w:p>
      <w:pPr>
        <w:spacing w:after="0" w:line="35" w:lineRule="exact"/>
        <w:rPr>
          <w:sz w:val="20"/>
          <w:szCs w:val="20"/>
          <w:color w:val="auto"/>
        </w:rPr>
      </w:pPr>
    </w:p>
    <w:p>
      <w:pPr>
        <w:ind w:left="436"/>
        <w:spacing w:after="0" w:line="267" w:lineRule="auto"/>
        <w:rPr>
          <w:sz w:val="20"/>
          <w:szCs w:val="20"/>
          <w:color w:val="auto"/>
        </w:rPr>
      </w:pPr>
      <w:r>
        <w:rPr>
          <w:rFonts w:ascii="Arial" w:cs="Arial" w:eastAsia="Arial" w:hAnsi="Arial"/>
          <w:sz w:val="17"/>
          <w:szCs w:val="17"/>
          <w:color w:val="auto"/>
        </w:rPr>
        <w:t>($[***]) or (2) the [***] of any upfront Transaction Payment, within [***] days after closing the Qualifying Transaction (or such earlier or later date when such upfront Transaction Payment is received (directly or indirectly) by or on behalf of Licensee, its Affiliates, or equity or other security holders (or former equity or other security holders) of Licensee or any of its Affiliates), and Aerpio will no longer be paid any amounts under Sections 6.2 and 6.3 accruing after the notification is provided to Aerpio pursuant to Section 6.4(a), subject to such Qualifying Transaction closing and (i) Licensee providing to Aerpio all of the final documentation regarding such transaction, (ii) Aerpio receiving all of the [***] for such Qualifying Transaction (but subject to and based upon the last sentence of this Section 6.4(b)), and (iii) if applicable, the Parties compliance with Section 6.4(d). To the extent the actual upfront Transaction Payment for such transaction is less than [***] Dollars ($[***]), the portion of such [***] Dollars ($[***]) payment that is in excess of the [***] of such upfront Transaction Payment shall be creditable against any future [***] payments arising from any future Transaction Payments received (directly or indirectly) by or on behalf of Licensee, its Affiliates, or equity or other security holders (or former equity or other security holders) of Licensee or any of its Affiliates for such Qualifying Transaction. In the event that License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946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1" w:lineRule="exact"/>
        <w:rPr>
          <w:sz w:val="20"/>
          <w:szCs w:val="20"/>
          <w:color w:val="auto"/>
        </w:rPr>
      </w:pPr>
    </w:p>
    <w:p>
      <w:pPr>
        <w:ind w:left="436" w:right="440" w:hanging="436"/>
        <w:spacing w:after="0" w:line="277" w:lineRule="auto"/>
        <w:tabs>
          <w:tab w:leader="none" w:pos="436" w:val="left"/>
        </w:tabs>
        <w:numPr>
          <w:ilvl w:val="0"/>
          <w:numId w:val="79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6"/>
          </w:cols>
          <w:pgMar w:left="444" w:top="274" w:right="459" w:bottom="1440" w:gutter="0" w:footer="0" w:header="0"/>
        </w:sectPr>
      </w:pPr>
    </w:p>
    <w:bookmarkStart w:id="871" w:name="page872"/>
    <w:bookmarkEnd w:id="871"/>
    <w:p>
      <w:pPr>
        <w:jc w:val="both"/>
        <w:ind w:left="436"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option under this Section 6.4(b), Licensee is obligated to pay, and will pay, to Aerpio such [***] for such Qualifying Transaction, but only as and within [***] of any Transaction Payments for such Qualifying Transaction actually being received (directly or indirectly) by or on behalf of Licensee or its Affiliates or such equity or other security holders (or former equity or other security holders).</w:t>
      </w:r>
    </w:p>
    <w:p>
      <w:pPr>
        <w:spacing w:after="0" w:line="57" w:lineRule="exact"/>
        <w:rPr>
          <w:sz w:val="20"/>
          <w:szCs w:val="20"/>
          <w:color w:val="auto"/>
        </w:rPr>
      </w:pPr>
    </w:p>
    <w:p>
      <w:pPr>
        <w:ind w:left="436" w:right="40" w:firstLine="428"/>
        <w:spacing w:after="0" w:line="285" w:lineRule="auto"/>
        <w:tabs>
          <w:tab w:leader="none" w:pos="1104" w:val="left"/>
        </w:tabs>
        <w:numPr>
          <w:ilvl w:val="1"/>
          <w:numId w:val="791"/>
        </w:numPr>
        <w:rPr>
          <w:rFonts w:ascii="Arial" w:cs="Arial" w:eastAsia="Arial" w:hAnsi="Arial"/>
          <w:sz w:val="16"/>
          <w:szCs w:val="16"/>
          <w:color w:val="auto"/>
        </w:rPr>
      </w:pPr>
      <w:r>
        <w:rPr>
          <w:rFonts w:ascii="Arial" w:cs="Arial" w:eastAsia="Arial" w:hAnsi="Arial"/>
          <w:sz w:val="16"/>
          <w:szCs w:val="16"/>
          <w:color w:val="auto"/>
        </w:rPr>
        <w:t>For any Qualifying Transaction for which Licensee does not exercise its rights pursuant to Section 6.4(b), within [***] following the notification pursuant to Section 6.4(a), Aerpio will have the option in its sole discretion to elect by written notice to Licensee to be paid the [***], and upon making such election, and provided that Aerpio is paid at least [***] percent ([***]%) of the [***] of the upfront payment amount provided pursuant to clause 6.4(a)(i), then Aerpio’s election will be irrevocable and Aerpio will no longer be paid any amounts under Sections 6.2 and 6.3 accruing after the notification is provided to Aerpio pursuant to Section 6.4(a), subject to such Qualifying Transaction closing and</w:t>
      </w:r>
    </w:p>
    <w:p>
      <w:pPr>
        <w:spacing w:after="0" w:line="2" w:lineRule="exact"/>
        <w:rPr>
          <w:rFonts w:ascii="Arial" w:cs="Arial" w:eastAsia="Arial" w:hAnsi="Arial"/>
          <w:sz w:val="16"/>
          <w:szCs w:val="16"/>
          <w:color w:val="auto"/>
        </w:rPr>
      </w:pPr>
    </w:p>
    <w:p>
      <w:pPr>
        <w:ind w:left="436" w:firstLine="4"/>
        <w:spacing w:after="0" w:line="252" w:lineRule="auto"/>
        <w:tabs>
          <w:tab w:leader="none" w:pos="651" w:val="left"/>
        </w:tabs>
        <w:numPr>
          <w:ilvl w:val="0"/>
          <w:numId w:val="792"/>
        </w:numPr>
        <w:rPr>
          <w:rFonts w:ascii="Arial" w:cs="Arial" w:eastAsia="Arial" w:hAnsi="Arial"/>
          <w:sz w:val="18"/>
          <w:szCs w:val="18"/>
          <w:color w:val="auto"/>
        </w:rPr>
      </w:pPr>
      <w:r>
        <w:rPr>
          <w:rFonts w:ascii="Arial" w:cs="Arial" w:eastAsia="Arial" w:hAnsi="Arial"/>
          <w:sz w:val="18"/>
          <w:szCs w:val="18"/>
          <w:color w:val="auto"/>
        </w:rPr>
        <w:t>Licensee providing to Aerpio all of the final documentation regarding such transaction and (ii) Aerpio receiving all of the [***] for such Qualifying Transaction (but subject to and based upon the last sentence of this Section 6.4(c)), and (iii) if applicable, the Parties compliance with Section 6.4(d). In the event that Licensor exercises its option under this Section 6.4(c) to receive the applicable [***], Licensee is obligated to pay, and will pay, to Aerpio such [***] for such Qualifying Transaction, but only as and within [***] of any Transaction Payments for such Qualifying Transaction actually being received (directly or indirectly) by or on behalf of Licensee or its Affiliates or such equity or other security holders (or former equity or other security holders).</w:t>
      </w:r>
    </w:p>
    <w:p>
      <w:pPr>
        <w:spacing w:after="0" w:line="86" w:lineRule="exact"/>
        <w:rPr>
          <w:rFonts w:ascii="Arial" w:cs="Arial" w:eastAsia="Arial" w:hAnsi="Arial"/>
          <w:sz w:val="18"/>
          <w:szCs w:val="18"/>
          <w:color w:val="auto"/>
        </w:rPr>
      </w:pPr>
    </w:p>
    <w:p>
      <w:pPr>
        <w:ind w:left="436" w:right="20" w:firstLine="428"/>
        <w:spacing w:after="0" w:line="293" w:lineRule="auto"/>
        <w:tabs>
          <w:tab w:leader="none" w:pos="1114" w:val="left"/>
        </w:tabs>
        <w:numPr>
          <w:ilvl w:val="1"/>
          <w:numId w:val="792"/>
        </w:numPr>
        <w:rPr>
          <w:rFonts w:ascii="Arial" w:cs="Arial" w:eastAsia="Arial" w:hAnsi="Arial"/>
          <w:sz w:val="16"/>
          <w:szCs w:val="16"/>
          <w:color w:val="auto"/>
        </w:rPr>
      </w:pPr>
      <w:r>
        <w:rPr>
          <w:rFonts w:ascii="Arial" w:cs="Arial" w:eastAsia="Arial" w:hAnsi="Arial"/>
          <w:sz w:val="16"/>
          <w:szCs w:val="16"/>
          <w:color w:val="auto"/>
        </w:rPr>
        <w:t>If Licensee is reasonably of the view that any transaction subject to Section 6.4 includes consideration attributable to any physical assets, leases or inventory, or pharmaceutical products or drug candidates in addition to consideration attributable to the Licensed Compound and Licensed Products, [***], the portion of the consideration reasonably attributable to the Licensed Compound and Licensed Products that will be the amount of the Transaction Payment that is subject to such [***] payment to Aerpio. If Licensee elects to exercise its option in Section 6.4(b), [***] on the portion of the consideration reasonably attributable to the Licensed Compound and Licensed Products that will be the amount of the Transaction Payment that is subject to such [***] payment to Aerpio [***]. If the parties cannot agree on the [***].</w:t>
      </w:r>
    </w:p>
    <w:p>
      <w:pPr>
        <w:spacing w:after="0" w:line="56" w:lineRule="exact"/>
        <w:rPr>
          <w:rFonts w:ascii="Arial" w:cs="Arial" w:eastAsia="Arial" w:hAnsi="Arial"/>
          <w:sz w:val="16"/>
          <w:szCs w:val="16"/>
          <w:color w:val="auto"/>
        </w:rPr>
      </w:pPr>
    </w:p>
    <w:p>
      <w:pPr>
        <w:jc w:val="both"/>
        <w:ind w:left="436" w:right="100" w:firstLine="428"/>
        <w:spacing w:after="0" w:line="264" w:lineRule="auto"/>
        <w:tabs>
          <w:tab w:leader="none" w:pos="1104" w:val="left"/>
        </w:tabs>
        <w:numPr>
          <w:ilvl w:val="1"/>
          <w:numId w:val="792"/>
        </w:numPr>
        <w:rPr>
          <w:rFonts w:ascii="Arial" w:cs="Arial" w:eastAsia="Arial" w:hAnsi="Arial"/>
          <w:sz w:val="18"/>
          <w:szCs w:val="18"/>
          <w:color w:val="auto"/>
        </w:rPr>
      </w:pPr>
      <w:r>
        <w:rPr>
          <w:rFonts w:ascii="Arial" w:cs="Arial" w:eastAsia="Arial" w:hAnsi="Arial"/>
          <w:sz w:val="18"/>
          <w:szCs w:val="18"/>
          <w:color w:val="auto"/>
        </w:rPr>
        <w:t>Notwithstanding the foregoing in this Section 6.4, if the ultimate parent Affiliate of Licensee undergoes a Change of Control (where the reference to “Party” in such “Change of Control” definition refers to such parent entity), Licensee may by written notice to Aerpio notify Aerpio that this Section 6.4 will not apply to such Change of Control [***].</w:t>
      </w:r>
    </w:p>
    <w:p>
      <w:pPr>
        <w:spacing w:after="0" w:line="73" w:lineRule="exact"/>
        <w:rPr>
          <w:rFonts w:ascii="Arial" w:cs="Arial" w:eastAsia="Arial" w:hAnsi="Arial"/>
          <w:sz w:val="18"/>
          <w:szCs w:val="18"/>
          <w:color w:val="auto"/>
        </w:rPr>
      </w:pPr>
    </w:p>
    <w:p>
      <w:pPr>
        <w:ind w:left="436" w:right="180" w:firstLine="428"/>
        <w:spacing w:after="0" w:line="277" w:lineRule="auto"/>
        <w:tabs>
          <w:tab w:leader="none" w:pos="1084" w:val="left"/>
        </w:tabs>
        <w:numPr>
          <w:ilvl w:val="1"/>
          <w:numId w:val="792"/>
        </w:numPr>
        <w:rPr>
          <w:rFonts w:ascii="Arial" w:cs="Arial" w:eastAsia="Arial" w:hAnsi="Arial"/>
          <w:sz w:val="18"/>
          <w:szCs w:val="18"/>
          <w:color w:val="auto"/>
        </w:rPr>
      </w:pPr>
      <w:r>
        <w:rPr>
          <w:rFonts w:ascii="Arial" w:cs="Arial" w:eastAsia="Arial" w:hAnsi="Arial"/>
          <w:sz w:val="18"/>
          <w:szCs w:val="18"/>
          <w:color w:val="auto"/>
        </w:rPr>
        <w:t>All such payments to Aerpio under this Section 6.4 will be [***] For clarity, Aerpio shall not be entitled to receive any [***] payments for any transaction that is not a Qualifying Transaction.</w:t>
      </w:r>
    </w:p>
    <w:p>
      <w:pPr>
        <w:spacing w:after="0" w:line="62" w:lineRule="exact"/>
        <w:rPr>
          <w:sz w:val="20"/>
          <w:szCs w:val="20"/>
          <w:color w:val="auto"/>
        </w:rPr>
      </w:pPr>
    </w:p>
    <w:p>
      <w:pPr>
        <w:ind w:left="876"/>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Terms</w:t>
      </w:r>
      <w:r>
        <w:rPr>
          <w:rFonts w:ascii="Arial" w:cs="Arial" w:eastAsia="Arial" w:hAnsi="Arial"/>
          <w:sz w:val="18"/>
          <w:szCs w:val="18"/>
          <w:color w:val="auto"/>
        </w:rPr>
        <w:t>.</w:t>
      </w:r>
    </w:p>
    <w:p>
      <w:pPr>
        <w:spacing w:after="0" w:line="117" w:lineRule="exact"/>
        <w:rPr>
          <w:sz w:val="20"/>
          <w:szCs w:val="20"/>
          <w:color w:val="auto"/>
        </w:rPr>
      </w:pPr>
    </w:p>
    <w:p>
      <w:pPr>
        <w:ind w:left="436" w:right="60" w:firstLine="428"/>
        <w:spacing w:after="0" w:line="277" w:lineRule="auto"/>
        <w:tabs>
          <w:tab w:leader="none" w:pos="1104" w:val="left"/>
        </w:tabs>
        <w:numPr>
          <w:ilvl w:val="1"/>
          <w:numId w:val="793"/>
        </w:numPr>
        <w:rPr>
          <w:rFonts w:ascii="Arial" w:cs="Arial" w:eastAsia="Arial" w:hAnsi="Arial"/>
          <w:sz w:val="18"/>
          <w:szCs w:val="18"/>
          <w:color w:val="auto"/>
        </w:rPr>
      </w:pPr>
      <w:r>
        <w:rPr>
          <w:rFonts w:ascii="Arial" w:cs="Arial" w:eastAsia="Arial" w:hAnsi="Arial"/>
          <w:sz w:val="18"/>
          <w:szCs w:val="18"/>
          <w:i w:val="1"/>
          <w:iCs w:val="1"/>
          <w:color w:val="auto"/>
        </w:rPr>
        <w:t>Manner of Payment</w:t>
      </w:r>
      <w:r>
        <w:rPr>
          <w:rFonts w:ascii="Arial" w:cs="Arial" w:eastAsia="Arial" w:hAnsi="Arial"/>
          <w:sz w:val="18"/>
          <w:szCs w:val="18"/>
          <w:color w:val="auto"/>
        </w:rPr>
        <w:t>. All payments to be made by Licensee hereunder will be made in United States dollars by wire transfer to such bank</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as Aerpio may designate.</w:t>
      </w:r>
    </w:p>
    <w:p>
      <w:pPr>
        <w:spacing w:after="0" w:line="62" w:lineRule="exact"/>
        <w:rPr>
          <w:rFonts w:ascii="Arial" w:cs="Arial" w:eastAsia="Arial" w:hAnsi="Arial"/>
          <w:sz w:val="18"/>
          <w:szCs w:val="18"/>
          <w:color w:val="auto"/>
        </w:rPr>
      </w:pPr>
    </w:p>
    <w:p>
      <w:pPr>
        <w:ind w:left="436" w:right="20" w:firstLine="428"/>
        <w:spacing w:after="0" w:line="297" w:lineRule="auto"/>
        <w:tabs>
          <w:tab w:leader="none" w:pos="1114" w:val="left"/>
        </w:tabs>
        <w:numPr>
          <w:ilvl w:val="1"/>
          <w:numId w:val="793"/>
        </w:numPr>
        <w:rPr>
          <w:rFonts w:ascii="Arial" w:cs="Arial" w:eastAsia="Arial" w:hAnsi="Arial"/>
          <w:sz w:val="16"/>
          <w:szCs w:val="16"/>
          <w:color w:val="auto"/>
        </w:rPr>
      </w:pPr>
      <w:r>
        <w:rPr>
          <w:rFonts w:ascii="Arial" w:cs="Arial" w:eastAsia="Arial" w:hAnsi="Arial"/>
          <w:sz w:val="16"/>
          <w:szCs w:val="16"/>
          <w:i w:val="1"/>
          <w:iCs w:val="1"/>
          <w:color w:val="auto"/>
        </w:rPr>
        <w:t>Reports and Royalty Payments</w:t>
      </w:r>
      <w:r>
        <w:rPr>
          <w:rFonts w:ascii="Arial" w:cs="Arial" w:eastAsia="Arial" w:hAnsi="Arial"/>
          <w:sz w:val="16"/>
          <w:szCs w:val="16"/>
          <w:color w:val="auto"/>
        </w:rPr>
        <w:t>. Subsequent to the First Commercial Sale anywhere in the Territory and for as long as royalties are due</w:t>
      </w:r>
      <w:r>
        <w:rPr>
          <w:rFonts w:ascii="Arial" w:cs="Arial" w:eastAsia="Arial" w:hAnsi="Arial"/>
          <w:sz w:val="16"/>
          <w:szCs w:val="16"/>
          <w:i w:val="1"/>
          <w:iCs w:val="1"/>
          <w:color w:val="auto"/>
        </w:rPr>
        <w:t xml:space="preserve"> </w:t>
      </w:r>
      <w:r>
        <w:rPr>
          <w:rFonts w:ascii="Arial" w:cs="Arial" w:eastAsia="Arial" w:hAnsi="Arial"/>
          <w:sz w:val="16"/>
          <w:szCs w:val="16"/>
          <w:color w:val="auto"/>
        </w:rPr>
        <w:t>under Section 6.3(a), Licensee will furnish to Aerpio a written report, within [***] after the end of each calendar quarter, showing the amount of Net Sales of Licensed Products and royalty due for such calendar quarter. Royalty payments for each calendar quarter will be due at the same time as such written report for the calendar quarter. The report will include, at a minimum, the following information for the applicable calendar quarter, each listed by product and by country of sale: (i) Net Sales for such Licensed Products sold by Licensee, Affiliates</w:t>
      </w:r>
    </w:p>
    <w:p>
      <w:pPr>
        <w:spacing w:after="0" w:line="252" w:lineRule="exact"/>
        <w:rPr>
          <w:rFonts w:ascii="Arial" w:cs="Arial" w:eastAsia="Arial" w:hAnsi="Arial"/>
          <w:sz w:val="16"/>
          <w:szCs w:val="16"/>
          <w:color w:val="auto"/>
        </w:rPr>
      </w:pPr>
    </w:p>
    <w:p>
      <w:pPr>
        <w:ind w:left="436" w:right="440" w:hanging="436"/>
        <w:spacing w:after="0" w:line="277" w:lineRule="auto"/>
        <w:tabs>
          <w:tab w:leader="none" w:pos="436" w:val="left"/>
        </w:tabs>
        <w:numPr>
          <w:ilvl w:val="0"/>
          <w:numId w:val="79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6946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6"/>
          </w:cols>
          <w:pgMar w:left="444" w:top="274" w:right="459" w:bottom="1440" w:gutter="0" w:footer="0" w:header="0"/>
        </w:sectPr>
      </w:pPr>
    </w:p>
    <w:bookmarkStart w:id="872" w:name="page873"/>
    <w:bookmarkEnd w:id="872"/>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Sublicensees; (ii) the royalties and Milestone Payments owed to Aerpio, listed by category; and (iii) the computations for any applicable currency conversions pursuant to Section 6.5(d). All such reports will be treated as Confidential Information of Licensee.</w:t>
      </w:r>
    </w:p>
    <w:p>
      <w:pPr>
        <w:spacing w:after="0" w:line="38" w:lineRule="exact"/>
        <w:rPr>
          <w:sz w:val="20"/>
          <w:szCs w:val="20"/>
          <w:color w:val="auto"/>
        </w:rPr>
      </w:pPr>
    </w:p>
    <w:p>
      <w:pPr>
        <w:ind w:right="20" w:firstLine="428"/>
        <w:spacing w:after="0" w:line="285" w:lineRule="auto"/>
        <w:tabs>
          <w:tab w:leader="none" w:pos="668" w:val="left"/>
        </w:tabs>
        <w:numPr>
          <w:ilvl w:val="0"/>
          <w:numId w:val="794"/>
        </w:numPr>
        <w:rPr>
          <w:rFonts w:ascii="Arial" w:cs="Arial" w:eastAsia="Arial" w:hAnsi="Arial"/>
          <w:sz w:val="16"/>
          <w:szCs w:val="16"/>
          <w:color w:val="auto"/>
        </w:rPr>
      </w:pPr>
      <w:r>
        <w:rPr>
          <w:rFonts w:ascii="Arial" w:cs="Arial" w:eastAsia="Arial" w:hAnsi="Arial"/>
          <w:sz w:val="16"/>
          <w:szCs w:val="16"/>
          <w:i w:val="1"/>
          <w:iCs w:val="1"/>
          <w:color w:val="auto"/>
        </w:rPr>
        <w:t>Records and Audits</w:t>
      </w:r>
      <w:r>
        <w:rPr>
          <w:rFonts w:ascii="Arial" w:cs="Arial" w:eastAsia="Arial" w:hAnsi="Arial"/>
          <w:sz w:val="16"/>
          <w:szCs w:val="16"/>
          <w:color w:val="auto"/>
        </w:rPr>
        <w:t>. Licensee will keep, and will cause each of its Affiliates and Sublicensees to keep (as applicable), adequate books</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records of accounting for the purpose of calculating all amounts due to Aerpio hereunder. For [***] next following the end of the calendar year to which each will pertain, such books and records of accounting (including those of Licensee’s Affiliates and Sublicensees, as applicable) will be made available for inspection at reasonable times and upon reasonable notice by an independent certified accountant selected by Aerpio, and which is reasonably acceptable to Licensee, for the sole purpose of inspecting the amounts due to Aerpio under this Agreement. In no event will such inspections be conducted hereunder more frequently than once every [***] or cover more than [***] prior to the date of request for inspection. Such accountant must have executed and delivered to Licensee and its Affiliates and Sublicensees, as applicable, a confidentiality agreement as reasonably requested by Licensee, which will include provisions limiting such accountant’s disclosure to Aerpio to only whether the royalty reports are correct or incorrect and the amount of any discrepancy. The results of such inspection, if any, will be binding on both Parties if not disputed within [***] following receipt by the Parties of the inspection report. Any such dispute over an inspection report shall be subject to the dispute resolution procedure of Section 11.8, and no payment shall be required until the dispute is resolved. If it is determined that Licensee underpaid, Licensee shall pay to Aerpio such amount it was determined to have underpaid plus interest as provided in Section 6.5(g) within [***] of such determination. If it is determined that Licensee overpaid, Aerpio shall pay to Licensee such amount it was determined to have been overpaid within [***] days following such determination. Any undisputed underpayments will be paid by Licensee within [***] days of notification of the results of such inspection. Any undisputed overpayments will be fully creditable against amounts payable in subsequent payment periods. Aerpio will pay for such inspections, except that in the event there is any upward adjustment in amounts payable for any calendar year shown by such inspection of more than the greater of (i) [***] Dollars ($[***]) and (ii) [***] percent ([***]%) of the amount paid, Licensee will reimburse Aerpio for any reasonable out-of-pocket costs of such accountant. Any underpayments or overpayments under this Section 6.5(c) will be subject to the currency exchange provisions set forth in Section 6.5(d) as applied to the calendar quarter during which the payment obligations giving rise to such underpayment or overpayment were incurred by Licensee.</w:t>
      </w:r>
    </w:p>
    <w:p>
      <w:pPr>
        <w:spacing w:after="0" w:line="60" w:lineRule="exact"/>
        <w:rPr>
          <w:rFonts w:ascii="Arial" w:cs="Arial" w:eastAsia="Arial" w:hAnsi="Arial"/>
          <w:sz w:val="16"/>
          <w:szCs w:val="16"/>
          <w:color w:val="auto"/>
        </w:rPr>
      </w:pPr>
    </w:p>
    <w:p>
      <w:pPr>
        <w:ind w:right="60" w:firstLine="428"/>
        <w:spacing w:after="0" w:line="257" w:lineRule="auto"/>
        <w:tabs>
          <w:tab w:leader="none" w:pos="678" w:val="left"/>
        </w:tabs>
        <w:numPr>
          <w:ilvl w:val="0"/>
          <w:numId w:val="794"/>
        </w:numPr>
        <w:rPr>
          <w:rFonts w:ascii="Arial" w:cs="Arial" w:eastAsia="Arial" w:hAnsi="Arial"/>
          <w:sz w:val="18"/>
          <w:szCs w:val="18"/>
          <w:color w:val="auto"/>
        </w:rPr>
      </w:pPr>
      <w:r>
        <w:rPr>
          <w:rFonts w:ascii="Arial" w:cs="Arial" w:eastAsia="Arial" w:hAnsi="Arial"/>
          <w:sz w:val="18"/>
          <w:szCs w:val="18"/>
          <w:i w:val="1"/>
          <w:iCs w:val="1"/>
          <w:color w:val="auto"/>
        </w:rPr>
        <w:t>Currency Exchange</w:t>
      </w:r>
      <w:r>
        <w:rPr>
          <w:rFonts w:ascii="Arial" w:cs="Arial" w:eastAsia="Arial" w:hAnsi="Arial"/>
          <w:sz w:val="18"/>
          <w:szCs w:val="18"/>
          <w:color w:val="auto"/>
        </w:rPr>
        <w:t>. With respect to Net Sales invoiced in United States dollars, the Net Sales and the amounts due to Aerpio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expressed in United States dollars. With respect to Net Sales invoiced in a currency other than United States dollars, the Net Sales will be expressed in the domestic currency of the entity making the sale, together with the United States dollars equivalent, calculated using the official rate of exchange of such domestic currency as quoted in the Wall Street Journal, New York edition, for the last business day of the calendar quarter for which payment is made.</w:t>
      </w:r>
    </w:p>
    <w:p>
      <w:pPr>
        <w:spacing w:after="0" w:line="80" w:lineRule="exact"/>
        <w:rPr>
          <w:rFonts w:ascii="Arial" w:cs="Arial" w:eastAsia="Arial" w:hAnsi="Arial"/>
          <w:sz w:val="18"/>
          <w:szCs w:val="18"/>
          <w:color w:val="auto"/>
        </w:rPr>
      </w:pPr>
    </w:p>
    <w:p>
      <w:pPr>
        <w:ind w:firstLine="428"/>
        <w:spacing w:after="0" w:line="271" w:lineRule="auto"/>
        <w:tabs>
          <w:tab w:leader="none" w:pos="668" w:val="left"/>
        </w:tabs>
        <w:numPr>
          <w:ilvl w:val="0"/>
          <w:numId w:val="794"/>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Aerpio shall be liable for all income and other taxes (including interest) imposed upon any payments made by Licensee to Aerpio</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Section 6 or otherwise pursuant to this Agreement. Licensee may withhold from payments due to Aerpio amounts for payment of any withholding tax that is required by Law to be paid to any taxing authority with respect to such payments. Licensee will provide Aerpio all relevant documents and correspondence, and will also provide to Aerpio any other cooperation or assistance on a reasonable basis as may be necessary to enable Aerpio to claim exemption from such withholding taxes and to receive a refund of such withholding tax or claim a foreign tax credit. Licensee will give proper evidence from time to time as to the payment of any such tax. The Parties will cooperate with each other in seeking deductions under any double taxation or other similar treaty or agreement from time to time in force. Such cooperation may include Licensee making payments from a single source in the U.S., where possible.</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873" w:name="page874"/>
    <w:bookmarkEnd w:id="873"/>
    <w:p>
      <w:pPr>
        <w:ind w:left="440" w:firstLine="428"/>
        <w:spacing w:after="0" w:line="257" w:lineRule="auto"/>
        <w:tabs>
          <w:tab w:leader="none" w:pos="1088" w:val="left"/>
        </w:tabs>
        <w:numPr>
          <w:ilvl w:val="0"/>
          <w:numId w:val="7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Blocked Payments</w:t>
      </w:r>
      <w:r>
        <w:rPr>
          <w:rFonts w:ascii="Arial" w:cs="Arial" w:eastAsia="Arial" w:hAnsi="Arial"/>
          <w:sz w:val="18"/>
          <w:szCs w:val="18"/>
          <w:color w:val="auto"/>
        </w:rPr>
        <w:t>. In the event that, by reason of applicable Law in any country, it becomes impossible or illegal for Licensee to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or have transferred on its behalf, payments owed Aerpio hereunder, Licensee will promptly notify Aerpio of the conditions preventing such transfer and such payments will be deposited in local currency in the relevant country to the credit of Aerpio in a recognized banking institution designated by Aerpio or, if none is designated by Aerpio within a period of thirty (30) days, in a recognized banking institution selected by Licensee, as the case may be, and identified in a written notice given to Aerpio.</w:t>
      </w:r>
    </w:p>
    <w:p>
      <w:pPr>
        <w:spacing w:after="0" w:line="80" w:lineRule="exact"/>
        <w:rPr>
          <w:rFonts w:ascii="Arial" w:cs="Arial" w:eastAsia="Arial" w:hAnsi="Arial"/>
          <w:sz w:val="18"/>
          <w:szCs w:val="18"/>
          <w:color w:val="auto"/>
        </w:rPr>
      </w:pPr>
    </w:p>
    <w:p>
      <w:pPr>
        <w:ind w:left="440" w:right="60" w:firstLine="428"/>
        <w:spacing w:after="0" w:line="264" w:lineRule="auto"/>
        <w:tabs>
          <w:tab w:leader="none" w:pos="1118" w:val="left"/>
        </w:tabs>
        <w:numPr>
          <w:ilvl w:val="0"/>
          <w:numId w:val="795"/>
        </w:numPr>
        <w:rPr>
          <w:rFonts w:ascii="Arial" w:cs="Arial" w:eastAsia="Arial" w:hAnsi="Arial"/>
          <w:sz w:val="18"/>
          <w:szCs w:val="18"/>
          <w:color w:val="auto"/>
        </w:rPr>
      </w:pPr>
      <w:r>
        <w:rPr>
          <w:rFonts w:ascii="Arial" w:cs="Arial" w:eastAsia="Arial" w:hAnsi="Arial"/>
          <w:sz w:val="18"/>
          <w:szCs w:val="18"/>
          <w:i w:val="1"/>
          <w:iCs w:val="1"/>
          <w:color w:val="auto"/>
        </w:rPr>
        <w:t>Interest Due</w:t>
      </w:r>
      <w:r>
        <w:rPr>
          <w:rFonts w:ascii="Arial" w:cs="Arial" w:eastAsia="Arial" w:hAnsi="Arial"/>
          <w:sz w:val="18"/>
          <w:szCs w:val="18"/>
          <w:color w:val="auto"/>
        </w:rPr>
        <w:t>. Licensee will pay Aerpio interest on any payments that are not paid on or before the date such payments are due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 a rate of [***] percent ([***]%) per month or the maximum applicable legal rate, if less, calculated on the total number of days payment is delinquent.</w:t>
      </w:r>
    </w:p>
    <w:p>
      <w:pPr>
        <w:spacing w:after="0" w:line="73"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Mutual Convenience</w:t>
      </w:r>
      <w:r>
        <w:rPr>
          <w:rFonts w:ascii="Arial" w:cs="Arial" w:eastAsia="Arial" w:hAnsi="Arial"/>
          <w:sz w:val="18"/>
          <w:szCs w:val="18"/>
          <w:color w:val="auto"/>
        </w:rPr>
        <w:t>. The royalty and other payment obligations set forth hereunder have been agreed to by the Parties for the purpose of reflecting and advancing their mutual convenience, including the ease of calculating and paying royalties and other amounts to Aerpio. Licensee hereby stipulates to the fairness and reasonableness of such royalty and other payments obligations and covenants not to allege or assert (and to require its Affiliates not to allege or assert) that any such royalty or other payments obligations are unenforceable or illegal in any way, and to include such covenant in any sublicense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Patent Prosecution, Infringement and Extensions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69" w:lineRule="auto"/>
        <w:tabs>
          <w:tab w:leader="none" w:pos="1108" w:val="left"/>
        </w:tabs>
        <w:numPr>
          <w:ilvl w:val="1"/>
          <w:numId w:val="796"/>
        </w:numPr>
        <w:rPr>
          <w:rFonts w:ascii="Arial" w:cs="Arial" w:eastAsia="Arial" w:hAnsi="Arial"/>
          <w:sz w:val="17"/>
          <w:szCs w:val="17"/>
          <w:color w:val="auto"/>
        </w:rPr>
      </w:pPr>
      <w:r>
        <w:rPr>
          <w:rFonts w:ascii="Arial" w:cs="Arial" w:eastAsia="Arial" w:hAnsi="Arial"/>
          <w:sz w:val="17"/>
          <w:szCs w:val="17"/>
          <w:i w:val="1"/>
          <w:iCs w:val="1"/>
          <w:color w:val="auto"/>
        </w:rPr>
        <w:t>By the Parties Jointly</w:t>
      </w:r>
      <w:r>
        <w:rPr>
          <w:rFonts w:ascii="Arial" w:cs="Arial" w:eastAsia="Arial" w:hAnsi="Arial"/>
          <w:sz w:val="17"/>
          <w:szCs w:val="17"/>
          <w:color w:val="auto"/>
        </w:rPr>
        <w:t>. Promptly after the Effective Date, Aerpio will provide Licensee with copies of the prosecution files for all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patent applications listed on Exhibit A. The Parties will cooperate in the Prosecution of the Aerpio Core Patent Rights, and Licensee will have final decision making authority for those Prosecution activities. Licensee will act as the lead party and the party of record with each applicable Governmental Authority, and Licensee will select counsel reasonably acceptable to Aerpio (such acceptance not to be unreasonably withheld) in the Territory for those Prosecution activities (which counsel, for clarity, will represent Licensee but not the Parties jointly). Each Party will provide to the other Party copies of any papers relating to the Prosecution of Aerpio Core Patent Rights promptly upon receipt, or reasonably in advance of their filing, for the other Party to review and comment thereon, and Licensee will consider any Aerpio’s comments in good faith. Licensee and its counsel will prepare the first draft of all papers for submission. Each Party (and its counsel) will have the right to review, and all reasonable comments will be accepted on, those papers. Licensee will be solely responsible for all costs and expenses incurred in connection with those Prosecution activities. Aerpio will be responsible for any costs and expenses incurred by or on behalf of Aerpio. In Prosecuting the Aerpio Core Patent Rights, the Parties will endeavor to the extent practicable to maximize the patent term and patent protection for the Licensed Compound and Licensed Products.</w:t>
      </w:r>
    </w:p>
    <w:p>
      <w:pPr>
        <w:spacing w:after="0" w:line="71" w:lineRule="exact"/>
        <w:rPr>
          <w:rFonts w:ascii="Arial" w:cs="Arial" w:eastAsia="Arial" w:hAnsi="Arial"/>
          <w:sz w:val="17"/>
          <w:szCs w:val="17"/>
          <w:color w:val="auto"/>
        </w:rPr>
      </w:pPr>
    </w:p>
    <w:p>
      <w:pPr>
        <w:ind w:left="440" w:right="60" w:firstLine="428"/>
        <w:spacing w:after="0" w:line="273" w:lineRule="auto"/>
        <w:tabs>
          <w:tab w:leader="none" w:pos="1118" w:val="left"/>
        </w:tabs>
        <w:numPr>
          <w:ilvl w:val="1"/>
          <w:numId w:val="796"/>
        </w:numPr>
        <w:rPr>
          <w:rFonts w:ascii="Arial" w:cs="Arial" w:eastAsia="Arial" w:hAnsi="Arial"/>
          <w:sz w:val="17"/>
          <w:szCs w:val="17"/>
          <w:color w:val="auto"/>
        </w:rPr>
      </w:pPr>
      <w:r>
        <w:rPr>
          <w:rFonts w:ascii="Arial" w:cs="Arial" w:eastAsia="Arial" w:hAnsi="Arial"/>
          <w:sz w:val="17"/>
          <w:szCs w:val="17"/>
          <w:i w:val="1"/>
          <w:iCs w:val="1"/>
          <w:color w:val="auto"/>
        </w:rPr>
        <w:t>By Aerpio</w:t>
      </w:r>
      <w:r>
        <w:rPr>
          <w:rFonts w:ascii="Arial" w:cs="Arial" w:eastAsia="Arial" w:hAnsi="Arial"/>
          <w:sz w:val="17"/>
          <w:szCs w:val="17"/>
          <w:color w:val="auto"/>
        </w:rPr>
        <w:t>. In no event will any of the Aerpio Core Patent Rights fail to be filed or be permitted to lapse or be abandoned in any country,</w:t>
      </w:r>
      <w:r>
        <w:rPr>
          <w:rFonts w:ascii="Arial" w:cs="Arial" w:eastAsia="Arial" w:hAnsi="Arial"/>
          <w:sz w:val="17"/>
          <w:szCs w:val="17"/>
          <w:i w:val="1"/>
          <w:iCs w:val="1"/>
          <w:color w:val="auto"/>
        </w:rPr>
        <w:t xml:space="preserve"> </w:t>
      </w:r>
      <w:r>
        <w:rPr>
          <w:rFonts w:ascii="Arial" w:cs="Arial" w:eastAsia="Arial" w:hAnsi="Arial"/>
          <w:sz w:val="17"/>
          <w:szCs w:val="17"/>
          <w:color w:val="auto"/>
        </w:rPr>
        <w:t>or no new patent application be filed claiming priority to a patent application with the Aerpio Core Patent Rights before such patent application’s issuance, or extended, without Aerpio first being given an opportunity to assume full responsibility for the continued Prosecution of such Aerpio Core Patent Rights, unless such failure to file, lapse, abandonment or filing is jointly agreed upon by the Parties. In the event that the Parties acting jointly cannot agree on whether or not to file or continue the Prosecution of or extend a patent application or patent within the Aerpio Core Patent Rights in any country at least [***] prior to any filing deadline or</w:t>
      </w:r>
    </w:p>
    <w:p>
      <w:pPr>
        <w:spacing w:after="0" w:line="273" w:lineRule="exact"/>
        <w:rPr>
          <w:rFonts w:ascii="Arial" w:cs="Arial" w:eastAsia="Arial" w:hAnsi="Arial"/>
          <w:sz w:val="17"/>
          <w:szCs w:val="17"/>
          <w:color w:val="auto"/>
        </w:rPr>
      </w:pPr>
    </w:p>
    <w:p>
      <w:pPr>
        <w:ind w:left="440" w:right="440" w:hanging="436"/>
        <w:spacing w:after="0" w:line="277" w:lineRule="auto"/>
        <w:tabs>
          <w:tab w:leader="none" w:pos="440" w:val="left"/>
        </w:tabs>
        <w:numPr>
          <w:ilvl w:val="0"/>
          <w:numId w:val="79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74" w:name="page875"/>
    <w:bookmarkEnd w:id="874"/>
    <w:p>
      <w:pPr>
        <w:ind w:left="400"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pending lapse or abandonment thereof, Aerpio will have the right, but not the obligation, to assume sole responsibility for the Prosecution of such patent rights, with counsel of Aerpio’s own choice, by delivery by Aerpio of written notice to Licensee of its election to assume such sole responsibility. Upon Aerpio’s delivery of the foregoing written notice, any such patent applications and patents will no longer be considered “Aerpio Patent Right” hereunder and will be excluded from the license granted to Licensee under Section 5.1. Aerpio will assume sole responsibility for all costs and expenses arising from the Prosecution activities of such patent applications and patents.</w:t>
      </w:r>
    </w:p>
    <w:p>
      <w:pPr>
        <w:spacing w:after="0" w:line="64" w:lineRule="exact"/>
        <w:rPr>
          <w:sz w:val="20"/>
          <w:szCs w:val="20"/>
          <w:color w:val="auto"/>
        </w:rPr>
      </w:pPr>
    </w:p>
    <w:p>
      <w:pPr>
        <w:ind w:left="1080" w:hanging="252"/>
        <w:spacing w:after="0"/>
        <w:tabs>
          <w:tab w:leader="none" w:pos="1080" w:val="left"/>
        </w:tabs>
        <w:numPr>
          <w:ilvl w:val="0"/>
          <w:numId w:val="797"/>
        </w:numPr>
        <w:rPr>
          <w:rFonts w:ascii="Arial" w:cs="Arial" w:eastAsia="Arial" w:hAnsi="Arial"/>
          <w:sz w:val="18"/>
          <w:szCs w:val="18"/>
          <w:color w:val="auto"/>
        </w:rPr>
      </w:pPr>
      <w:r>
        <w:rPr>
          <w:rFonts w:ascii="Arial" w:cs="Arial" w:eastAsia="Arial" w:hAnsi="Arial"/>
          <w:sz w:val="18"/>
          <w:szCs w:val="18"/>
          <w:i w:val="1"/>
          <w:iCs w:val="1"/>
          <w:color w:val="auto"/>
        </w:rPr>
        <w:t>Patent Extensions; Orange Book Listings; Patent Certifications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1436"/>
        <w:spacing w:after="0" w:line="257" w:lineRule="auto"/>
        <w:tabs>
          <w:tab w:leader="none" w:pos="1607" w:val="left"/>
        </w:tabs>
        <w:numPr>
          <w:ilvl w:val="1"/>
          <w:numId w:val="797"/>
        </w:numPr>
        <w:rPr>
          <w:rFonts w:ascii="Arial" w:cs="Arial" w:eastAsia="Arial" w:hAnsi="Arial"/>
          <w:sz w:val="18"/>
          <w:szCs w:val="18"/>
          <w:color w:val="auto"/>
        </w:rPr>
      </w:pPr>
      <w:r>
        <w:rPr>
          <w:rFonts w:ascii="Arial" w:cs="Arial" w:eastAsia="Arial" w:hAnsi="Arial"/>
          <w:sz w:val="18"/>
          <w:szCs w:val="18"/>
          <w:i w:val="1"/>
          <w:iCs w:val="1"/>
          <w:color w:val="auto"/>
        </w:rPr>
        <w:t>Patent Term Extension</w:t>
      </w:r>
      <w:r>
        <w:rPr>
          <w:rFonts w:ascii="Arial" w:cs="Arial" w:eastAsia="Arial" w:hAnsi="Arial"/>
          <w:sz w:val="18"/>
          <w:szCs w:val="18"/>
          <w:color w:val="auto"/>
        </w:rPr>
        <w:t>. If elections with respect to obtaining patent term extension or supplemental protection certificates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in any country with respect to any Licensed Product becomes available, upon Regulatory Approval or otherwise, the Parties will discuss in good faith which issued patent to extend, and Licensee will have final decision making authority for which issued patent to extend, provided that the only patent rights owned or in-licensed by Aerpio or any of its Affiliates that may be extended by Licensee by operation of this Agreement are those Aerpio Core Patent Rights that Cover the applicable Licensed Product.</w:t>
      </w:r>
    </w:p>
    <w:p>
      <w:pPr>
        <w:spacing w:after="0" w:line="80" w:lineRule="exact"/>
        <w:rPr>
          <w:rFonts w:ascii="Arial" w:cs="Arial" w:eastAsia="Arial" w:hAnsi="Arial"/>
          <w:sz w:val="18"/>
          <w:szCs w:val="18"/>
          <w:color w:val="auto"/>
        </w:rPr>
      </w:pPr>
    </w:p>
    <w:p>
      <w:pPr>
        <w:ind w:left="-40" w:firstLine="1436"/>
        <w:spacing w:after="0" w:line="255" w:lineRule="auto"/>
        <w:tabs>
          <w:tab w:leader="none" w:pos="1658" w:val="left"/>
        </w:tabs>
        <w:numPr>
          <w:ilvl w:val="1"/>
          <w:numId w:val="797"/>
        </w:numPr>
        <w:rPr>
          <w:rFonts w:ascii="Arial" w:cs="Arial" w:eastAsia="Arial" w:hAnsi="Arial"/>
          <w:sz w:val="18"/>
          <w:szCs w:val="18"/>
          <w:color w:val="auto"/>
        </w:rPr>
      </w:pPr>
      <w:r>
        <w:rPr>
          <w:rFonts w:ascii="Arial" w:cs="Arial" w:eastAsia="Arial" w:hAnsi="Arial"/>
          <w:sz w:val="18"/>
          <w:szCs w:val="18"/>
          <w:i w:val="1"/>
          <w:iCs w:val="1"/>
          <w:color w:val="auto"/>
        </w:rPr>
        <w:t>Data Exclusivity and Orange Book Listings</w:t>
      </w:r>
      <w:r>
        <w:rPr>
          <w:rFonts w:ascii="Arial" w:cs="Arial" w:eastAsia="Arial" w:hAnsi="Arial"/>
          <w:sz w:val="18"/>
          <w:szCs w:val="18"/>
          <w:color w:val="auto"/>
        </w:rPr>
        <w:t>. With respect to data exclusivity periods (such as those periods listed in the Orange</w:t>
      </w:r>
      <w:r>
        <w:rPr>
          <w:rFonts w:ascii="Arial" w:cs="Arial" w:eastAsia="Arial" w:hAnsi="Arial"/>
          <w:sz w:val="18"/>
          <w:szCs w:val="18"/>
          <w:i w:val="1"/>
          <w:iCs w:val="1"/>
          <w:color w:val="auto"/>
        </w:rPr>
        <w:t xml:space="preserve"> </w:t>
      </w:r>
      <w:r>
        <w:rPr>
          <w:rFonts w:ascii="Arial" w:cs="Arial" w:eastAsia="Arial" w:hAnsi="Arial"/>
          <w:sz w:val="18"/>
          <w:szCs w:val="18"/>
          <w:color w:val="auto"/>
        </w:rPr>
        <w:t>Book (including any available pediatric extensions) or periods under national implementations of Article 10.1(a)(iii) of Directive 2001/EC/83, and all equivalents in any country), Licensee, in consultation with Aerpio, will seek and maintain all such data exclusivity periods that may be available for any of the Licensed Products. The Parties will discuss in good faith which Aerpio Patent Rights, if any, will be listed in the Orange Book or any similar patent listing in any country with respect to the Licensed Products, and Licensee will have final decision making authority for which patents will be listed.</w:t>
      </w:r>
    </w:p>
    <w:p>
      <w:pPr>
        <w:spacing w:after="0" w:line="85" w:lineRule="exact"/>
        <w:rPr>
          <w:rFonts w:ascii="Arial" w:cs="Arial" w:eastAsia="Arial" w:hAnsi="Arial"/>
          <w:sz w:val="18"/>
          <w:szCs w:val="18"/>
          <w:color w:val="auto"/>
        </w:rPr>
      </w:pPr>
    </w:p>
    <w:p>
      <w:pPr>
        <w:ind w:left="-40" w:right="40" w:firstLine="1436"/>
        <w:spacing w:after="0" w:line="257" w:lineRule="auto"/>
        <w:tabs>
          <w:tab w:leader="none" w:pos="1708" w:val="left"/>
        </w:tabs>
        <w:numPr>
          <w:ilvl w:val="1"/>
          <w:numId w:val="797"/>
        </w:numPr>
        <w:rPr>
          <w:rFonts w:ascii="Arial" w:cs="Arial" w:eastAsia="Arial" w:hAnsi="Arial"/>
          <w:sz w:val="18"/>
          <w:szCs w:val="18"/>
          <w:color w:val="auto"/>
        </w:rPr>
      </w:pPr>
      <w:r>
        <w:rPr>
          <w:rFonts w:ascii="Arial" w:cs="Arial" w:eastAsia="Arial" w:hAnsi="Arial"/>
          <w:sz w:val="18"/>
          <w:szCs w:val="18"/>
          <w:i w:val="1"/>
          <w:iCs w:val="1"/>
          <w:color w:val="auto"/>
        </w:rPr>
        <w:t>Notification of Patent Certification</w:t>
      </w:r>
      <w:r>
        <w:rPr>
          <w:rFonts w:ascii="Arial" w:cs="Arial" w:eastAsia="Arial" w:hAnsi="Arial"/>
          <w:sz w:val="18"/>
          <w:szCs w:val="18"/>
          <w:color w:val="auto"/>
        </w:rPr>
        <w:t>. Each Party will notify and provide the other Party with copies of any allegations of alleged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invalidity, unenforceability or non-infringement of an Aerpio Patent Right pursuant to a Paragraph IV Patent Certification by a Third Party filing an Abbreviated New Drug Application, an application under §505(b)(2) of the FD&amp;C Act, or any other similar patent certification by a Third Party, and any foreign equivalent thereof. Such notification and copies will be provided within five (5) business days after a Party receives such certification, and will be sent to the other Party’ address set forth in Section 11.7.</w:t>
      </w:r>
    </w:p>
    <w:p>
      <w:pPr>
        <w:spacing w:after="0" w:line="80" w:lineRule="exact"/>
        <w:rPr>
          <w:rFonts w:ascii="Arial" w:cs="Arial" w:eastAsia="Arial" w:hAnsi="Arial"/>
          <w:sz w:val="18"/>
          <w:szCs w:val="18"/>
          <w:color w:val="auto"/>
        </w:rPr>
      </w:pPr>
    </w:p>
    <w:p>
      <w:pPr>
        <w:ind w:left="400" w:right="340" w:firstLine="428"/>
        <w:spacing w:after="0" w:line="279" w:lineRule="auto"/>
        <w:tabs>
          <w:tab w:leader="none" w:pos="1078" w:val="left"/>
        </w:tabs>
        <w:numPr>
          <w:ilvl w:val="0"/>
          <w:numId w:val="797"/>
        </w:numPr>
        <w:rPr>
          <w:rFonts w:ascii="Arial" w:cs="Arial" w:eastAsia="Arial" w:hAnsi="Arial"/>
          <w:sz w:val="17"/>
          <w:szCs w:val="17"/>
          <w:color w:val="auto"/>
        </w:rPr>
      </w:pPr>
      <w:r>
        <w:rPr>
          <w:rFonts w:ascii="Arial" w:cs="Arial" w:eastAsia="Arial" w:hAnsi="Arial"/>
          <w:sz w:val="17"/>
          <w:szCs w:val="17"/>
          <w:i w:val="1"/>
          <w:iCs w:val="1"/>
          <w:color w:val="auto"/>
        </w:rPr>
        <w:t>Cooperation</w:t>
      </w:r>
      <w:r>
        <w:rPr>
          <w:rFonts w:ascii="Arial" w:cs="Arial" w:eastAsia="Arial" w:hAnsi="Arial"/>
          <w:sz w:val="17"/>
          <w:szCs w:val="17"/>
          <w:color w:val="auto"/>
        </w:rPr>
        <w:t>. Each Party will reasonably cooperate with the other Party in the Prosecution of the Aerpio Core Patent Rights. Such</w:t>
      </w:r>
      <w:r>
        <w:rPr>
          <w:rFonts w:ascii="Arial" w:cs="Arial" w:eastAsia="Arial" w:hAnsi="Arial"/>
          <w:sz w:val="17"/>
          <w:szCs w:val="17"/>
          <w:i w:val="1"/>
          <w:iCs w:val="1"/>
          <w:color w:val="auto"/>
        </w:rPr>
        <w:t xml:space="preserve"> </w:t>
      </w:r>
      <w:r>
        <w:rPr>
          <w:rFonts w:ascii="Arial" w:cs="Arial" w:eastAsia="Arial" w:hAnsi="Arial"/>
          <w:sz w:val="17"/>
          <w:szCs w:val="17"/>
          <w:color w:val="auto"/>
        </w:rPr>
        <w:t>cooperation includes promptly executing all documents, or requiring inventors, subcontractors, employees and consultants and agents of such Party and its Affiliates, and for Licensee, Sublicensees, to execute all documents, including declarations and assignments, as reasonable and appropriate so as to enable the Prosecution of any such Aerpio Core Patent Rights in any country.</w:t>
      </w:r>
    </w:p>
    <w:p>
      <w:pPr>
        <w:spacing w:after="0" w:line="63" w:lineRule="exact"/>
        <w:rPr>
          <w:rFonts w:ascii="Arial" w:cs="Arial" w:eastAsia="Arial" w:hAnsi="Arial"/>
          <w:sz w:val="17"/>
          <w:szCs w:val="17"/>
          <w:color w:val="auto"/>
        </w:rPr>
      </w:pPr>
    </w:p>
    <w:p>
      <w:pPr>
        <w:ind w:left="400" w:right="60" w:firstLine="428"/>
        <w:spacing w:after="0" w:line="276" w:lineRule="auto"/>
        <w:tabs>
          <w:tab w:leader="none" w:pos="1068" w:val="left"/>
        </w:tabs>
        <w:numPr>
          <w:ilvl w:val="0"/>
          <w:numId w:val="797"/>
        </w:numPr>
        <w:rPr>
          <w:rFonts w:ascii="Arial" w:cs="Arial" w:eastAsia="Arial" w:hAnsi="Arial"/>
          <w:sz w:val="17"/>
          <w:szCs w:val="17"/>
          <w:color w:val="auto"/>
        </w:rPr>
      </w:pPr>
      <w:r>
        <w:rPr>
          <w:rFonts w:ascii="Arial" w:cs="Arial" w:eastAsia="Arial" w:hAnsi="Arial"/>
          <w:sz w:val="17"/>
          <w:szCs w:val="17"/>
          <w:i w:val="1"/>
          <w:iCs w:val="1"/>
          <w:color w:val="auto"/>
        </w:rPr>
        <w:t>CREATE Act</w:t>
      </w:r>
      <w:r>
        <w:rPr>
          <w:rFonts w:ascii="Arial" w:cs="Arial" w:eastAsia="Arial" w:hAnsi="Arial"/>
          <w:sz w:val="17"/>
          <w:szCs w:val="17"/>
          <w:color w:val="auto"/>
        </w:rPr>
        <w:t>. Notwithstanding anything to the contrary in this Agreement, each Party will have the right to invoke the Cooperative</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Technology Enhancement Act of 2004, 35 U.S.C. § 103(c)(2)-(c)(3) (the “</w:t>
      </w:r>
      <w:r>
        <w:rPr>
          <w:rFonts w:ascii="Arial" w:cs="Arial" w:eastAsia="Arial" w:hAnsi="Arial"/>
          <w:sz w:val="17"/>
          <w:szCs w:val="17"/>
          <w:u w:val="single" w:color="auto"/>
          <w:color w:val="auto"/>
        </w:rPr>
        <w:t>CREATE Act</w:t>
      </w:r>
      <w:r>
        <w:rPr>
          <w:rFonts w:ascii="Arial" w:cs="Arial" w:eastAsia="Arial" w:hAnsi="Arial"/>
          <w:sz w:val="17"/>
          <w:szCs w:val="17"/>
          <w:color w:val="auto"/>
        </w:rPr>
        <w:t>”) when exercising its rights under this Agreement, but only with the prior written consent of the other Party. In the event that a Party intends to invoke the CREATE Act, once agreed to by the other Party as required by the preceding sentence, it will notify the other Party and the other Party will cooperate and coordinate its activities with such Party with respect to any filings or other activities in support thereof.</w:t>
      </w:r>
    </w:p>
    <w:p>
      <w:pPr>
        <w:spacing w:after="0" w:line="6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left="400" w:right="300" w:firstLine="428"/>
        <w:spacing w:after="0" w:line="264" w:lineRule="auto"/>
        <w:tabs>
          <w:tab w:leader="none" w:pos="1068" w:val="left"/>
        </w:tabs>
        <w:numPr>
          <w:ilvl w:val="0"/>
          <w:numId w:val="798"/>
        </w:numPr>
        <w:rPr>
          <w:rFonts w:ascii="Arial" w:cs="Arial" w:eastAsia="Arial" w:hAnsi="Arial"/>
          <w:sz w:val="18"/>
          <w:szCs w:val="18"/>
          <w:color w:val="auto"/>
        </w:rPr>
      </w:pPr>
      <w:r>
        <w:rPr>
          <w:rFonts w:ascii="Arial" w:cs="Arial" w:eastAsia="Arial" w:hAnsi="Arial"/>
          <w:sz w:val="18"/>
          <w:szCs w:val="18"/>
          <w:i w:val="1"/>
          <w:iCs w:val="1"/>
          <w:color w:val="auto"/>
        </w:rPr>
        <w:t>By Licensee</w:t>
      </w:r>
      <w:r>
        <w:rPr>
          <w:rFonts w:ascii="Arial" w:cs="Arial" w:eastAsia="Arial" w:hAnsi="Arial"/>
          <w:sz w:val="18"/>
          <w:szCs w:val="18"/>
          <w:color w:val="auto"/>
        </w:rPr>
        <w:t>. In the event that Aerpio or Licensee becomes aware of any actual or suspected Competitive Infringement of any Aerpio</w:t>
      </w:r>
      <w:r>
        <w:rPr>
          <w:rFonts w:ascii="Arial" w:cs="Arial" w:eastAsia="Arial" w:hAnsi="Arial"/>
          <w:sz w:val="18"/>
          <w:szCs w:val="18"/>
          <w:i w:val="1"/>
          <w:iCs w:val="1"/>
          <w:color w:val="auto"/>
        </w:rPr>
        <w:t xml:space="preserve"> </w:t>
      </w:r>
      <w:r>
        <w:rPr>
          <w:rFonts w:ascii="Arial" w:cs="Arial" w:eastAsia="Arial" w:hAnsi="Arial"/>
          <w:sz w:val="18"/>
          <w:szCs w:val="18"/>
          <w:color w:val="auto"/>
        </w:rPr>
        <w:t>Core Patent Right within the scope of the license grant in Section 5.1, such Party will notify the other Party promptly, and following such notification,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4" w:right="479" w:bottom="1440" w:gutter="0" w:footer="0" w:header="0"/>
        </w:sectPr>
      </w:pPr>
    </w:p>
    <w:bookmarkStart w:id="875" w:name="page876"/>
    <w:bookmarkEnd w:id="875"/>
    <w:p>
      <w:pPr>
        <w:ind w:left="440"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will confer. Licensee will have the initial right, but will not be obligated, to bring an infringement action with respect to such Competitive Infringement at its own expense, in its own name and under its own direction and control, or settle any such action or proceeding. Aerpio will reasonably assist Licensee in any action or proceeding being prosecuted if so requested, and will be named in or join such action or proceeding if requested by Licensee, and if so requested by Licensee, Licensee will bear all of Aerpio’s related legal costs and expenses. If Aerpio otherwise elects to be represented by its own legal counsel, Aerpio will bear all of Aerpio’s related legal costs and expenses.</w:t>
      </w:r>
    </w:p>
    <w:p>
      <w:pPr>
        <w:spacing w:after="0" w:line="50" w:lineRule="exact"/>
        <w:rPr>
          <w:sz w:val="20"/>
          <w:szCs w:val="20"/>
          <w:color w:val="auto"/>
        </w:rPr>
      </w:pPr>
    </w:p>
    <w:p>
      <w:pPr>
        <w:ind w:left="440" w:right="60" w:firstLine="428"/>
        <w:spacing w:after="0" w:line="270" w:lineRule="auto"/>
        <w:tabs>
          <w:tab w:leader="none" w:pos="1118" w:val="left"/>
        </w:tabs>
        <w:numPr>
          <w:ilvl w:val="1"/>
          <w:numId w:val="799"/>
        </w:numPr>
        <w:rPr>
          <w:rFonts w:ascii="Arial" w:cs="Arial" w:eastAsia="Arial" w:hAnsi="Arial"/>
          <w:sz w:val="17"/>
          <w:szCs w:val="17"/>
          <w:color w:val="auto"/>
        </w:rPr>
      </w:pPr>
      <w:r>
        <w:rPr>
          <w:rFonts w:ascii="Arial" w:cs="Arial" w:eastAsia="Arial" w:hAnsi="Arial"/>
          <w:sz w:val="17"/>
          <w:szCs w:val="17"/>
          <w:i w:val="1"/>
          <w:iCs w:val="1"/>
          <w:color w:val="auto"/>
        </w:rPr>
        <w:t>By Aerpio</w:t>
      </w:r>
      <w:r>
        <w:rPr>
          <w:rFonts w:ascii="Arial" w:cs="Arial" w:eastAsia="Arial" w:hAnsi="Arial"/>
          <w:sz w:val="17"/>
          <w:szCs w:val="17"/>
          <w:color w:val="auto"/>
        </w:rPr>
        <w:t>. If Licensee elects not to bring any action for a Competitive Infringement described in Section 7.2(a) within [***]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becoming aware of such suspected Competitive Infringement, (and in all events at least [***] before the end of the applicable Hatch-Waxman Time Period, as defined below), then Aerpio may bring such action at its own expense, in its own name and under its own direction and control, subject to the following: Licensee will reasonably assist Aerpio in any action or proceeding being defended or prosecuted if so requested, and will join such action or proceeding at its own expense if requested by Aerpio. Licensee will have the right to participate in any such action or proceeding with its own counsel at its own expense. For purposes of this Agreement, “</w:t>
      </w:r>
      <w:r>
        <w:rPr>
          <w:rFonts w:ascii="Arial" w:cs="Arial" w:eastAsia="Arial" w:hAnsi="Arial"/>
          <w:sz w:val="17"/>
          <w:szCs w:val="17"/>
          <w:u w:val="single" w:color="auto"/>
          <w:color w:val="auto"/>
        </w:rPr>
        <w:t>Hatch-Waxman Time Period</w:t>
      </w:r>
      <w:r>
        <w:rPr>
          <w:rFonts w:ascii="Arial" w:cs="Arial" w:eastAsia="Arial" w:hAnsi="Arial"/>
          <w:sz w:val="17"/>
          <w:szCs w:val="17"/>
          <w:color w:val="auto"/>
        </w:rPr>
        <w:t>” means the applicable period of time during which a patent holder or licensee has the right to file an infringement suit to maintain certain rights and privileges upon receipt of Paragraph IV Patent Certification by a Third Party filing an Abbreviated New Drug Application or an application under § 505(b)(2) of the FD&amp;C Act, or any other similar patent certification by a Third Party, or any foreign equivalent thereof.</w:t>
      </w:r>
    </w:p>
    <w:p>
      <w:pPr>
        <w:spacing w:after="0" w:line="73" w:lineRule="exact"/>
        <w:rPr>
          <w:rFonts w:ascii="Arial" w:cs="Arial" w:eastAsia="Arial" w:hAnsi="Arial"/>
          <w:sz w:val="17"/>
          <w:szCs w:val="17"/>
          <w:color w:val="auto"/>
        </w:rPr>
      </w:pPr>
    </w:p>
    <w:p>
      <w:pPr>
        <w:ind w:left="440" w:right="240" w:firstLine="428"/>
        <w:spacing w:after="0" w:line="264" w:lineRule="auto"/>
        <w:tabs>
          <w:tab w:leader="none" w:pos="1108" w:val="left"/>
        </w:tabs>
        <w:numPr>
          <w:ilvl w:val="1"/>
          <w:numId w:val="799"/>
        </w:numPr>
        <w:rPr>
          <w:rFonts w:ascii="Arial" w:cs="Arial" w:eastAsia="Arial" w:hAnsi="Arial"/>
          <w:sz w:val="18"/>
          <w:szCs w:val="18"/>
          <w:color w:val="auto"/>
        </w:rPr>
      </w:pPr>
      <w:r>
        <w:rPr>
          <w:rFonts w:ascii="Arial" w:cs="Arial" w:eastAsia="Arial" w:hAnsi="Arial"/>
          <w:sz w:val="18"/>
          <w:szCs w:val="18"/>
          <w:i w:val="1"/>
          <w:iCs w:val="1"/>
          <w:color w:val="auto"/>
        </w:rPr>
        <w:t>Withdrawal</w:t>
      </w:r>
      <w:r>
        <w:rPr>
          <w:rFonts w:ascii="Arial" w:cs="Arial" w:eastAsia="Arial" w:hAnsi="Arial"/>
          <w:sz w:val="18"/>
          <w:szCs w:val="18"/>
          <w:color w:val="auto"/>
        </w:rPr>
        <w:t>. If either Party brings an action or proceeding under this Section 7.2 and subsequently ceases to pursue or withdraws from</w:t>
      </w:r>
      <w:r>
        <w:rPr>
          <w:rFonts w:ascii="Arial" w:cs="Arial" w:eastAsia="Arial" w:hAnsi="Arial"/>
          <w:sz w:val="18"/>
          <w:szCs w:val="18"/>
          <w:i w:val="1"/>
          <w:iCs w:val="1"/>
          <w:color w:val="auto"/>
        </w:rPr>
        <w:t xml:space="preserve"> </w:t>
      </w:r>
      <w:r>
        <w:rPr>
          <w:rFonts w:ascii="Arial" w:cs="Arial" w:eastAsia="Arial" w:hAnsi="Arial"/>
          <w:sz w:val="18"/>
          <w:szCs w:val="18"/>
          <w:color w:val="auto"/>
        </w:rPr>
        <w:t>such action or proceeding (other than by settlement), it will promptly notify the other Party and the other Party may substitute itself for the withdrawing Party under the terms of this Section 7.2.</w:t>
      </w:r>
    </w:p>
    <w:p>
      <w:pPr>
        <w:spacing w:after="0" w:line="73" w:lineRule="exact"/>
        <w:rPr>
          <w:rFonts w:ascii="Arial" w:cs="Arial" w:eastAsia="Arial" w:hAnsi="Arial"/>
          <w:sz w:val="18"/>
          <w:szCs w:val="18"/>
          <w:color w:val="auto"/>
        </w:rPr>
      </w:pPr>
    </w:p>
    <w:p>
      <w:pPr>
        <w:ind w:left="440" w:firstLine="428"/>
        <w:spacing w:after="0" w:line="285" w:lineRule="auto"/>
        <w:tabs>
          <w:tab w:leader="none" w:pos="1118" w:val="left"/>
        </w:tabs>
        <w:numPr>
          <w:ilvl w:val="1"/>
          <w:numId w:val="799"/>
        </w:numPr>
        <w:rPr>
          <w:rFonts w:ascii="Arial" w:cs="Arial" w:eastAsia="Arial" w:hAnsi="Arial"/>
          <w:sz w:val="16"/>
          <w:szCs w:val="16"/>
          <w:color w:val="auto"/>
        </w:rPr>
      </w:pPr>
      <w:r>
        <w:rPr>
          <w:rFonts w:ascii="Arial" w:cs="Arial" w:eastAsia="Arial" w:hAnsi="Arial"/>
          <w:sz w:val="16"/>
          <w:szCs w:val="16"/>
          <w:i w:val="1"/>
          <w:iCs w:val="1"/>
          <w:color w:val="auto"/>
        </w:rPr>
        <w:t>Damages</w:t>
      </w:r>
      <w:r>
        <w:rPr>
          <w:rFonts w:ascii="Arial" w:cs="Arial" w:eastAsia="Arial" w:hAnsi="Arial"/>
          <w:sz w:val="16"/>
          <w:szCs w:val="16"/>
          <w:color w:val="auto"/>
        </w:rPr>
        <w:t>. In the event that either Party exercises the rights conferred in this Section 7.2 and recovers any damages or other sums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or proceeding or in settlement thereof, such damages or other sums recovered will first be applied to all out-of-pocket costs and expenses incurred by the Parties in connection therewith (including attorney’s fees), unless expressly not reimbursable hereunder. If such recovery is insufficient to cover all such costs and expenses of both Parties, the controlling Party’s costs will be paid in full first before any of the other Party’s costs. If after such reimbursement any funds will remain from such damages or other sums recovered, such funds will be allocated as follows:</w:t>
      </w:r>
    </w:p>
    <w:p>
      <w:pPr>
        <w:spacing w:after="0" w:line="2" w:lineRule="exact"/>
        <w:rPr>
          <w:rFonts w:ascii="Arial" w:cs="Arial" w:eastAsia="Arial" w:hAnsi="Arial"/>
          <w:sz w:val="16"/>
          <w:szCs w:val="16"/>
          <w:color w:val="auto"/>
        </w:rPr>
      </w:pPr>
    </w:p>
    <w:p>
      <w:pPr>
        <w:ind w:left="440" w:right="160" w:firstLine="4"/>
        <w:spacing w:after="0" w:line="273" w:lineRule="auto"/>
        <w:tabs>
          <w:tab w:leader="none" w:pos="655" w:val="left"/>
        </w:tabs>
        <w:numPr>
          <w:ilvl w:val="0"/>
          <w:numId w:val="800"/>
        </w:numPr>
        <w:rPr>
          <w:rFonts w:ascii="Arial" w:cs="Arial" w:eastAsia="Arial" w:hAnsi="Arial"/>
          <w:sz w:val="17"/>
          <w:szCs w:val="17"/>
          <w:color w:val="auto"/>
        </w:rPr>
      </w:pPr>
      <w:r>
        <w:rPr>
          <w:rFonts w:ascii="Arial" w:cs="Arial" w:eastAsia="Arial" w:hAnsi="Arial"/>
          <w:sz w:val="17"/>
          <w:szCs w:val="17"/>
          <w:color w:val="auto"/>
        </w:rPr>
        <w:t>to the extent such recovery reflects lost profits damages, Licensee will retain such lost profits recovery, less the amounts that would otherwise be payable to Aerpio by treating such lost profits recovery as “Net Sales” with respect to such Licensed Product; (ii) to the extent such recovery reflects reasonable royalty damages or other payments and Licensee is the controlling Party, [***]; and (iii) to the extent such recovery reflects reasonable royalty damages or other recoveries and Aerpio is the controlling Party, [***].</w:t>
      </w:r>
    </w:p>
    <w:p>
      <w:pPr>
        <w:spacing w:after="0" w:line="68" w:lineRule="exact"/>
        <w:rPr>
          <w:rFonts w:ascii="Arial" w:cs="Arial" w:eastAsia="Arial" w:hAnsi="Arial"/>
          <w:sz w:val="17"/>
          <w:szCs w:val="17"/>
          <w:color w:val="auto"/>
        </w:rPr>
      </w:pPr>
    </w:p>
    <w:p>
      <w:pPr>
        <w:ind w:left="1120" w:hanging="252"/>
        <w:spacing w:after="0"/>
        <w:tabs>
          <w:tab w:leader="none" w:pos="1120" w:val="left"/>
        </w:tabs>
        <w:numPr>
          <w:ilvl w:val="1"/>
          <w:numId w:val="800"/>
        </w:numPr>
        <w:rPr>
          <w:rFonts w:ascii="Arial" w:cs="Arial" w:eastAsia="Arial" w:hAnsi="Arial"/>
          <w:sz w:val="18"/>
          <w:szCs w:val="18"/>
          <w:color w:val="auto"/>
        </w:rPr>
      </w:pPr>
      <w:r>
        <w:rPr>
          <w:rFonts w:ascii="Arial" w:cs="Arial" w:eastAsia="Arial" w:hAnsi="Arial"/>
          <w:sz w:val="18"/>
          <w:szCs w:val="18"/>
          <w:i w:val="1"/>
          <w:iCs w:val="1"/>
          <w:color w:val="auto"/>
        </w:rPr>
        <w:t>Settlement of Litigation</w:t>
      </w:r>
      <w:r>
        <w:rPr>
          <w:rFonts w:ascii="Arial" w:cs="Arial" w:eastAsia="Arial" w:hAnsi="Arial"/>
          <w:sz w:val="18"/>
          <w:szCs w:val="18"/>
          <w:color w:val="auto"/>
        </w:rPr>
        <w:t>. No settlement, consent judgment or other final disposition of an action for infringement or validity or</w:t>
      </w:r>
    </w:p>
    <w:p>
      <w:pPr>
        <w:spacing w:after="0" w:line="23" w:lineRule="exact"/>
        <w:rPr>
          <w:rFonts w:ascii="Arial" w:cs="Arial" w:eastAsia="Arial" w:hAnsi="Arial"/>
          <w:sz w:val="18"/>
          <w:szCs w:val="18"/>
          <w:color w:val="auto"/>
        </w:rPr>
      </w:pPr>
    </w:p>
    <w:p>
      <w:pPr>
        <w:ind w:left="440" w:right="180"/>
        <w:spacing w:after="0" w:line="261" w:lineRule="auto"/>
        <w:rPr>
          <w:rFonts w:ascii="Arial" w:cs="Arial" w:eastAsia="Arial" w:hAnsi="Arial"/>
          <w:sz w:val="18"/>
          <w:szCs w:val="18"/>
          <w:color w:val="auto"/>
        </w:rPr>
      </w:pPr>
      <w:r>
        <w:rPr>
          <w:rFonts w:ascii="Arial" w:cs="Arial" w:eastAsia="Arial" w:hAnsi="Arial"/>
          <w:sz w:val="18"/>
          <w:szCs w:val="18"/>
          <w:color w:val="auto"/>
        </w:rPr>
        <w:t>misappropriation may be entered into as to any Aerpio Core Patent Rights without the prior written consent of Licensee, which consent shall not be unreasonably withheld.</w:t>
      </w:r>
    </w:p>
    <w:p>
      <w:pPr>
        <w:spacing w:after="0" w:line="76" w:lineRule="exact"/>
        <w:rPr>
          <w:sz w:val="20"/>
          <w:szCs w:val="20"/>
          <w:color w:val="auto"/>
        </w:rPr>
      </w:pPr>
    </w:p>
    <w:p>
      <w:pPr>
        <w:ind w:right="380" w:firstLine="881"/>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Patent Marking</w:t>
      </w:r>
      <w:r>
        <w:rPr>
          <w:rFonts w:ascii="Arial" w:cs="Arial" w:eastAsia="Arial" w:hAnsi="Arial"/>
          <w:sz w:val="17"/>
          <w:szCs w:val="17"/>
          <w:color w:val="auto"/>
        </w:rPr>
        <w:t>. Licensee will mark, and will cause all of its Affiliates and Sublicensees to mark, Licensed Products with all Aerpio Patent Rights in accordance with applicable Law, which marking obligation will continue for as long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6946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21" w:lineRule="exact"/>
        <w:rPr>
          <w:sz w:val="20"/>
          <w:szCs w:val="20"/>
          <w:color w:val="auto"/>
        </w:rPr>
      </w:pPr>
    </w:p>
    <w:p>
      <w:pPr>
        <w:ind w:left="440" w:right="460" w:hanging="436"/>
        <w:spacing w:after="0" w:line="277" w:lineRule="auto"/>
        <w:tabs>
          <w:tab w:leader="none" w:pos="440" w:val="left"/>
        </w:tabs>
        <w:numPr>
          <w:ilvl w:val="0"/>
          <w:numId w:val="80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876" w:name="page877"/>
    <w:bookmarkEnd w:id="8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8"/>
          <w:szCs w:val="18"/>
          <w:u w:val="single" w:color="auto"/>
          <w:color w:val="auto"/>
        </w:rPr>
        <w:t>Confidential Information and Publicity</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57" w:lineRule="auto"/>
        <w:tabs>
          <w:tab w:leader="none" w:pos="1108" w:val="left"/>
        </w:tabs>
        <w:numPr>
          <w:ilvl w:val="0"/>
          <w:numId w:val="802"/>
        </w:numPr>
        <w:rPr>
          <w:rFonts w:ascii="Arial" w:cs="Arial" w:eastAsia="Arial" w:hAnsi="Arial"/>
          <w:sz w:val="18"/>
          <w:szCs w:val="18"/>
          <w:color w:val="auto"/>
        </w:rPr>
      </w:pP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as expressly provided herein, each of the Parties agrees that, for itself and its Affiliates, and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for a period of ten (10) years thereafter, a Party and its Affiliates (the “</w:t>
      </w:r>
      <w:r>
        <w:rPr>
          <w:rFonts w:ascii="Arial" w:cs="Arial" w:eastAsia="Arial" w:hAnsi="Arial"/>
          <w:sz w:val="18"/>
          <w:szCs w:val="18"/>
          <w:u w:val="single" w:color="auto"/>
          <w:color w:val="auto"/>
        </w:rPr>
        <w:t>Receiving Party</w:t>
      </w:r>
      <w:r>
        <w:rPr>
          <w:rFonts w:ascii="Arial" w:cs="Arial" w:eastAsia="Arial" w:hAnsi="Arial"/>
          <w:sz w:val="18"/>
          <w:szCs w:val="18"/>
          <w:color w:val="auto"/>
        </w:rPr>
        <w:t>”) receiving Confidential Information of the other Party or its Affiliates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will (i) not disclose such Confidential Information to any Third Party without the prior written consent of the Disclosing Party, except for disclosures expressly permitted below, and (ii) not use such Confidential Information for any purpose except those licensed or otherwise authorized or permitted by this Agreement.</w:t>
      </w:r>
    </w:p>
    <w:p>
      <w:pPr>
        <w:spacing w:after="0" w:line="80" w:lineRule="exact"/>
        <w:rPr>
          <w:rFonts w:ascii="Arial" w:cs="Arial" w:eastAsia="Arial" w:hAnsi="Arial"/>
          <w:sz w:val="18"/>
          <w:szCs w:val="18"/>
          <w:color w:val="auto"/>
        </w:rPr>
      </w:pPr>
    </w:p>
    <w:p>
      <w:pPr>
        <w:ind w:left="440" w:right="700" w:firstLine="428"/>
        <w:spacing w:after="0" w:line="277" w:lineRule="auto"/>
        <w:tabs>
          <w:tab w:leader="none" w:pos="1118" w:val="left"/>
        </w:tabs>
        <w:numPr>
          <w:ilvl w:val="0"/>
          <w:numId w:val="802"/>
        </w:numPr>
        <w:rPr>
          <w:rFonts w:ascii="Arial" w:cs="Arial" w:eastAsia="Arial" w:hAnsi="Arial"/>
          <w:sz w:val="18"/>
          <w:szCs w:val="18"/>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The obligations in Section 8.1(a) will not apply with respect to any portion of the Confidential Information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Party can show by competent proof:</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1"/>
          <w:numId w:val="802"/>
        </w:numPr>
        <w:rPr>
          <w:rFonts w:ascii="Arial" w:cs="Arial" w:eastAsia="Arial" w:hAnsi="Arial"/>
          <w:sz w:val="18"/>
          <w:szCs w:val="18"/>
          <w:color w:val="auto"/>
        </w:rPr>
      </w:pPr>
      <w:r>
        <w:rPr>
          <w:rFonts w:ascii="Arial" w:cs="Arial" w:eastAsia="Arial" w:hAnsi="Arial"/>
          <w:sz w:val="18"/>
          <w:szCs w:val="18"/>
          <w:color w:val="auto"/>
        </w:rPr>
        <w:t>is publicly disclosed by the Disclosing Party, either before or after it is disclosed to the Receiving Party hereunder;</w:t>
      </w:r>
    </w:p>
    <w:p>
      <w:pPr>
        <w:spacing w:after="0" w:line="117" w:lineRule="exact"/>
        <w:rPr>
          <w:rFonts w:ascii="Arial" w:cs="Arial" w:eastAsia="Arial" w:hAnsi="Arial"/>
          <w:sz w:val="18"/>
          <w:szCs w:val="18"/>
          <w:color w:val="auto"/>
        </w:rPr>
      </w:pPr>
    </w:p>
    <w:p>
      <w:pPr>
        <w:ind w:right="120" w:firstLine="1436"/>
        <w:spacing w:after="0" w:line="277" w:lineRule="auto"/>
        <w:tabs>
          <w:tab w:leader="none" w:pos="169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was known to the Receiving Party or any of its Affiliates, without any obligation to keep it confidential or any restriction on its use, prior to disclosure by the Disclosing Party;</w:t>
      </w:r>
    </w:p>
    <w:p>
      <w:pPr>
        <w:spacing w:after="0" w:line="62" w:lineRule="exact"/>
        <w:rPr>
          <w:rFonts w:ascii="Arial" w:cs="Arial" w:eastAsia="Arial" w:hAnsi="Arial"/>
          <w:sz w:val="18"/>
          <w:szCs w:val="18"/>
          <w:color w:val="auto"/>
        </w:rPr>
      </w:pPr>
    </w:p>
    <w:p>
      <w:pPr>
        <w:ind w:right="400" w:firstLine="1436"/>
        <w:spacing w:after="0" w:line="277" w:lineRule="auto"/>
        <w:tabs>
          <w:tab w:leader="none" w:pos="174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or any of its Affiliates by a Third Party lawfully in possession thereof and without any obligation to keep it confidential or any restriction on its use;</w:t>
      </w:r>
    </w:p>
    <w:p>
      <w:pPr>
        <w:spacing w:after="0" w:line="62" w:lineRule="exact"/>
        <w:rPr>
          <w:rFonts w:ascii="Arial" w:cs="Arial" w:eastAsia="Arial" w:hAnsi="Arial"/>
          <w:sz w:val="18"/>
          <w:szCs w:val="18"/>
          <w:color w:val="auto"/>
        </w:rPr>
      </w:pPr>
    </w:p>
    <w:p>
      <w:pPr>
        <w:ind w:right="320" w:firstLine="1436"/>
        <w:spacing w:after="0" w:line="277" w:lineRule="auto"/>
        <w:tabs>
          <w:tab w:leader="none" w:pos="173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is published by a Third Party or otherwise becomes publicly available or enters the public domain, either before or after it is disclosed to the Receiving Party; or</w:t>
      </w:r>
    </w:p>
    <w:p>
      <w:pPr>
        <w:spacing w:after="0" w:line="62" w:lineRule="exact"/>
        <w:rPr>
          <w:rFonts w:ascii="Arial" w:cs="Arial" w:eastAsia="Arial" w:hAnsi="Arial"/>
          <w:sz w:val="18"/>
          <w:szCs w:val="18"/>
          <w:color w:val="auto"/>
        </w:rPr>
      </w:pPr>
    </w:p>
    <w:p>
      <w:pPr>
        <w:ind w:right="280" w:firstLine="1436"/>
        <w:spacing w:after="0" w:line="277" w:lineRule="auto"/>
        <w:tabs>
          <w:tab w:leader="none" w:pos="168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has been independently developed by employees or contractors of the Receiving Party or any of its Affiliates without the aid, application or use of Confidential Information of the Disclosing Party.</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108" w:val="left"/>
        </w:tabs>
        <w:numPr>
          <w:ilvl w:val="0"/>
          <w:numId w:val="802"/>
        </w:numPr>
        <w:rPr>
          <w:rFonts w:ascii="Arial" w:cs="Arial" w:eastAsia="Arial" w:hAnsi="Arial"/>
          <w:sz w:val="18"/>
          <w:szCs w:val="18"/>
          <w:color w:val="auto"/>
        </w:rPr>
      </w:pPr>
      <w:r>
        <w:rPr>
          <w:rFonts w:ascii="Arial" w:cs="Arial" w:eastAsia="Arial" w:hAnsi="Arial"/>
          <w:sz w:val="18"/>
          <w:szCs w:val="18"/>
          <w:i w:val="1"/>
          <w:iCs w:val="1"/>
          <w:color w:val="auto"/>
        </w:rPr>
        <w:t>Authorized Disclosures</w:t>
      </w:r>
      <w:r>
        <w:rPr>
          <w:rFonts w:ascii="Arial" w:cs="Arial" w:eastAsia="Arial" w:hAnsi="Arial"/>
          <w:sz w:val="18"/>
          <w:szCs w:val="18"/>
          <w:color w:val="auto"/>
        </w:rPr>
        <w:t>. The Receiving Party may disclose Confidential Information belonging to the Disclosing Party to the extent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to the extent) such disclosure is reasonably necessary in the following instances:</w:t>
      </w:r>
    </w:p>
    <w:p>
      <w:pPr>
        <w:spacing w:after="0" w:line="62" w:lineRule="exact"/>
        <w:rPr>
          <w:rFonts w:ascii="Arial" w:cs="Arial" w:eastAsia="Arial" w:hAnsi="Arial"/>
          <w:sz w:val="18"/>
          <w:szCs w:val="18"/>
          <w:color w:val="auto"/>
        </w:rPr>
      </w:pPr>
    </w:p>
    <w:p>
      <w:pPr>
        <w:ind w:right="580" w:firstLine="1436"/>
        <w:spacing w:after="0" w:line="308" w:lineRule="auto"/>
        <w:tabs>
          <w:tab w:leader="none" w:pos="1648" w:val="left"/>
        </w:tabs>
        <w:numPr>
          <w:ilvl w:val="1"/>
          <w:numId w:val="802"/>
        </w:numPr>
        <w:rPr>
          <w:rFonts w:ascii="Arial" w:cs="Arial" w:eastAsia="Arial" w:hAnsi="Arial"/>
          <w:sz w:val="17"/>
          <w:szCs w:val="17"/>
          <w:color w:val="auto"/>
        </w:rPr>
      </w:pPr>
      <w:r>
        <w:rPr>
          <w:rFonts w:ascii="Arial" w:cs="Arial" w:eastAsia="Arial" w:hAnsi="Arial"/>
          <w:sz w:val="17"/>
          <w:szCs w:val="17"/>
          <w:color w:val="auto"/>
        </w:rPr>
        <w:t>subject to Section 8.2 (including the exceptions provided therein), by either Party in order to comply with applicable Law (including any securities Laws or regulation or rules of a securities exchange) or with a legal or administrative proceeding;</w:t>
      </w:r>
    </w:p>
    <w:p>
      <w:pPr>
        <w:spacing w:after="0" w:line="38" w:lineRule="exact"/>
        <w:rPr>
          <w:rFonts w:ascii="Arial" w:cs="Arial" w:eastAsia="Arial" w:hAnsi="Arial"/>
          <w:sz w:val="17"/>
          <w:szCs w:val="17"/>
          <w:color w:val="auto"/>
        </w:rPr>
      </w:pPr>
    </w:p>
    <w:p>
      <w:pPr>
        <w:ind w:right="160" w:firstLine="1436"/>
        <w:spacing w:after="0" w:line="277" w:lineRule="auto"/>
        <w:tabs>
          <w:tab w:leader="none" w:pos="169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by either Party, in connection with prosecuting or defending litigation, making regulatory filings, and Prosecuting Aerpio Core Patent Rights in accordance with Section 7;</w:t>
      </w:r>
    </w:p>
    <w:p>
      <w:pPr>
        <w:spacing w:after="0" w:line="62" w:lineRule="exact"/>
        <w:rPr>
          <w:rFonts w:ascii="Arial" w:cs="Arial" w:eastAsia="Arial" w:hAnsi="Arial"/>
          <w:sz w:val="18"/>
          <w:szCs w:val="18"/>
          <w:color w:val="auto"/>
        </w:rPr>
      </w:pPr>
    </w:p>
    <w:p>
      <w:pPr>
        <w:ind w:firstLine="1436"/>
        <w:spacing w:after="0" w:line="264" w:lineRule="auto"/>
        <w:tabs>
          <w:tab w:leader="none" w:pos="1748" w:val="left"/>
        </w:tabs>
        <w:numPr>
          <w:ilvl w:val="1"/>
          <w:numId w:val="802"/>
        </w:numPr>
        <w:rPr>
          <w:rFonts w:ascii="Arial" w:cs="Arial" w:eastAsia="Arial" w:hAnsi="Arial"/>
          <w:sz w:val="18"/>
          <w:szCs w:val="18"/>
          <w:color w:val="auto"/>
        </w:rPr>
      </w:pPr>
      <w:r>
        <w:rPr>
          <w:rFonts w:ascii="Arial" w:cs="Arial" w:eastAsia="Arial" w:hAnsi="Arial"/>
          <w:sz w:val="18"/>
          <w:szCs w:val="18"/>
          <w:color w:val="auto"/>
        </w:rPr>
        <w:t>by Licensee, to its Affiliates, potential and future Sublicensees, permitted acquirers or assignees under Section 11.1, subcontractors, investment bankers, investors, lenders, and each of Licensee’s and its Affiliates’ respective directors, employees, contractors and agents; and</w:t>
      </w:r>
    </w:p>
    <w:p>
      <w:pPr>
        <w:spacing w:after="0" w:line="73" w:lineRule="exact"/>
        <w:rPr>
          <w:rFonts w:ascii="Arial" w:cs="Arial" w:eastAsia="Arial" w:hAnsi="Arial"/>
          <w:sz w:val="18"/>
          <w:szCs w:val="18"/>
          <w:color w:val="auto"/>
        </w:rPr>
      </w:pPr>
    </w:p>
    <w:p>
      <w:pPr>
        <w:ind w:right="240" w:firstLine="1436"/>
        <w:spacing w:after="0" w:line="342" w:lineRule="auto"/>
        <w:tabs>
          <w:tab w:leader="none" w:pos="1738" w:val="left"/>
        </w:tabs>
        <w:numPr>
          <w:ilvl w:val="1"/>
          <w:numId w:val="802"/>
        </w:numPr>
        <w:rPr>
          <w:rFonts w:ascii="Arial" w:cs="Arial" w:eastAsia="Arial" w:hAnsi="Arial"/>
          <w:sz w:val="16"/>
          <w:szCs w:val="16"/>
          <w:color w:val="auto"/>
        </w:rPr>
      </w:pPr>
      <w:r>
        <w:rPr>
          <w:rFonts w:ascii="Arial" w:cs="Arial" w:eastAsia="Arial" w:hAnsi="Arial"/>
          <w:sz w:val="16"/>
          <w:szCs w:val="16"/>
          <w:color w:val="auto"/>
        </w:rPr>
        <w:t>by Aerpio to its Affiliates, permitted acquirers or assignees under Section 11.1, subcontractors, investment bankers, investors (including royalty purchasers), lenders, and each of Aerpio’s and its Affiliates’ respective directors, employees, contractors and agents,</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provided that (A) with respect to Section 8.1(c)(i) or 8.1(c)(ii), where reasonably possible, the Receiving Party will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(B) with respect to Sections 8.1(c)(iii) and 8.1(c)(iv), each of those named people and entities must be bound prior to disclosure by confidentiality and non-use restrictions at least as restrictive as those contained in this Section 8 (other than investment bankers, investors and lenders, who must be bound prior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5" w:right="479" w:bottom="1440" w:gutter="0" w:footer="0" w:header="0"/>
        </w:sectPr>
      </w:pPr>
    </w:p>
    <w:bookmarkStart w:id="877" w:name="page878"/>
    <w:bookmarkEnd w:id="877"/>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disclosure by commercially reasonable obligations of confidentiality). Further, with respect to Section 8.1(c)(i), in the event either Party intends to make a disclosure pursuant thereto, the other Party will have a reasonable time period to review and comment on the proposed disclosure or filing that relates to this Agreement (including the right to request redaction of material terms to the extent permitted by any applicable Law), and the Party intending to make such disclosure will consider in good faith any reasonable comments thereon provided by the other Party.</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 Publicity</w:t>
      </w:r>
      <w:r>
        <w:rPr>
          <w:rFonts w:ascii="Arial" w:cs="Arial" w:eastAsia="Arial" w:hAnsi="Arial"/>
          <w:sz w:val="18"/>
          <w:szCs w:val="18"/>
          <w:color w:val="auto"/>
        </w:rPr>
        <w:t>.</w:t>
      </w:r>
    </w:p>
    <w:p>
      <w:pPr>
        <w:spacing w:after="0" w:line="117" w:lineRule="exact"/>
        <w:rPr>
          <w:sz w:val="20"/>
          <w:szCs w:val="20"/>
          <w:color w:val="auto"/>
        </w:rPr>
      </w:pPr>
    </w:p>
    <w:p>
      <w:pPr>
        <w:ind w:left="440" w:right="200" w:firstLine="428"/>
        <w:spacing w:after="0" w:line="277" w:lineRule="auto"/>
        <w:tabs>
          <w:tab w:leader="none" w:pos="1108" w:val="left"/>
        </w:tabs>
        <w:numPr>
          <w:ilvl w:val="0"/>
          <w:numId w:val="803"/>
        </w:numPr>
        <w:rPr>
          <w:rFonts w:ascii="Arial" w:cs="Arial" w:eastAsia="Arial" w:hAnsi="Arial"/>
          <w:sz w:val="18"/>
          <w:szCs w:val="18"/>
          <w:color w:val="auto"/>
        </w:rPr>
      </w:pPr>
      <w:r>
        <w:rPr>
          <w:rFonts w:ascii="Arial" w:cs="Arial" w:eastAsia="Arial" w:hAnsi="Arial"/>
          <w:sz w:val="18"/>
          <w:szCs w:val="18"/>
          <w:i w:val="1"/>
          <w:iCs w:val="1"/>
          <w:color w:val="auto"/>
        </w:rPr>
        <w:t>Terms of this Agreement</w:t>
      </w:r>
      <w:r>
        <w:rPr>
          <w:rFonts w:ascii="Arial" w:cs="Arial" w:eastAsia="Arial" w:hAnsi="Arial"/>
          <w:sz w:val="18"/>
          <w:szCs w:val="18"/>
          <w:color w:val="auto"/>
        </w:rPr>
        <w:t>. The Parties agree that the terms of this Agreement will be treated as Confidential Information of both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thus may be disclosed only as permitted by this Section 8.</w:t>
      </w:r>
    </w:p>
    <w:p>
      <w:pPr>
        <w:spacing w:after="0" w:line="62" w:lineRule="exact"/>
        <w:rPr>
          <w:rFonts w:ascii="Arial" w:cs="Arial" w:eastAsia="Arial" w:hAnsi="Arial"/>
          <w:sz w:val="18"/>
          <w:szCs w:val="18"/>
          <w:color w:val="auto"/>
        </w:rPr>
      </w:pPr>
    </w:p>
    <w:p>
      <w:pPr>
        <w:ind w:left="440" w:right="100" w:firstLine="428"/>
        <w:spacing w:after="0" w:line="259" w:lineRule="auto"/>
        <w:tabs>
          <w:tab w:leader="none" w:pos="1118" w:val="left"/>
        </w:tabs>
        <w:numPr>
          <w:ilvl w:val="0"/>
          <w:numId w:val="803"/>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otherwise contemplated by this Section 8, neither Party to this Agreement will originate any publicity, news</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or other public announcement, written or oral, relating to this Agreement, the transactions contemplated hereby or the terms hereof, or the existence of any arrangement between the Parties, without the prior written consent of the other Party, whether named in such publicity, news release or other public announcement or not, except as required by applicable Law.</w:t>
      </w:r>
    </w:p>
    <w:p>
      <w:pPr>
        <w:spacing w:after="0" w:line="78" w:lineRule="exact"/>
        <w:rPr>
          <w:rFonts w:ascii="Arial" w:cs="Arial" w:eastAsia="Arial" w:hAnsi="Arial"/>
          <w:sz w:val="18"/>
          <w:szCs w:val="18"/>
          <w:color w:val="auto"/>
        </w:rPr>
      </w:pPr>
    </w:p>
    <w:p>
      <w:pPr>
        <w:ind w:left="440" w:firstLine="428"/>
        <w:spacing w:after="0" w:line="284" w:lineRule="auto"/>
        <w:tabs>
          <w:tab w:leader="none" w:pos="1108" w:val="left"/>
        </w:tabs>
        <w:numPr>
          <w:ilvl w:val="0"/>
          <w:numId w:val="803"/>
        </w:numPr>
        <w:rPr>
          <w:rFonts w:ascii="Arial" w:cs="Arial" w:eastAsia="Arial" w:hAnsi="Arial"/>
          <w:sz w:val="16"/>
          <w:szCs w:val="16"/>
          <w:color w:val="auto"/>
        </w:rPr>
      </w:pPr>
      <w:r>
        <w:rPr>
          <w:rFonts w:ascii="Arial" w:cs="Arial" w:eastAsia="Arial" w:hAnsi="Arial"/>
          <w:sz w:val="16"/>
          <w:szCs w:val="16"/>
          <w:i w:val="1"/>
          <w:iCs w:val="1"/>
          <w:color w:val="auto"/>
        </w:rPr>
        <w:t>Review</w:t>
      </w:r>
      <w:r>
        <w:rPr>
          <w:rFonts w:ascii="Arial" w:cs="Arial" w:eastAsia="Arial" w:hAnsi="Arial"/>
          <w:sz w:val="16"/>
          <w:szCs w:val="16"/>
          <w:color w:val="auto"/>
        </w:rPr>
        <w:t>. In the event either Party (the “</w:t>
      </w:r>
      <w:r>
        <w:rPr>
          <w:rFonts w:ascii="Arial" w:cs="Arial" w:eastAsia="Arial" w:hAnsi="Arial"/>
          <w:sz w:val="16"/>
          <w:szCs w:val="16"/>
          <w:u w:val="single" w:color="auto"/>
          <w:color w:val="auto"/>
        </w:rPr>
        <w:t>Issuing Party</w:t>
      </w:r>
      <w:r>
        <w:rPr>
          <w:rFonts w:ascii="Arial" w:cs="Arial" w:eastAsia="Arial" w:hAnsi="Arial"/>
          <w:sz w:val="16"/>
          <w:szCs w:val="16"/>
          <w:color w:val="auto"/>
        </w:rPr>
        <w:t>”) desires to issue any publicity, new release or other public announcement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the transactions contemplated hereby or the terms hereof, the Issuing Party will provide the other Party (the “</w:t>
      </w:r>
      <w:r>
        <w:rPr>
          <w:rFonts w:ascii="Arial" w:cs="Arial" w:eastAsia="Arial" w:hAnsi="Arial"/>
          <w:sz w:val="16"/>
          <w:szCs w:val="16"/>
          <w:u w:val="single" w:color="auto"/>
          <w:color w:val="auto"/>
        </w:rPr>
        <w:t>Reviewing Party</w:t>
      </w:r>
      <w:r>
        <w:rPr>
          <w:rFonts w:ascii="Arial" w:cs="Arial" w:eastAsia="Arial" w:hAnsi="Arial"/>
          <w:sz w:val="16"/>
          <w:szCs w:val="16"/>
          <w:color w:val="auto"/>
        </w:rPr>
        <w:t>”) with a copy of the proposed release, announcement or statement (the “</w:t>
      </w:r>
      <w:r>
        <w:rPr>
          <w:rFonts w:ascii="Arial" w:cs="Arial" w:eastAsia="Arial" w:hAnsi="Arial"/>
          <w:sz w:val="16"/>
          <w:szCs w:val="16"/>
          <w:u w:val="single" w:color="auto"/>
          <w:color w:val="auto"/>
        </w:rPr>
        <w:t>Release</w:t>
      </w:r>
      <w:r>
        <w:rPr>
          <w:rFonts w:ascii="Arial" w:cs="Arial" w:eastAsia="Arial" w:hAnsi="Arial"/>
          <w:sz w:val="16"/>
          <w:szCs w:val="16"/>
          <w:color w:val="auto"/>
        </w:rPr>
        <w:t>”). The Issuing Party will specify with each such Release, taking into account the urgency of the matter being disclosed, a reasonable period of time within which the Reviewing Party may provide any comments on such Release and if the Receiving Party fails to provide any comments during the response period called for by the Issuing Party, the Reviewing Party will be deemed to have consented to the issuance of such Release; provided, however, that as it relates to the disclosure of the results of any clinical trial conducted by Licensee or any health or safety matter related to a Licensed Product, each Party acknowledges that announcements may need to be made on extremely short notice, and although a Party will endeavor to provide the other Party adequate time for such a review, such Party will be free to make necessary public disclosures as promptly as it deems necessary and appropriate. If the Reviewing Party provides any comments, the Parties will consult on such Release and work in good faith to prepare a mutually acceptable Release. If the Reviewing Party does not provide its consent, not to be unreasonably withheld, to the issuance of the Release, the Issuing Party will not issue the Release except as required by Law (including to comply with any securities Laws or regulation or rules of a securities exchange) or as otherwise expressly set forth herein. Each Party acknowledges and agrees that the other Party may submit this Agreement to the SEC and if a Party does submit this Agreement to the SEC, such Party agrees to consult with the other Party with respect to the preparation and submission of, a confidential treatment request for this Agreement. Licensee acknowledges that Aerpio is a publicly traded company and, as such, is legally obligated to make timely disclosures of all material events relating to its business, and will be required to file this Agreement with the SEC. If a Party is required by Law to make a disclosure of the terms of this Agreement in a filing with or other submission to the SEC, and it is understood and agreed that Aerpio will need to make such public filing with the SEC, (i) such Party has provided copies of the disclosure to the other Party reasonably in advance to the extent practicable under the circumstances, (ii) such Party has promptly notified the other Party in writing of such requirement and any respective timing constraints, and (iii) such Party has given the other Party a reasonable time under the circumstances from the date of notice by such Party of the required disclosure to comment upon, request confidential treatment or approve such disclosure, then such Party will have the right to make such public disclosure at the time and in the manner reasonably determined by its counsel to be required by Law. Notwithstanding anything to the contrary herein, it is hereby understood and agreed that if a Party seeking to make a disclosure to the SEC as set forth in this Section 8.2, and the other Party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3" w:right="439" w:bottom="1440" w:gutter="0" w:footer="0" w:header="0"/>
        </w:sectPr>
      </w:pPr>
    </w:p>
    <w:bookmarkStart w:id="878" w:name="page879"/>
    <w:bookmarkEnd w:id="878"/>
    <w:p>
      <w:pPr>
        <w:ind w:left="440"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provides comments within the respective time periods or constraints specified herein or within the respective notice, the Party seeking to make such disclosure or its counsel, as the case may be, will in good faith (A) consider incorporating such comments and (B) use reasonable efforts to incorporate such comments, limit disclosure or obtain confidential treatment to the extent reasonably requested by the other Party.</w:t>
      </w:r>
    </w:p>
    <w:p>
      <w:pPr>
        <w:spacing w:after="0" w:line="39" w:lineRule="exact"/>
        <w:rPr>
          <w:sz w:val="20"/>
          <w:szCs w:val="20"/>
          <w:color w:val="auto"/>
        </w:rPr>
      </w:pPr>
    </w:p>
    <w:p>
      <w:pPr>
        <w:ind w:left="440" w:right="80" w:firstLine="428"/>
        <w:spacing w:after="0" w:line="277" w:lineRule="auto"/>
        <w:tabs>
          <w:tab w:leader="none" w:pos="1118" w:val="left"/>
        </w:tabs>
        <w:numPr>
          <w:ilvl w:val="0"/>
          <w:numId w:val="804"/>
        </w:numPr>
        <w:rPr>
          <w:rFonts w:ascii="Arial" w:cs="Arial" w:eastAsia="Arial" w:hAnsi="Arial"/>
          <w:sz w:val="18"/>
          <w:szCs w:val="18"/>
          <w:color w:val="auto"/>
        </w:rPr>
      </w:pPr>
      <w:r>
        <w:rPr>
          <w:rFonts w:ascii="Arial" w:cs="Arial" w:eastAsia="Arial" w:hAnsi="Arial"/>
          <w:sz w:val="18"/>
          <w:szCs w:val="18"/>
          <w:i w:val="1"/>
          <w:iCs w:val="1"/>
          <w:color w:val="auto"/>
        </w:rPr>
        <w:t>Press Release Regarding Execution of the Agreement</w:t>
      </w:r>
      <w:r>
        <w:rPr>
          <w:rFonts w:ascii="Arial" w:cs="Arial" w:eastAsia="Arial" w:hAnsi="Arial"/>
          <w:sz w:val="18"/>
          <w:szCs w:val="18"/>
          <w:color w:val="auto"/>
        </w:rPr>
        <w:t>. The Parties agree to issue the joint press release in Exhibit E promptly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Relationship to the Confidentiality Agreement</w:t>
      </w:r>
      <w:r>
        <w:rPr>
          <w:rFonts w:ascii="Arial" w:cs="Arial" w:eastAsia="Arial" w:hAnsi="Arial"/>
          <w:sz w:val="18"/>
          <w:szCs w:val="18"/>
          <w:color w:val="auto"/>
        </w:rPr>
        <w:t>. This Agreement supersedes the Confidentiality Agreement, provided that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“Confidential Information” disclosed or received by the Parties thereunder will be deemed “Confidential Information” hereunder and will be subject to the terms and conditions of this Agreement.</w:t>
      </w:r>
    </w:p>
    <w:p>
      <w:pPr>
        <w:spacing w:after="0" w:line="76"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Publications</w:t>
      </w:r>
      <w:r>
        <w:rPr>
          <w:rFonts w:ascii="Arial" w:cs="Arial" w:eastAsia="Arial" w:hAnsi="Arial"/>
          <w:sz w:val="18"/>
          <w:szCs w:val="18"/>
          <w:color w:val="auto"/>
        </w:rPr>
        <w:t>. In order to protect its investment hereunder, Licensee may elect to maintain the confidentiality of its Confidential Information, and may request that Aerpio maintain the confidentiality of the Aerpio Know-How that relates primarily to the Licensed Compound and Licensed Products, until applications for patent rights have been filed with respect thereto. Accordingly, Aerpio shall not, and shall cause each of its Affiliates not to, make any publications or public disclosures regarding any Licensee Confidential Information, or Aerpio Know-How that relates primarily to the Licensed Compound or Licensed Products, without Licensee’s prior written consent, for, in the case of Aerpio Know-How, up to [***] from Licensee first being notified of any such proposed publication or public disclosure, and in all events subject to any disclosure required by applicable Law.</w:t>
      </w:r>
    </w:p>
    <w:p>
      <w:pPr>
        <w:spacing w:after="0" w:line="81"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Clinical Trials</w:t>
      </w:r>
      <w:r>
        <w:rPr>
          <w:rFonts w:ascii="Arial" w:cs="Arial" w:eastAsia="Arial" w:hAnsi="Arial"/>
          <w:sz w:val="18"/>
          <w:szCs w:val="18"/>
          <w:color w:val="auto"/>
        </w:rPr>
        <w:t>. For clarity, Licensee shall have the right to publish the results or summaries of results of any clinical trials conducted with respect to a Licensed Product in its sole discretion and without needing the consent of Aerpio.</w:t>
      </w:r>
    </w:p>
    <w:p>
      <w:pPr>
        <w:spacing w:after="0" w:line="62"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Remedies</w:t>
      </w:r>
      <w:r>
        <w:rPr>
          <w:rFonts w:ascii="Arial" w:cs="Arial" w:eastAsia="Arial" w:hAnsi="Arial"/>
          <w:sz w:val="18"/>
          <w:szCs w:val="18"/>
          <w:color w:val="auto"/>
        </w:rPr>
        <w:t>. Each Party shall be entitled to seek, in addition to any other right or remedy it may have, at law or in equity, a temporary injunction, without the posting of any bond or other security, enjoining or restraining the other Party from any violation or threatened violation of this Section 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Warranties; Limitations of Liability; Indemnification</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Aerpio Representations and Warranties</w:t>
      </w:r>
      <w:r>
        <w:rPr>
          <w:rFonts w:ascii="Arial" w:cs="Arial" w:eastAsia="Arial" w:hAnsi="Arial"/>
          <w:sz w:val="16"/>
          <w:szCs w:val="16"/>
          <w:color w:val="auto"/>
        </w:rPr>
        <w:t>. Except as set forth on Schedule 9.1, Aerpio represents and warrants to Licensee that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103" w:lineRule="exact"/>
        <w:rPr>
          <w:sz w:val="20"/>
          <w:szCs w:val="20"/>
          <w:color w:val="auto"/>
        </w:rPr>
      </w:pPr>
    </w:p>
    <w:p>
      <w:pPr>
        <w:ind w:left="440" w:right="40" w:firstLine="428"/>
        <w:spacing w:after="0" w:line="308" w:lineRule="auto"/>
        <w:tabs>
          <w:tab w:leader="none" w:pos="1108" w:val="left"/>
        </w:tabs>
        <w:numPr>
          <w:ilvl w:val="1"/>
          <w:numId w:val="805"/>
        </w:numPr>
        <w:rPr>
          <w:rFonts w:ascii="Arial" w:cs="Arial" w:eastAsia="Arial" w:hAnsi="Arial"/>
          <w:sz w:val="17"/>
          <w:szCs w:val="17"/>
          <w:color w:val="auto"/>
        </w:rPr>
      </w:pPr>
      <w:r>
        <w:rPr>
          <w:rFonts w:ascii="Arial" w:cs="Arial" w:eastAsia="Arial" w:hAnsi="Arial"/>
          <w:sz w:val="17"/>
          <w:szCs w:val="17"/>
          <w:color w:val="auto"/>
        </w:rPr>
        <w:t>Aerpio is duly organized, validly existing and in good standing under the laws of the jurisdiction in which it is organized, and it has full right and authority to enter into this Agreement and to grant the licenses and other rights to Licensee as herein described.</w:t>
      </w:r>
    </w:p>
    <w:p>
      <w:pPr>
        <w:spacing w:after="0" w:line="38" w:lineRule="exact"/>
        <w:rPr>
          <w:rFonts w:ascii="Arial" w:cs="Arial" w:eastAsia="Arial" w:hAnsi="Arial"/>
          <w:sz w:val="17"/>
          <w:szCs w:val="17"/>
          <w:color w:val="auto"/>
        </w:rPr>
      </w:pPr>
    </w:p>
    <w:p>
      <w:pPr>
        <w:ind w:left="440" w:right="80" w:firstLine="428"/>
        <w:spacing w:after="0" w:line="312" w:lineRule="auto"/>
        <w:tabs>
          <w:tab w:leader="none" w:pos="1118" w:val="left"/>
        </w:tabs>
        <w:numPr>
          <w:ilvl w:val="1"/>
          <w:numId w:val="805"/>
        </w:numPr>
        <w:rPr>
          <w:rFonts w:ascii="Arial" w:cs="Arial" w:eastAsia="Arial" w:hAnsi="Arial"/>
          <w:sz w:val="16"/>
          <w:szCs w:val="16"/>
          <w:color w:val="auto"/>
        </w:rPr>
      </w:pPr>
      <w:r>
        <w:rPr>
          <w:rFonts w:ascii="Arial" w:cs="Arial" w:eastAsia="Arial" w:hAnsi="Arial"/>
          <w:sz w:val="16"/>
          <w:szCs w:val="16"/>
          <w:color w:val="auto"/>
        </w:rPr>
        <w:t>This Agreement has been duly authorized by all requisite corporate action, and when executed and delivered will become a valid and binding contract of Aerpio enforceable against Aerpio in accordance with its terms, subject to applicable bankruptcy, insolvency, reorganization, moratorium and other Law affecting creditors’ rights generally from time to time in effect, and to general principles of equity.</w:t>
      </w:r>
    </w:p>
    <w:p>
      <w:pPr>
        <w:spacing w:after="0" w:line="38" w:lineRule="exact"/>
        <w:rPr>
          <w:rFonts w:ascii="Arial" w:cs="Arial" w:eastAsia="Arial" w:hAnsi="Arial"/>
          <w:sz w:val="16"/>
          <w:szCs w:val="16"/>
          <w:color w:val="auto"/>
        </w:rPr>
      </w:pPr>
    </w:p>
    <w:p>
      <w:pPr>
        <w:ind w:left="440" w:right="660" w:firstLine="428"/>
        <w:spacing w:after="0" w:line="342" w:lineRule="auto"/>
        <w:tabs>
          <w:tab w:leader="none" w:pos="1108" w:val="left"/>
        </w:tabs>
        <w:numPr>
          <w:ilvl w:val="1"/>
          <w:numId w:val="80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does not conflict with any other agreement, contract, instrument or understanding, oral or written, to which Aerpio is a party, or by which it is bound, nor will it violate any applicable Law.</w:t>
      </w:r>
    </w:p>
    <w:p>
      <w:pPr>
        <w:spacing w:after="0" w:line="15" w:lineRule="exact"/>
        <w:rPr>
          <w:rFonts w:ascii="Arial" w:cs="Arial" w:eastAsia="Arial" w:hAnsi="Arial"/>
          <w:sz w:val="16"/>
          <w:szCs w:val="16"/>
          <w:color w:val="auto"/>
        </w:rPr>
      </w:pPr>
    </w:p>
    <w:p>
      <w:pPr>
        <w:ind w:left="440" w:right="540" w:firstLine="428"/>
        <w:spacing w:after="0" w:line="277" w:lineRule="auto"/>
        <w:tabs>
          <w:tab w:leader="none" w:pos="1118" w:val="left"/>
        </w:tabs>
        <w:numPr>
          <w:ilvl w:val="1"/>
          <w:numId w:val="805"/>
        </w:numPr>
        <w:rPr>
          <w:rFonts w:ascii="Arial" w:cs="Arial" w:eastAsia="Arial" w:hAnsi="Arial"/>
          <w:sz w:val="18"/>
          <w:szCs w:val="18"/>
          <w:color w:val="auto"/>
        </w:rPr>
      </w:pPr>
      <w:r>
        <w:rPr>
          <w:rFonts w:ascii="Arial" w:cs="Arial" w:eastAsia="Arial" w:hAnsi="Arial"/>
          <w:sz w:val="18"/>
          <w:szCs w:val="18"/>
          <w:color w:val="auto"/>
        </w:rPr>
        <w:t>All necessary consents, approvals and authorizations of all Governmental Authorities and other persons or entities required to be obtained by Aerpio in connection with the</w:t>
      </w:r>
    </w:p>
    <w:p>
      <w:pPr>
        <w:spacing w:after="0" w:line="264" w:lineRule="exact"/>
        <w:rPr>
          <w:rFonts w:ascii="Arial" w:cs="Arial" w:eastAsia="Arial" w:hAnsi="Arial"/>
          <w:sz w:val="18"/>
          <w:szCs w:val="18"/>
          <w:color w:val="auto"/>
        </w:rPr>
      </w:pPr>
    </w:p>
    <w:p>
      <w:pPr>
        <w:ind w:left="440" w:right="360" w:hanging="436"/>
        <w:spacing w:after="0" w:line="277" w:lineRule="auto"/>
        <w:tabs>
          <w:tab w:leader="none" w:pos="440" w:val="left"/>
        </w:tabs>
        <w:numPr>
          <w:ilvl w:val="0"/>
          <w:numId w:val="805"/>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5" w:right="539" w:bottom="1440" w:gutter="0" w:footer="0" w:header="0"/>
        </w:sectPr>
      </w:pPr>
    </w:p>
    <w:bookmarkStart w:id="879" w:name="page880"/>
    <w:bookmarkEnd w:id="8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and delivery of this Agreement and the performance of its obligations hereunder have been obtained.</w:t>
      </w:r>
    </w:p>
    <w:p>
      <w:pPr>
        <w:spacing w:after="0" w:line="117" w:lineRule="exact"/>
        <w:rPr>
          <w:sz w:val="20"/>
          <w:szCs w:val="20"/>
          <w:color w:val="auto"/>
        </w:rPr>
      </w:pPr>
    </w:p>
    <w:p>
      <w:pPr>
        <w:ind w:right="40" w:firstLine="428"/>
        <w:spacing w:after="0" w:line="277" w:lineRule="auto"/>
        <w:tabs>
          <w:tab w:leader="none" w:pos="66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There is no litigation, proceeding or investigation pending or threatened against or involving Aerpio in any court or before any agency or regulatory body which could adversely affect Aerpio’s ability or right to enter into this Agreement.</w:t>
      </w:r>
    </w:p>
    <w:p>
      <w:pPr>
        <w:spacing w:after="0" w:line="62" w:lineRule="exact"/>
        <w:rPr>
          <w:rFonts w:ascii="Arial" w:cs="Arial" w:eastAsia="Arial" w:hAnsi="Arial"/>
          <w:sz w:val="18"/>
          <w:szCs w:val="18"/>
          <w:color w:val="auto"/>
        </w:rPr>
      </w:pPr>
    </w:p>
    <w:p>
      <w:pPr>
        <w:ind w:right="60" w:firstLine="428"/>
        <w:spacing w:after="0" w:line="286" w:lineRule="auto"/>
        <w:tabs>
          <w:tab w:leader="none" w:pos="648" w:val="left"/>
        </w:tabs>
        <w:numPr>
          <w:ilvl w:val="0"/>
          <w:numId w:val="806"/>
        </w:numPr>
        <w:rPr>
          <w:rFonts w:ascii="Arial" w:cs="Arial" w:eastAsia="Arial" w:hAnsi="Arial"/>
          <w:sz w:val="17"/>
          <w:szCs w:val="17"/>
          <w:color w:val="auto"/>
        </w:rPr>
      </w:pPr>
      <w:r>
        <w:rPr>
          <w:rFonts w:ascii="Arial" w:cs="Arial" w:eastAsia="Arial" w:hAnsi="Arial"/>
          <w:sz w:val="17"/>
          <w:szCs w:val="17"/>
          <w:color w:val="auto"/>
        </w:rPr>
        <w:t>Neither Aerpio, nor to the knowledge of Aerpio any of its employees, independent contractors or consultants or agents or officers: (i) has ever been debarred or is subject to debarment or convicted of a crime for which a person could be debarred before a Regulatory Authority under applicable Laws, or (ii) has ever been under indictment for a crime for which a person could be debarred under such Laws.</w:t>
      </w:r>
    </w:p>
    <w:p>
      <w:pPr>
        <w:spacing w:after="0" w:line="57" w:lineRule="exact"/>
        <w:rPr>
          <w:rFonts w:ascii="Arial" w:cs="Arial" w:eastAsia="Arial" w:hAnsi="Arial"/>
          <w:sz w:val="17"/>
          <w:szCs w:val="17"/>
          <w:color w:val="auto"/>
        </w:rPr>
      </w:pPr>
    </w:p>
    <w:p>
      <w:pPr>
        <w:ind w:right="560" w:firstLine="428"/>
        <w:spacing w:after="0" w:line="277" w:lineRule="auto"/>
        <w:tabs>
          <w:tab w:leader="none" w:pos="67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Aerpio is the sole and exclusive owner of the entire right, title and interest in and to the Aerpio Core Patent Rights and the Aerpio Know-How free and clear of all liens and other encumbrances, security interests, options and licenses.</w:t>
      </w:r>
    </w:p>
    <w:p>
      <w:pPr>
        <w:spacing w:after="0" w:line="62" w:lineRule="exact"/>
        <w:rPr>
          <w:rFonts w:ascii="Arial" w:cs="Arial" w:eastAsia="Arial" w:hAnsi="Arial"/>
          <w:sz w:val="18"/>
          <w:szCs w:val="18"/>
          <w:color w:val="auto"/>
        </w:rPr>
      </w:pPr>
    </w:p>
    <w:p>
      <w:pPr>
        <w:ind w:right="60" w:firstLine="428"/>
        <w:spacing w:after="0" w:line="259" w:lineRule="auto"/>
        <w:tabs>
          <w:tab w:leader="none" w:pos="67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Aerpio is the non-exclusive licensee of the Aerpio In-License, and holds such license for such patent rights free and clear of all liens and other encumbrances, security interests, options and licenses. The Aerpio In-License is in full force and effect and neither Aerpio nor, to the knowledge of Aerpio, UC Regents is in breach of the Aerpio In-License, and neither party to that agreement has accused the other party of being in breach of Aerpio In-License.</w:t>
      </w:r>
    </w:p>
    <w:p>
      <w:pPr>
        <w:spacing w:after="0" w:line="78" w:lineRule="exact"/>
        <w:rPr>
          <w:rFonts w:ascii="Arial" w:cs="Arial" w:eastAsia="Arial" w:hAnsi="Arial"/>
          <w:sz w:val="18"/>
          <w:szCs w:val="18"/>
          <w:color w:val="auto"/>
        </w:rPr>
      </w:pPr>
    </w:p>
    <w:p>
      <w:pPr>
        <w:jc w:val="both"/>
        <w:ind w:right="660" w:firstLine="428"/>
        <w:spacing w:after="0" w:line="342" w:lineRule="auto"/>
        <w:tabs>
          <w:tab w:leader="none" w:pos="635" w:val="left"/>
        </w:tabs>
        <w:numPr>
          <w:ilvl w:val="0"/>
          <w:numId w:val="806"/>
        </w:numPr>
        <w:rPr>
          <w:rFonts w:ascii="Arial" w:cs="Arial" w:eastAsia="Arial" w:hAnsi="Arial"/>
          <w:sz w:val="16"/>
          <w:szCs w:val="16"/>
          <w:color w:val="auto"/>
        </w:rPr>
      </w:pPr>
      <w:r>
        <w:rPr>
          <w:rFonts w:ascii="Arial" w:cs="Arial" w:eastAsia="Arial" w:hAnsi="Arial"/>
          <w:sz w:val="16"/>
          <w:szCs w:val="16"/>
          <w:color w:val="auto"/>
        </w:rPr>
        <w:t>The Aerpio Patent Rights and the Licensed Patents (as defined in the In-License Agreement) constitute all the patents and patent applications owned or Controlled by Aerpio that Cover (or could Cover upon issuance of the patent application) the Licensed Compound.</w:t>
      </w:r>
    </w:p>
    <w:p>
      <w:pPr>
        <w:spacing w:after="0" w:line="15" w:lineRule="exact"/>
        <w:rPr>
          <w:rFonts w:ascii="Arial" w:cs="Arial" w:eastAsia="Arial" w:hAnsi="Arial"/>
          <w:sz w:val="16"/>
          <w:szCs w:val="16"/>
          <w:color w:val="auto"/>
        </w:rPr>
      </w:pPr>
    </w:p>
    <w:p>
      <w:pPr>
        <w:ind w:right="520" w:firstLine="428"/>
        <w:spacing w:after="0" w:line="277" w:lineRule="auto"/>
        <w:tabs>
          <w:tab w:leader="none" w:pos="63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Aerpio has the right to grant the licenses and rights in the Aerpio Patent Rights and grant the sublicense in the Licensed Patents (as defined in the In-License Agreement) it purports to grant to Licensee hereunder.</w:t>
      </w:r>
    </w:p>
    <w:p>
      <w:pPr>
        <w:spacing w:after="0" w:line="62" w:lineRule="exact"/>
        <w:rPr>
          <w:rFonts w:ascii="Arial" w:cs="Arial" w:eastAsia="Arial" w:hAnsi="Arial"/>
          <w:sz w:val="18"/>
          <w:szCs w:val="18"/>
          <w:color w:val="auto"/>
        </w:rPr>
      </w:pPr>
    </w:p>
    <w:p>
      <w:pPr>
        <w:ind w:firstLine="428"/>
        <w:spacing w:after="0" w:line="272" w:lineRule="auto"/>
        <w:tabs>
          <w:tab w:leader="none" w:pos="678" w:val="left"/>
        </w:tabs>
        <w:numPr>
          <w:ilvl w:val="0"/>
          <w:numId w:val="806"/>
        </w:numPr>
        <w:rPr>
          <w:rFonts w:ascii="Arial" w:cs="Arial" w:eastAsia="Arial" w:hAnsi="Arial"/>
          <w:sz w:val="17"/>
          <w:szCs w:val="17"/>
          <w:color w:val="auto"/>
        </w:rPr>
      </w:pPr>
      <w:r>
        <w:rPr>
          <w:rFonts w:ascii="Arial" w:cs="Arial" w:eastAsia="Arial" w:hAnsi="Arial"/>
          <w:sz w:val="17"/>
          <w:szCs w:val="17"/>
          <w:color w:val="auto"/>
        </w:rPr>
        <w:t>During the Term, Aerpio shall maintain the Aerpio In-License in good standing and shall not take any action, or omit to take any action (including making necessary payments), which would result in a breach or early termination of the Aerpio In-License or any rights thereunder. Aerpio covenants that it shall not amend, modify or supplement the terms of, or waive any rights under, the Aerpio In-License that would adversely impact Licensee’s rights hereunder without the prior written consent of Licensee, such consent not to be unreasonably withheld, delayed or conditioned. Aerpio shall promptly notify Licensee upon receipt by Aerpio of any notice from UC Regents of any actual or alleged breach under the Aerpio In-License and Aerpio shall endeavor to cure any such breach within the allotted cure period and if it is unwilling or unable to do so, Aerpio shall timely notify Licensee and Licensee shall have the right to cure such breach on Aerpio’s behalf.</w:t>
      </w:r>
    </w:p>
    <w:p>
      <w:pPr>
        <w:spacing w:after="0" w:line="69" w:lineRule="exact"/>
        <w:rPr>
          <w:rFonts w:ascii="Arial" w:cs="Arial" w:eastAsia="Arial" w:hAnsi="Arial"/>
          <w:sz w:val="17"/>
          <w:szCs w:val="17"/>
          <w:color w:val="auto"/>
        </w:rPr>
      </w:pPr>
    </w:p>
    <w:p>
      <w:pPr>
        <w:ind w:firstLine="428"/>
        <w:spacing w:after="0" w:line="255" w:lineRule="auto"/>
        <w:tabs>
          <w:tab w:leader="none" w:pos="63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There are no adverse actions, suits or claims pending or, to the knowledge of Aerpio, threatened against Aerpio in any court or by or before any governmental entity with respect to the Licensed Compound, the Aerpio Patent Rights, or the Aerpio Know-How and, to the knowledge of Aerpio, there are no Third Party patents that would reasonably be expected to give rise to such actions, suits or claims. No Third Party has challenged the ownership, inventorship, scope, duration, validity, enforceability, priority or right to use the Licensed Compound, the Aerpio Patent Rights, or the Aerpio Know-How (other than in connection with routine patent office prosecution), and, to the knowledge of Aerpio, there is no basis for any such challenge.</w:t>
      </w:r>
    </w:p>
    <w:p>
      <w:pPr>
        <w:spacing w:after="0" w:line="85" w:lineRule="exact"/>
        <w:rPr>
          <w:rFonts w:ascii="Arial" w:cs="Arial" w:eastAsia="Arial" w:hAnsi="Arial"/>
          <w:sz w:val="18"/>
          <w:szCs w:val="18"/>
          <w:color w:val="auto"/>
        </w:rPr>
      </w:pPr>
    </w:p>
    <w:p>
      <w:pPr>
        <w:ind w:right="660" w:firstLine="428"/>
        <w:spacing w:after="0" w:line="264" w:lineRule="auto"/>
        <w:tabs>
          <w:tab w:leader="none" w:pos="728" w:val="left"/>
        </w:tabs>
        <w:numPr>
          <w:ilvl w:val="0"/>
          <w:numId w:val="806"/>
        </w:numPr>
        <w:rPr>
          <w:rFonts w:ascii="Arial" w:cs="Arial" w:eastAsia="Arial" w:hAnsi="Arial"/>
          <w:sz w:val="18"/>
          <w:szCs w:val="18"/>
          <w:color w:val="auto"/>
        </w:rPr>
      </w:pPr>
      <w:r>
        <w:rPr>
          <w:rFonts w:ascii="Arial" w:cs="Arial" w:eastAsia="Arial" w:hAnsi="Arial"/>
          <w:sz w:val="18"/>
          <w:szCs w:val="18"/>
          <w:color w:val="auto"/>
        </w:rPr>
        <w:t>Except for the matter with UC Regents that resulted in the Aerpio In-License, Aerpio has not initiated or been involved in any proceedings or claims in which it alleges that any Third Party is or was infringing or misappropriating the Aerpio Patent Rights or Aerpio Know-How, nor have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80" w:top="275" w:right="439" w:bottom="1440" w:gutter="0" w:footer="0" w:header="0"/>
        </w:sectPr>
      </w:pPr>
    </w:p>
    <w:bookmarkStart w:id="880" w:name="page881"/>
    <w:bookmarkEnd w:id="8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proceedings been threatened by Aerpio, nor, to the knowledge of Aerpio, is there any basis for any such proceeding.</w:t>
      </w:r>
    </w:p>
    <w:p>
      <w:pPr>
        <w:spacing w:after="0" w:line="117" w:lineRule="exact"/>
        <w:rPr>
          <w:sz w:val="20"/>
          <w:szCs w:val="20"/>
          <w:color w:val="auto"/>
        </w:rPr>
      </w:pPr>
    </w:p>
    <w:p>
      <w:pPr>
        <w:ind w:left="440" w:firstLine="428"/>
        <w:spacing w:after="0" w:line="264" w:lineRule="auto"/>
        <w:tabs>
          <w:tab w:leader="none" w:pos="1118" w:val="left"/>
        </w:tabs>
        <w:numPr>
          <w:ilvl w:val="0"/>
          <w:numId w:val="807"/>
        </w:numPr>
        <w:rPr>
          <w:rFonts w:ascii="Arial" w:cs="Arial" w:eastAsia="Arial" w:hAnsi="Arial"/>
          <w:sz w:val="18"/>
          <w:szCs w:val="18"/>
          <w:color w:val="auto"/>
        </w:rPr>
      </w:pPr>
      <w:r>
        <w:rPr>
          <w:rFonts w:ascii="Arial" w:cs="Arial" w:eastAsia="Arial" w:hAnsi="Arial"/>
          <w:sz w:val="18"/>
          <w:szCs w:val="18"/>
          <w:color w:val="auto"/>
        </w:rPr>
        <w:t>To the knowledge of Aerpio and notwithstanding 35 U.S.C. § 271(e) or any comparable Laws, the research, development, manufacture, use or sale of the Licensed Compound does not infringe or misappropriate any patent rights, know-how rights, or other intellectual property rights of any Third Party.</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807"/>
        </w:numPr>
        <w:rPr>
          <w:rFonts w:ascii="Arial" w:cs="Arial" w:eastAsia="Arial" w:hAnsi="Arial"/>
          <w:sz w:val="17"/>
          <w:szCs w:val="17"/>
          <w:color w:val="auto"/>
        </w:rPr>
      </w:pPr>
      <w:r>
        <w:rPr>
          <w:rFonts w:ascii="Arial" w:cs="Arial" w:eastAsia="Arial" w:hAnsi="Arial"/>
          <w:sz w:val="17"/>
          <w:szCs w:val="17"/>
          <w:color w:val="auto"/>
        </w:rPr>
        <w:t>Aerpio has provided to Licensee complete and accurate copies of each of the manufacturing agreements listed on Exhibit G.</w:t>
      </w:r>
    </w:p>
    <w:p>
      <w:pPr>
        <w:spacing w:after="0" w:line="23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purposes of this Agreement, “to the knowledge of Aerpio” (and like phrases) will mean the actual knowledge as of the Effective Date of the individuals listed on Schedule 9.1(a), with no duty of inquiry other than inquiry of (i) Aerpio’s current officers, directors, employees, consultants and legal counsel and (ii) the individuals listed on Schedule 9.1(b).</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Licensee Representations and Warranties</w:t>
      </w:r>
      <w:r>
        <w:rPr>
          <w:rFonts w:ascii="Arial" w:cs="Arial" w:eastAsia="Arial" w:hAnsi="Arial"/>
          <w:sz w:val="18"/>
          <w:szCs w:val="18"/>
          <w:color w:val="auto"/>
        </w:rPr>
        <w:t>. Licensee represents and warrants to Aerpio that as of the Effective Date:</w:t>
      </w:r>
    </w:p>
    <w:p>
      <w:pPr>
        <w:spacing w:after="0" w:line="117" w:lineRule="exact"/>
        <w:rPr>
          <w:sz w:val="20"/>
          <w:szCs w:val="20"/>
          <w:color w:val="auto"/>
        </w:rPr>
      </w:pPr>
    </w:p>
    <w:p>
      <w:pPr>
        <w:ind w:left="440" w:right="220" w:firstLine="428"/>
        <w:spacing w:after="0" w:line="277" w:lineRule="auto"/>
        <w:tabs>
          <w:tab w:leader="none" w:pos="1108" w:val="left"/>
        </w:tabs>
        <w:numPr>
          <w:ilvl w:val="0"/>
          <w:numId w:val="808"/>
        </w:numPr>
        <w:rPr>
          <w:rFonts w:ascii="Arial" w:cs="Arial" w:eastAsia="Arial" w:hAnsi="Arial"/>
          <w:sz w:val="18"/>
          <w:szCs w:val="18"/>
          <w:color w:val="auto"/>
        </w:rPr>
      </w:pPr>
      <w:r>
        <w:rPr>
          <w:rFonts w:ascii="Arial" w:cs="Arial" w:eastAsia="Arial" w:hAnsi="Arial"/>
          <w:sz w:val="18"/>
          <w:szCs w:val="18"/>
          <w:color w:val="auto"/>
        </w:rPr>
        <w:t>Licensee is duly organized, validly existing and in good standing under the laws of jurisdiction in which it is organized, and it has full right and authority to enter into this Agreement and to accept the rights and licenses granted as herein described.</w:t>
      </w:r>
    </w:p>
    <w:p>
      <w:pPr>
        <w:spacing w:after="0" w:line="62" w:lineRule="exact"/>
        <w:rPr>
          <w:rFonts w:ascii="Arial" w:cs="Arial" w:eastAsia="Arial" w:hAnsi="Arial"/>
          <w:sz w:val="18"/>
          <w:szCs w:val="18"/>
          <w:color w:val="auto"/>
        </w:rPr>
      </w:pPr>
    </w:p>
    <w:p>
      <w:pPr>
        <w:ind w:left="440" w:right="260" w:firstLine="428"/>
        <w:spacing w:after="0" w:line="312" w:lineRule="auto"/>
        <w:tabs>
          <w:tab w:leader="none" w:pos="1118" w:val="left"/>
        </w:tabs>
        <w:numPr>
          <w:ilvl w:val="0"/>
          <w:numId w:val="808"/>
        </w:numPr>
        <w:rPr>
          <w:rFonts w:ascii="Arial" w:cs="Arial" w:eastAsia="Arial" w:hAnsi="Arial"/>
          <w:sz w:val="16"/>
          <w:szCs w:val="16"/>
          <w:color w:val="auto"/>
        </w:rPr>
      </w:pPr>
      <w:r>
        <w:rPr>
          <w:rFonts w:ascii="Arial" w:cs="Arial" w:eastAsia="Arial" w:hAnsi="Arial"/>
          <w:sz w:val="16"/>
          <w:szCs w:val="16"/>
          <w:color w:val="auto"/>
        </w:rPr>
        <w:t>This Agreement has been duly authorized by all requisite corporate action, and when executed and delivered will become a valid and binding contract of Licensee enforceable against Licensee in accordance with its terms, subject to applicable bankruptcy, insolvency, reorganization, moratorium and other Law affecting creditors’ rights generally from time to time in effect, and to general principles of equity.</w:t>
      </w:r>
    </w:p>
    <w:p>
      <w:pPr>
        <w:spacing w:after="0" w:line="38" w:lineRule="exact"/>
        <w:rPr>
          <w:rFonts w:ascii="Arial" w:cs="Arial" w:eastAsia="Arial" w:hAnsi="Arial"/>
          <w:sz w:val="16"/>
          <w:szCs w:val="16"/>
          <w:color w:val="auto"/>
        </w:rPr>
      </w:pPr>
    </w:p>
    <w:p>
      <w:pPr>
        <w:ind w:left="440" w:right="700" w:firstLine="428"/>
        <w:spacing w:after="0" w:line="342" w:lineRule="auto"/>
        <w:tabs>
          <w:tab w:leader="none" w:pos="1108" w:val="left"/>
        </w:tabs>
        <w:numPr>
          <w:ilvl w:val="0"/>
          <w:numId w:val="808"/>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does not conflict with any other agreement, contract, instrument or understanding, oral or written, to which Licensee is a party, or by which it is bound, nor will it violate any applicable Law.</w:t>
      </w:r>
    </w:p>
    <w:p>
      <w:pPr>
        <w:spacing w:after="0" w:line="15" w:lineRule="exact"/>
        <w:rPr>
          <w:rFonts w:ascii="Arial" w:cs="Arial" w:eastAsia="Arial" w:hAnsi="Arial"/>
          <w:sz w:val="16"/>
          <w:szCs w:val="16"/>
          <w:color w:val="auto"/>
        </w:rPr>
      </w:pPr>
    </w:p>
    <w:p>
      <w:pPr>
        <w:ind w:left="440" w:firstLine="428"/>
        <w:spacing w:after="0" w:line="264" w:lineRule="auto"/>
        <w:tabs>
          <w:tab w:leader="none" w:pos="1118" w:val="left"/>
        </w:tabs>
        <w:numPr>
          <w:ilvl w:val="0"/>
          <w:numId w:val="808"/>
        </w:numPr>
        <w:rPr>
          <w:rFonts w:ascii="Arial" w:cs="Arial" w:eastAsia="Arial" w:hAnsi="Arial"/>
          <w:sz w:val="18"/>
          <w:szCs w:val="18"/>
          <w:color w:val="auto"/>
        </w:rPr>
      </w:pPr>
      <w:r>
        <w:rPr>
          <w:rFonts w:ascii="Arial" w:cs="Arial" w:eastAsia="Arial" w:hAnsi="Arial"/>
          <w:sz w:val="18"/>
          <w:szCs w:val="18"/>
          <w:color w:val="auto"/>
        </w:rPr>
        <w:t>All necessary consents, approvals and authorizations of all Governmental Authorities and other persons or entities required to be obtained by Licensee in connection with the execution and delivery of this Agreement and the performance of its obligations hereunder have been obtained.</w:t>
      </w:r>
    </w:p>
    <w:p>
      <w:pPr>
        <w:spacing w:after="0" w:line="73"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EXPRESSLY SET FORTH HEREIN, NEITHER AERPIO NOR LICENSEE MAKES ANY REPRESENTATION OR WARRANTY OF ANY KIND, EITHER EXPRESS OR IMPLIED, WITH RESPECT TO ANY AERPIO PATENT RIGHTS, AERPIO KNOW-HOW, PATENT RIGHTS LICENSED TO AERPIO UNDER THE AERPIO IN-LICENSE, INDs LISTED ON EXHIBIT D, THE LICENSED COMPOUND, OR ANY LICENSED PRODUCTS, INCLUDING ANY WARRANTIES OF VALIDITY OR ENFORCEABILITY OF ANY PATENTS, TITLE, QUALITY, MERCHANTABILITY, FITNESS FOR A PARTICULAR PURPOSE, PERFORMANCE OR NONINFRINGEMENT OF ANY THIRD PARTY PATENTS OR OTHER INTELLECTUAL PROPERTY RIGHTS.</w:t>
      </w:r>
    </w:p>
    <w:p>
      <w:pPr>
        <w:spacing w:after="0" w:line="85"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Performance by Affiliates and Subcontractors</w:t>
      </w:r>
      <w:r>
        <w:rPr>
          <w:rFonts w:ascii="Arial" w:cs="Arial" w:eastAsia="Arial" w:hAnsi="Arial"/>
          <w:sz w:val="18"/>
          <w:szCs w:val="18"/>
          <w:color w:val="auto"/>
        </w:rPr>
        <w:t>. Each Party will have the right to utilize the services of its Affiliates or Third Party subcontractors in connection with the performance of the activities for which it is responsible under the Development Plan or the Commercialization Plan; provided, however, that such Party will remain responsible under this Agreement for the performance and compliance of such Affiliates and Third Party subcontractors and will, if required, grant sublicenses to them in compliance with the terms of this Agreement. The Party utilizing such subcontractors also will ensure that such Affiliate or Third Party is subject to obligations protecting and limiting use and disclosure of Confidential Information,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881" w:name="page882"/>
    <w:bookmarkEnd w:id="8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Licensed Compound, Licensed Products, patent rights and Know-How at least to the same extent as set forth under this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83" w:lineRule="auto"/>
        <w:tabs>
          <w:tab w:leader="none" w:pos="1108" w:val="left"/>
        </w:tabs>
        <w:numPr>
          <w:ilvl w:val="1"/>
          <w:numId w:val="809"/>
        </w:numPr>
        <w:rPr>
          <w:rFonts w:ascii="Arial" w:cs="Arial" w:eastAsia="Arial" w:hAnsi="Arial"/>
          <w:sz w:val="16"/>
          <w:szCs w:val="16"/>
          <w:color w:val="auto"/>
        </w:rPr>
      </w:pPr>
      <w:r>
        <w:rPr>
          <w:rFonts w:ascii="Arial" w:cs="Arial" w:eastAsia="Arial" w:hAnsi="Arial"/>
          <w:sz w:val="16"/>
          <w:szCs w:val="16"/>
          <w:i w:val="1"/>
          <w:iCs w:val="1"/>
          <w:color w:val="auto"/>
        </w:rPr>
        <w:t>Licensee Indemnity</w:t>
      </w:r>
      <w:r>
        <w:rPr>
          <w:rFonts w:ascii="Arial" w:cs="Arial" w:eastAsia="Arial" w:hAnsi="Arial"/>
          <w:sz w:val="16"/>
          <w:szCs w:val="16"/>
          <w:color w:val="auto"/>
        </w:rPr>
        <w:t>. Licensee hereby agrees to indemnify, defend and hold Aerpio and its Affiliates, and their respective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agents and consultants, and their respective successors, heirs and assigns and representatives (“</w:t>
      </w:r>
      <w:r>
        <w:rPr>
          <w:rFonts w:ascii="Arial" w:cs="Arial" w:eastAsia="Arial" w:hAnsi="Arial"/>
          <w:sz w:val="16"/>
          <w:szCs w:val="16"/>
          <w:u w:val="single" w:color="auto"/>
          <w:color w:val="auto"/>
        </w:rPr>
        <w:t>Aerpio Indemnitees</w:t>
      </w:r>
      <w:r>
        <w:rPr>
          <w:rFonts w:ascii="Arial" w:cs="Arial" w:eastAsia="Arial" w:hAnsi="Arial"/>
          <w:sz w:val="16"/>
          <w:szCs w:val="16"/>
          <w:color w:val="auto"/>
        </w:rPr>
        <w:t>”) harmless from and against all claims, liability, threatened claims, damages, expenses (including reasonable attorneys’ fees), suits, proceedings, losses or judgments, whether for money or equitable relief, of any kind, including but not limited to death, personal injury, illness, product liability or property damage or the failure to comply with applicable Law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arising from any Third Party claim due to (i) the research, development, commercialization (including promotion, advertising, offering for sale, sale or other disposition), transfer, importation or exportation, manufacture, labeling, handling or storage, or use of, or exposure to, the Licensed Compound or any Licensed Products by or for Licensee or any of its Affiliates, Sublicensees, subcontractors, agents and consultants; or (ii) Licensee’s (or its Affiliates’ and Sublicensees’) use or practice of Aerpio Patent Rights and Aerpio Know-How; or (iii) any material breach of any obligation, representation or warranty of Licensee hereunder; or</w:t>
      </w:r>
    </w:p>
    <w:p>
      <w:pPr>
        <w:spacing w:after="0" w:line="6" w:lineRule="exact"/>
        <w:rPr>
          <w:rFonts w:ascii="Arial" w:cs="Arial" w:eastAsia="Arial" w:hAnsi="Arial"/>
          <w:sz w:val="16"/>
          <w:szCs w:val="16"/>
          <w:color w:val="auto"/>
        </w:rPr>
      </w:pPr>
    </w:p>
    <w:p>
      <w:pPr>
        <w:ind w:left="440" w:firstLine="4"/>
        <w:spacing w:after="0" w:line="254" w:lineRule="auto"/>
        <w:tabs>
          <w:tab w:leader="none" w:pos="745" w:val="left"/>
        </w:tabs>
        <w:numPr>
          <w:ilvl w:val="0"/>
          <w:numId w:val="810"/>
        </w:numPr>
        <w:rPr>
          <w:rFonts w:ascii="Arial" w:cs="Arial" w:eastAsia="Arial" w:hAnsi="Arial"/>
          <w:sz w:val="18"/>
          <w:szCs w:val="18"/>
          <w:color w:val="auto"/>
        </w:rPr>
      </w:pPr>
      <w:r>
        <w:rPr>
          <w:rFonts w:ascii="Arial" w:cs="Arial" w:eastAsia="Arial" w:hAnsi="Arial"/>
          <w:sz w:val="18"/>
          <w:szCs w:val="18"/>
          <w:color w:val="auto"/>
        </w:rPr>
        <w:t>Licensee’s (or its Affiliates’ and Sublicensees’) gross negligence, recklessness or willful misconduct, except, in each case, to the extent that such Losses arise from (A) infringement or misappropriation of patent or other intellectual property rights or know-how by any Aerpio Indemnitees, (B) the gross negligence, recklessness or willful misconduct of any Aerpio Indemnitees, or (C) any material breach of any obligation, representation or warranty of Aerpio hereunder.</w:t>
      </w:r>
    </w:p>
    <w:p>
      <w:pPr>
        <w:spacing w:after="0" w:line="81" w:lineRule="exact"/>
        <w:rPr>
          <w:rFonts w:ascii="Arial" w:cs="Arial" w:eastAsia="Arial" w:hAnsi="Arial"/>
          <w:sz w:val="18"/>
          <w:szCs w:val="18"/>
          <w:color w:val="auto"/>
        </w:rPr>
      </w:pPr>
    </w:p>
    <w:p>
      <w:pPr>
        <w:ind w:left="440" w:right="60" w:firstLine="428"/>
        <w:spacing w:after="0" w:line="270" w:lineRule="auto"/>
        <w:tabs>
          <w:tab w:leader="none" w:pos="1118" w:val="left"/>
        </w:tabs>
        <w:numPr>
          <w:ilvl w:val="1"/>
          <w:numId w:val="810"/>
        </w:numPr>
        <w:rPr>
          <w:rFonts w:ascii="Arial" w:cs="Arial" w:eastAsia="Arial" w:hAnsi="Arial"/>
          <w:sz w:val="17"/>
          <w:szCs w:val="17"/>
          <w:color w:val="auto"/>
        </w:rPr>
      </w:pPr>
      <w:r>
        <w:rPr>
          <w:rFonts w:ascii="Arial" w:cs="Arial" w:eastAsia="Arial" w:hAnsi="Arial"/>
          <w:sz w:val="17"/>
          <w:szCs w:val="17"/>
          <w:i w:val="1"/>
          <w:iCs w:val="1"/>
          <w:color w:val="auto"/>
        </w:rPr>
        <w:t>Aerpio Indemnity</w:t>
      </w:r>
      <w:r>
        <w:rPr>
          <w:rFonts w:ascii="Arial" w:cs="Arial" w:eastAsia="Arial" w:hAnsi="Arial"/>
          <w:sz w:val="17"/>
          <w:szCs w:val="17"/>
          <w:color w:val="auto"/>
        </w:rPr>
        <w:t>. Aerpio hereby agrees to indemnify, defend and hold Licensee and its Affiliates, and their respective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agents and consultants, and their respective successors, heirs and assigns and representatives (“</w:t>
      </w:r>
      <w:r>
        <w:rPr>
          <w:rFonts w:ascii="Arial" w:cs="Arial" w:eastAsia="Arial" w:hAnsi="Arial"/>
          <w:sz w:val="17"/>
          <w:szCs w:val="17"/>
          <w:u w:val="single" w:color="auto"/>
          <w:color w:val="auto"/>
        </w:rPr>
        <w:t>Licensee Indemnitees</w:t>
      </w:r>
      <w:r>
        <w:rPr>
          <w:rFonts w:ascii="Arial" w:cs="Arial" w:eastAsia="Arial" w:hAnsi="Arial"/>
          <w:sz w:val="17"/>
          <w:szCs w:val="17"/>
          <w:color w:val="auto"/>
        </w:rPr>
        <w:t>”) harmless from and against all Losses arising from any Third Party claim due to (i) the research, development, transfer, importation or exportation, manufacture, labeling, handling or storage, or use of, or exposure to, the Licensed Compound or any Licensed Products by or for Aerpio or any of its Affiliates, Sublicensees, subcontractors, agents and consultants before, during, or after the Term; or (ii) Aerpio’s (or its Affiliates’ and Sublicensees’) use or practice of Aerpio Patent Rights and Aerpio Know-How; or (iii) any material breach of any obligation, representation or warranty of Aerpio hereunder; or (iv) Aerpio’s (or its Affiliates’ and licensees’) gross negligence, recklessness or willful misconduct, except, in each case, to the extent that such Losses arise from (A) infringement or misappropriation of patent or other intellectual property rights or know-how by any Licensee Indemnitees, (B) the gross negligence, recklessness or willful misconduct of any Licensee Indemnitees, or (C) any material breach of any obligation, representation or warranty of Licensee hereunder.</w:t>
      </w:r>
    </w:p>
    <w:p>
      <w:pPr>
        <w:spacing w:after="0" w:line="69" w:lineRule="exact"/>
        <w:rPr>
          <w:rFonts w:ascii="Arial" w:cs="Arial" w:eastAsia="Arial" w:hAnsi="Arial"/>
          <w:sz w:val="17"/>
          <w:szCs w:val="17"/>
          <w:color w:val="auto"/>
        </w:rPr>
      </w:pPr>
    </w:p>
    <w:p>
      <w:pPr>
        <w:ind w:left="440" w:right="60" w:firstLine="428"/>
        <w:spacing w:after="0" w:line="288" w:lineRule="auto"/>
        <w:tabs>
          <w:tab w:leader="none" w:pos="1108" w:val="left"/>
        </w:tabs>
        <w:numPr>
          <w:ilvl w:val="1"/>
          <w:numId w:val="810"/>
        </w:numPr>
        <w:rPr>
          <w:rFonts w:ascii="Arial" w:cs="Arial" w:eastAsia="Arial" w:hAnsi="Arial"/>
          <w:sz w:val="16"/>
          <w:szCs w:val="16"/>
          <w:color w:val="auto"/>
        </w:rPr>
      </w:pPr>
      <w:r>
        <w:rPr>
          <w:rFonts w:ascii="Arial" w:cs="Arial" w:eastAsia="Arial" w:hAnsi="Arial"/>
          <w:sz w:val="16"/>
          <w:szCs w:val="16"/>
          <w:i w:val="1"/>
          <w:iCs w:val="1"/>
          <w:color w:val="auto"/>
        </w:rPr>
        <w:t>Indemnification Procedure</w:t>
      </w:r>
      <w:r>
        <w:rPr>
          <w:rFonts w:ascii="Arial" w:cs="Arial" w:eastAsia="Arial" w:hAnsi="Arial"/>
          <w:sz w:val="16"/>
          <w:szCs w:val="16"/>
          <w:color w:val="auto"/>
        </w:rPr>
        <w:t>. A claim to which indemnification applies under Section 9.5(a) or Section 9.5(b) will be referred to herein as</w:t>
      </w:r>
      <w:r>
        <w:rPr>
          <w:rFonts w:ascii="Arial" w:cs="Arial" w:eastAsia="Arial" w:hAnsi="Arial"/>
          <w:sz w:val="16"/>
          <w:szCs w:val="16"/>
          <w:i w:val="1"/>
          <w:iCs w:val="1"/>
          <w:color w:val="auto"/>
        </w:rPr>
        <w:t xml:space="preserve"> </w:t>
      </w:r>
      <w:r>
        <w:rPr>
          <w:rFonts w:ascii="Arial" w:cs="Arial" w:eastAsia="Arial" w:hAnsi="Arial"/>
          <w:sz w:val="16"/>
          <w:szCs w:val="16"/>
          <w:color w:val="auto"/>
        </w:rPr>
        <w:t>a “</w:t>
      </w:r>
      <w:r>
        <w:rPr>
          <w:rFonts w:ascii="Arial" w:cs="Arial" w:eastAsia="Arial" w:hAnsi="Arial"/>
          <w:sz w:val="16"/>
          <w:szCs w:val="16"/>
          <w:u w:val="single" w:color="auto"/>
          <w:color w:val="auto"/>
        </w:rPr>
        <w:t>Claim</w:t>
      </w:r>
      <w:r>
        <w:rPr>
          <w:rFonts w:ascii="Arial" w:cs="Arial" w:eastAsia="Arial" w:hAnsi="Arial"/>
          <w:sz w:val="16"/>
          <w:szCs w:val="16"/>
          <w:color w:val="auto"/>
        </w:rPr>
        <w:t>”. If any person or entity (each, an “</w:t>
      </w:r>
      <w:r>
        <w:rPr>
          <w:rFonts w:ascii="Arial" w:cs="Arial" w:eastAsia="Arial" w:hAnsi="Arial"/>
          <w:sz w:val="16"/>
          <w:szCs w:val="16"/>
          <w:u w:val="single" w:color="auto"/>
          <w:color w:val="auto"/>
        </w:rPr>
        <w:t>Indemnitee</w:t>
      </w:r>
      <w:r>
        <w:rPr>
          <w:rFonts w:ascii="Arial" w:cs="Arial" w:eastAsia="Arial" w:hAnsi="Arial"/>
          <w:sz w:val="16"/>
          <w:szCs w:val="16"/>
          <w:color w:val="auto"/>
        </w:rPr>
        <w:t>”) intends to claim indemnification under this Section 9.5, the Indemnitee will notify the other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in writing promptly upon becoming aware of any claim that may be a Claim (it being understood and agreed, however, that the failure by an Indemnitee to give such notice will not relieve the Indemnitor of its indemnification obligation under this Agreement except and only to the extent that the Indemnitor is actually prejudiced as a result of such failure to give notice). The Indemnitor will have the right to assume and control the defense of such Claim at its own expense with counsel selected by the Indemnitor and reasonably acceptable to the Indemnitee; provided however that an Indemnitee will have the right to retain its own counsel, with the fees and expenses to be paid by the Indemnitee, if representation of such Indemnitee by the counsel retained by the Indemnitor would be inappropriate due to actual or potential differing interests between such Indemnitee and any other Party represented by such counsel in such proceedings. If the Indemnitor does not assume the defense of such Claim as aforesaid, the Indemnitee may defend such Claim but will have no obligation to do so.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882" w:name="page883"/>
    <w:bookmarkEnd w:id="882"/>
    <w:p>
      <w:pPr>
        <w:ind w:left="44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Indemnitee will not settle or compromise any Claim without the prior written consent of the Indemnitor, and the Indemnitor will not settle or compromise any Claim in any manner which would have an adverse effect on the Indemnitee’s interests, without the prior written consent of the Indemnitee, which consent, in each case, will not be unreasonably withheld. The Indemnitee will reasonably cooperate with the Indemnitor at the Indemnitor’s expense and will make available to the Indemnitor all pertinent information under the control of the Indemnitee, which information will be subject to Section 8.</w:t>
      </w:r>
    </w:p>
    <w:p>
      <w:pPr>
        <w:spacing w:after="0" w:line="80" w:lineRule="exact"/>
        <w:rPr>
          <w:sz w:val="20"/>
          <w:szCs w:val="20"/>
          <w:color w:val="auto"/>
        </w:rPr>
      </w:pPr>
    </w:p>
    <w:p>
      <w:pPr>
        <w:ind w:right="80" w:firstLine="881"/>
        <w:spacing w:after="0" w:line="270"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Insurance</w:t>
      </w:r>
      <w:r>
        <w:rPr>
          <w:rFonts w:ascii="Arial" w:cs="Arial" w:eastAsia="Arial" w:hAnsi="Arial"/>
          <w:sz w:val="17"/>
          <w:szCs w:val="17"/>
          <w:color w:val="auto"/>
        </w:rPr>
        <w:t>. Each Party shall maintain in full force and effect during the Term and for a period of [***] after expiration or termination of this Agreement, worker’s compensation and general liability insurance coverage all in such amounts and with such scope of coverages as are customary in the industry for companies of like size and activities, and, in addition, Licensee shall maintain clinical trial liability and product liability insurance coverage in amounts no less that: (a) clinical trials coverage in a minimum amount of $[***] combined single limit per occurrence and in the aggregate and (b) product liability coverage, in a minimum amount of $[***] combined single limit per occurrence and in the aggregate. The policies of insurance required by this Section 9.6 will be issued by an insurance carrier with an A.M. Best rating of “A” or better. Licensee will name Aerpio as an additional insured under such policies. Upon written request, each Party shall provide evidence of such insurance to the other Party and ensure that the other Party will receive no less than thirty (30) days’ notice of any cancelation, non-renewal or material change in such coverage. The coverage limits set forth herein will not create any limitation on Licensee’s liability to Aerpio under this Agreement.</w:t>
      </w:r>
    </w:p>
    <w:p>
      <w:pPr>
        <w:spacing w:after="0" w:line="74" w:lineRule="exact"/>
        <w:rPr>
          <w:sz w:val="20"/>
          <w:szCs w:val="20"/>
          <w:color w:val="auto"/>
        </w:rPr>
      </w:pPr>
    </w:p>
    <w:p>
      <w:pPr>
        <w:ind w:right="660" w:firstLine="881"/>
        <w:spacing w:after="0" w:line="34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Licensee Planned Structure</w:t>
      </w:r>
      <w:r>
        <w:rPr>
          <w:rFonts w:ascii="Arial" w:cs="Arial" w:eastAsia="Arial" w:hAnsi="Arial"/>
          <w:sz w:val="16"/>
          <w:szCs w:val="16"/>
          <w:color w:val="auto"/>
        </w:rPr>
        <w:t>. As of the Effective Date, Licensee does not have any rights to any pharmaceutical products or drug candidates other than the Licensed Compound and Licensed Products and is wholly owned by its ultimate parent Affiliate, Gossamer Bio,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 Termination and Survival</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become effective as of the Effective Date and, unless sooner terminated in accordance with the terms hereof or by mutual written agreement of the Parties, will continue on a country-by-country and Licensed Product-by-Licensed Product basis until the end of the period during which royalties are due hereunder on Net Sales of such Licensed Product in such country (the “</w:t>
      </w:r>
      <w:r>
        <w:rPr>
          <w:rFonts w:ascii="Arial" w:cs="Arial" w:eastAsia="Arial" w:hAnsi="Arial"/>
          <w:sz w:val="18"/>
          <w:szCs w:val="18"/>
          <w:u w:val="single" w:color="auto"/>
          <w:color w:val="auto"/>
        </w:rPr>
        <w:t>Term</w:t>
      </w:r>
      <w:r>
        <w:rPr>
          <w:rFonts w:ascii="Arial" w:cs="Arial" w:eastAsia="Arial" w:hAnsi="Arial"/>
          <w:sz w:val="18"/>
          <w:szCs w:val="18"/>
          <w:color w:val="auto"/>
        </w:rPr>
        <w:t>”). Upon the end of such period for such Licensed Product in such country, the license grant contained in Section 5.1(a) will become perpetual, royalty-free and fully paid up with respect to such Licensed Product in such country.</w:t>
      </w:r>
    </w:p>
    <w:p>
      <w:pPr>
        <w:spacing w:after="0" w:line="80" w:lineRule="exact"/>
        <w:rPr>
          <w:sz w:val="20"/>
          <w:szCs w:val="20"/>
          <w:color w:val="auto"/>
        </w:rPr>
      </w:pPr>
    </w:p>
    <w:p>
      <w:pPr>
        <w:ind w:right="440" w:firstLine="881"/>
        <w:spacing w:after="0" w:line="31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for Safety or Efficacy</w:t>
      </w:r>
      <w:r>
        <w:rPr>
          <w:rFonts w:ascii="Arial" w:cs="Arial" w:eastAsia="Arial" w:hAnsi="Arial"/>
          <w:sz w:val="16"/>
          <w:szCs w:val="16"/>
          <w:color w:val="auto"/>
        </w:rPr>
        <w:t>. Notwithstanding anything contained herein to the contrary, Licensee shall have the right to terminate this Agreement at any time in its sole discretion in the event of potential safety or efficacy concerns affecting the Licensed Compound or Licensed Product. Any termination under this Section 10.2 shall be accomplished by Licensee giving [***] advance written notice to Aerpio.</w:t>
      </w:r>
    </w:p>
    <w:p>
      <w:pPr>
        <w:spacing w:after="0" w:line="39" w:lineRule="exact"/>
        <w:rPr>
          <w:sz w:val="20"/>
          <w:szCs w:val="20"/>
          <w:color w:val="auto"/>
        </w:rPr>
      </w:pPr>
    </w:p>
    <w:p>
      <w:pPr>
        <w:ind w:right="40" w:firstLine="881"/>
        <w:spacing w:after="0" w:line="30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Termination for Material Default</w:t>
      </w:r>
      <w:r>
        <w:rPr>
          <w:rFonts w:ascii="Arial" w:cs="Arial" w:eastAsia="Arial" w:hAnsi="Arial"/>
          <w:sz w:val="16"/>
          <w:szCs w:val="16"/>
          <w:color w:val="auto"/>
        </w:rPr>
        <w:t>. Either Party will have the right to terminate this Agreement upon delivery of written notice to the other Party in the event of any material default in the performance by such other Party of any of such other Party’s material obligations under this Agreement, provided that such default has not been cured [***], or, in the event such default results in a failure to make any material payment when due hereunder, [***], after written notice thereof is given by the non-defaulting Party to the defaulting Party specifying the nature of the alleged default.</w:t>
      </w:r>
    </w:p>
    <w:p>
      <w:pPr>
        <w:spacing w:after="0" w:line="46" w:lineRule="exact"/>
        <w:rPr>
          <w:sz w:val="20"/>
          <w:szCs w:val="20"/>
          <w:color w:val="auto"/>
        </w:rPr>
      </w:pPr>
    </w:p>
    <w:p>
      <w:pPr>
        <w:jc w:val="both"/>
        <w:ind w:right="60" w:firstLine="881"/>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Termination for Insolvency</w:t>
      </w:r>
      <w:r>
        <w:rPr>
          <w:rFonts w:ascii="Arial" w:cs="Arial" w:eastAsia="Arial" w:hAnsi="Arial"/>
          <w:sz w:val="17"/>
          <w:szCs w:val="17"/>
          <w:color w:val="auto"/>
        </w:rPr>
        <w:t>. To the extent permitted by Law, upon the filing or institution of bankruptcy, reorganization, liquidation or receivership proceedings, or upon an assignment of a substantial portion of the assets for the benefit of creditors (a “</w:t>
      </w:r>
      <w:r>
        <w:rPr>
          <w:rFonts w:ascii="Arial" w:cs="Arial" w:eastAsia="Arial" w:hAnsi="Arial"/>
          <w:sz w:val="17"/>
          <w:szCs w:val="17"/>
          <w:u w:val="single" w:color="auto"/>
          <w:color w:val="auto"/>
        </w:rPr>
        <w:t>Bankruptcy Event</w:t>
      </w:r>
      <w:r>
        <w:rPr>
          <w:rFonts w:ascii="Arial" w:cs="Arial" w:eastAsia="Arial" w:hAnsi="Arial"/>
          <w:sz w:val="17"/>
          <w:szCs w:val="17"/>
          <w:color w:val="auto"/>
        </w:rPr>
        <w:t>”) by either Party, Aerpio, in the case of a Bankruptcy Event by Licensee, or Licensee, in the case of a Bankruptcy Event by Aerpio,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6946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0" w:lineRule="exact"/>
        <w:rPr>
          <w:sz w:val="20"/>
          <w:szCs w:val="20"/>
          <w:color w:val="auto"/>
        </w:rPr>
      </w:pPr>
    </w:p>
    <w:p>
      <w:pPr>
        <w:ind w:left="440" w:right="460" w:hanging="436"/>
        <w:spacing w:after="0" w:line="277" w:lineRule="auto"/>
        <w:tabs>
          <w:tab w:leader="none" w:pos="440" w:val="left"/>
        </w:tabs>
        <w:numPr>
          <w:ilvl w:val="0"/>
          <w:numId w:val="81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883" w:name="page884"/>
    <w:bookmarkEnd w:id="88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terminate this Agreement; provided, however, that, in the case of any involuntary bankruptcy proceeding, such right to terminate will only become effective if the subject Party consents to the involuntary bankruptcy or such proceeding is not dismissed within [***] after the filing thereof. All rights and licenses granted under or pursuant to this agreement are and shall otherwise be deemed to be, for purposes of Section 365(n) of the U.S. Bankruptcy Code or any analogous provisions in any other country or jurisdiction, licenses of right to “intellectual property” as defined under Section 101 of the U.S. Bankruptcy Code and Licensee as licensee under this Agreement and Aerpio will retain and may fully exercise all of their rights and elections under the U.S. Bankruptcy Code and foreign equivalents, including that upon commencement of a bankruptcy proceeding by or against such Party undergoing a bankruptcy proceeding (the “</w:t>
      </w:r>
      <w:r>
        <w:rPr>
          <w:rFonts w:ascii="Arial" w:cs="Arial" w:eastAsia="Arial" w:hAnsi="Arial"/>
          <w:sz w:val="16"/>
          <w:szCs w:val="16"/>
          <w:u w:val="single" w:color="auto"/>
          <w:color w:val="auto"/>
        </w:rPr>
        <w:t>Affected Party</w:t>
      </w:r>
      <w:r>
        <w:rPr>
          <w:rFonts w:ascii="Arial" w:cs="Arial" w:eastAsia="Arial" w:hAnsi="Arial"/>
          <w:sz w:val="16"/>
          <w:szCs w:val="16"/>
          <w:color w:val="auto"/>
        </w:rPr>
        <w:t>”) under the U.S. Bankruptcy Code or foreign equivalents, the non-Affected Party will be entitled to complete duplicates of or complete access to, as such non-Affected Party deems appropriate, any Know-How and patent and other intellectual property rights and all embodiments hereof licensed or to be transferred to such non-Affected Party hereunder by the Affected Party. Such Know-How, rights and embodiments will be promptly delivered to the non-Affected Party (a) upon any such commencement of a bankruptcy proceeding and upon written request thereof by the non-Affected Party, unless the Affected Party elects to continue to perform all of its obligations under this Agreement, or</w:t>
      </w:r>
    </w:p>
    <w:p>
      <w:pPr>
        <w:spacing w:after="0" w:line="5" w:lineRule="exact"/>
        <w:rPr>
          <w:sz w:val="20"/>
          <w:szCs w:val="20"/>
          <w:color w:val="auto"/>
        </w:rPr>
      </w:pPr>
    </w:p>
    <w:p>
      <w:pPr>
        <w:ind w:right="500" w:firstLine="4"/>
        <w:spacing w:after="0" w:line="255" w:lineRule="auto"/>
        <w:tabs>
          <w:tab w:leader="none" w:pos="255" w:val="left"/>
        </w:tabs>
        <w:numPr>
          <w:ilvl w:val="0"/>
          <w:numId w:val="812"/>
        </w:numPr>
        <w:rPr>
          <w:rFonts w:ascii="Arial" w:cs="Arial" w:eastAsia="Arial" w:hAnsi="Arial"/>
          <w:sz w:val="18"/>
          <w:szCs w:val="18"/>
          <w:color w:val="auto"/>
        </w:rPr>
      </w:pPr>
      <w:r>
        <w:rPr>
          <w:rFonts w:ascii="Arial" w:cs="Arial" w:eastAsia="Arial" w:hAnsi="Arial"/>
          <w:sz w:val="18"/>
          <w:szCs w:val="18"/>
          <w:color w:val="auto"/>
        </w:rPr>
        <w:t>if not delivered under the foregoing clause (a), upon the rejection of this Agreement by or on behalf of the Affected Party upon written request therefore by the non-Affected Party. This Section 10.4 is without prejudice to any rights the non-Affected Party may have arising under the U.S. Bankruptcy Code, foreign equivalents or other Law.</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Termination by Aerpio for Patent Challenge</w:t>
      </w:r>
      <w:r>
        <w:rPr>
          <w:rFonts w:ascii="Arial" w:cs="Arial" w:eastAsia="Arial" w:hAnsi="Arial"/>
          <w:sz w:val="18"/>
          <w:szCs w:val="18"/>
          <w:color w:val="auto"/>
        </w:rPr>
        <w:t>.</w:t>
      </w:r>
    </w:p>
    <w:p>
      <w:pPr>
        <w:spacing w:after="0" w:line="117" w:lineRule="exact"/>
        <w:rPr>
          <w:sz w:val="20"/>
          <w:szCs w:val="20"/>
          <w:color w:val="auto"/>
        </w:rPr>
      </w:pPr>
    </w:p>
    <w:p>
      <w:pPr>
        <w:ind w:left="440" w:right="80" w:firstLine="428"/>
        <w:spacing w:after="0" w:line="288" w:lineRule="auto"/>
        <w:tabs>
          <w:tab w:leader="none" w:pos="1108" w:val="left"/>
        </w:tabs>
        <w:numPr>
          <w:ilvl w:val="1"/>
          <w:numId w:val="813"/>
        </w:numPr>
        <w:rPr>
          <w:rFonts w:ascii="Arial" w:cs="Arial" w:eastAsia="Arial" w:hAnsi="Arial"/>
          <w:sz w:val="16"/>
          <w:szCs w:val="16"/>
          <w:color w:val="auto"/>
        </w:rPr>
      </w:pPr>
      <w:r>
        <w:rPr>
          <w:rFonts w:ascii="Arial" w:cs="Arial" w:eastAsia="Arial" w:hAnsi="Arial"/>
          <w:sz w:val="16"/>
          <w:szCs w:val="16"/>
          <w:color w:val="auto"/>
        </w:rPr>
        <w:t>Aerpio will have the right to terminate this Agreement upon written notice to Licensee in the event that Licensee or any of its Affiliates or Sublicensees directly or indirectly asserts a Patent Challenge; provided that with respect to any such Patent Challenge by any non-Affiliate Sublicensee, Aerpio will not have the right to terminate this Agreement under this Section 10.5 if Licensee (i) causes such Patent Challenge to be terminated or dismissed or (ii) terminates such Sublicensee’s sublicense to the Aerpio Patent Rights being challenged by the Sublicensee, in each case within [***] of Aerpio’s notice to Licensee under this Section 10.5. In the event Licensee or any of its Affiliates intends to assert a Patent Challenge in any forum, not less than [***] prior to making any such assertion, Licensee will provide to Aerpio a written disclosure of such assertion. Notwithstanding the foregoing, Aerpio’s termination right under this Section 10.5 will not apply to any Affiliate of Licensee that first becomes an Affiliate of Licensee after the Effective Date, where such Affiliate of Licensee was undertaking activities in connection with a Patent Challenge prior to such Affiliate first becoming an Affiliate of Licensee; provided however that Licensee uses commercially reasonable efforts to cause such Patent Challenge to terminate within [***] of such Affiliate first becoming an Affiliate of Licensee.</w:t>
      </w:r>
    </w:p>
    <w:p>
      <w:pPr>
        <w:spacing w:after="0" w:line="61" w:lineRule="exact"/>
        <w:rPr>
          <w:rFonts w:ascii="Arial" w:cs="Arial" w:eastAsia="Arial" w:hAnsi="Arial"/>
          <w:sz w:val="16"/>
          <w:szCs w:val="16"/>
          <w:color w:val="auto"/>
        </w:rPr>
      </w:pPr>
    </w:p>
    <w:p>
      <w:pPr>
        <w:jc w:val="both"/>
        <w:ind w:left="440" w:right="80" w:firstLine="428"/>
        <w:spacing w:after="0" w:line="264" w:lineRule="auto"/>
        <w:tabs>
          <w:tab w:leader="none" w:pos="1118" w:val="left"/>
        </w:tabs>
        <w:numPr>
          <w:ilvl w:val="1"/>
          <w:numId w:val="813"/>
        </w:numPr>
        <w:rPr>
          <w:rFonts w:ascii="Arial" w:cs="Arial" w:eastAsia="Arial" w:hAnsi="Arial"/>
          <w:sz w:val="18"/>
          <w:szCs w:val="18"/>
          <w:color w:val="auto"/>
        </w:rPr>
      </w:pPr>
      <w:r>
        <w:rPr>
          <w:rFonts w:ascii="Arial" w:cs="Arial" w:eastAsia="Arial" w:hAnsi="Arial"/>
          <w:sz w:val="18"/>
          <w:szCs w:val="18"/>
          <w:color w:val="auto"/>
        </w:rPr>
        <w:t>In lieu of exercising its rights to terminate under this Section 10.5, Aerpio may elect upon written notice to increase all of the milestone payments due under Section 6.2 and royalties due under Section 6.3(a) by [***] percent ([***]%) which election will be effective retroactively to the date of the commencement of the Patent Challenge.</w:t>
      </w:r>
    </w:p>
    <w:p>
      <w:pPr>
        <w:spacing w:after="0" w:line="73" w:lineRule="exact"/>
        <w:rPr>
          <w:rFonts w:ascii="Arial" w:cs="Arial" w:eastAsia="Arial" w:hAnsi="Arial"/>
          <w:sz w:val="18"/>
          <w:szCs w:val="18"/>
          <w:color w:val="auto"/>
        </w:rPr>
      </w:pPr>
    </w:p>
    <w:p>
      <w:pPr>
        <w:ind w:left="440" w:right="40" w:firstLine="428"/>
        <w:spacing w:after="0" w:line="302" w:lineRule="auto"/>
        <w:tabs>
          <w:tab w:leader="none" w:pos="1108" w:val="left"/>
        </w:tabs>
        <w:numPr>
          <w:ilvl w:val="1"/>
          <w:numId w:val="813"/>
        </w:numPr>
        <w:rPr>
          <w:rFonts w:ascii="Arial" w:cs="Arial" w:eastAsia="Arial" w:hAnsi="Arial"/>
          <w:sz w:val="16"/>
          <w:szCs w:val="16"/>
          <w:color w:val="auto"/>
        </w:rPr>
      </w:pPr>
      <w:r>
        <w:rPr>
          <w:rFonts w:ascii="Arial" w:cs="Arial" w:eastAsia="Arial" w:hAnsi="Arial"/>
          <w:sz w:val="16"/>
          <w:szCs w:val="16"/>
          <w:color w:val="auto"/>
        </w:rPr>
        <w:t>Licensee acknowledges and agrees that this Section 10.5 is reasonable, valid and necessary for the adequate protection of Aerpio’s interest in and to the Aerpio Patent Rights, and that Aerpio would not have granted to Licensee the licenses under those Aerpio Patent Rights, without this Section 10.5. Aerpio will have the right, at any time in its sole discretion, to strike this Section 10.5 (or any portion thereof) from this Agreement, and Aerpio will have no liability whatsoever as a result of the presence or absence of this Section 10.5 (or any struck portion thereof).</w:t>
      </w:r>
    </w:p>
    <w:p>
      <w:pPr>
        <w:spacing w:after="0" w:line="248" w:lineRule="exact"/>
        <w:rPr>
          <w:rFonts w:ascii="Arial" w:cs="Arial" w:eastAsia="Arial" w:hAnsi="Arial"/>
          <w:sz w:val="16"/>
          <w:szCs w:val="16"/>
          <w:color w:val="auto"/>
        </w:rPr>
      </w:pPr>
    </w:p>
    <w:p>
      <w:pPr>
        <w:ind w:left="440" w:right="440" w:hanging="436"/>
        <w:spacing w:after="0" w:line="277" w:lineRule="auto"/>
        <w:tabs>
          <w:tab w:leader="none" w:pos="440" w:val="left"/>
        </w:tabs>
        <w:numPr>
          <w:ilvl w:val="0"/>
          <w:numId w:val="81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884" w:name="page885"/>
    <w:bookmarkEnd w:id="88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55" w:lineRule="auto"/>
        <w:tabs>
          <w:tab w:leader="none" w:pos="1108" w:val="left"/>
        </w:tabs>
        <w:numPr>
          <w:ilvl w:val="1"/>
          <w:numId w:val="814"/>
        </w:numPr>
        <w:rPr>
          <w:rFonts w:ascii="Arial" w:cs="Arial" w:eastAsia="Arial" w:hAnsi="Arial"/>
          <w:sz w:val="18"/>
          <w:szCs w:val="18"/>
          <w:color w:val="auto"/>
        </w:rPr>
      </w:pPr>
      <w:r>
        <w:rPr>
          <w:rFonts w:ascii="Arial" w:cs="Arial" w:eastAsia="Arial" w:hAnsi="Arial"/>
          <w:sz w:val="18"/>
          <w:szCs w:val="18"/>
          <w:color w:val="auto"/>
        </w:rPr>
        <w:t>If this Agreement terminates for any reason (other than expiration), except as may otherwise be agreed in writing by the Parties, Licensee will be responsible at its own expense for an orderly wind-down, in accordance with accepted pharmaceutical industry norms and ethical practices, of any then on-going clinical studies hereunder for which it has responsibility. Licensee will consider in good faith any reasonable request from Aerpio that Licensee continue, at Aerpio’s cost and expense, any ongoing clinical studies at the time of termination, except if safety issues would put patients at risk. Aerpio reserves the right to continue any ongoing clinical studies for any Licensed Products at its own expense at such time as Licensee is no longer responsible therefor.</w:t>
      </w:r>
    </w:p>
    <w:p>
      <w:pPr>
        <w:spacing w:after="0" w:line="85" w:lineRule="exact"/>
        <w:rPr>
          <w:rFonts w:ascii="Arial" w:cs="Arial" w:eastAsia="Arial" w:hAnsi="Arial"/>
          <w:sz w:val="18"/>
          <w:szCs w:val="18"/>
          <w:color w:val="auto"/>
        </w:rPr>
      </w:pPr>
    </w:p>
    <w:p>
      <w:pPr>
        <w:ind w:left="440" w:right="180" w:firstLine="428"/>
        <w:spacing w:after="0" w:line="264" w:lineRule="auto"/>
        <w:tabs>
          <w:tab w:leader="none" w:pos="1118" w:val="left"/>
        </w:tabs>
        <w:numPr>
          <w:ilvl w:val="1"/>
          <w:numId w:val="814"/>
        </w:numPr>
        <w:rPr>
          <w:rFonts w:ascii="Arial" w:cs="Arial" w:eastAsia="Arial" w:hAnsi="Arial"/>
          <w:sz w:val="18"/>
          <w:szCs w:val="18"/>
          <w:color w:val="auto"/>
        </w:rPr>
      </w:pPr>
      <w:r>
        <w:rPr>
          <w:rFonts w:ascii="Arial" w:cs="Arial" w:eastAsia="Arial" w:hAnsi="Arial"/>
          <w:sz w:val="18"/>
          <w:szCs w:val="18"/>
          <w:color w:val="auto"/>
        </w:rPr>
        <w:t>If this Agreement terminates for any reason (other than expiration), Licensee and its Affiliates and Sublicensees will have [***] thereafter in which to dispose of any inventory of Licensed Compound or Licensed Product, subject to the payment to Aerpio of any royalties or other amounts due hereunder thereon.</w:t>
      </w:r>
    </w:p>
    <w:p>
      <w:pPr>
        <w:spacing w:after="0" w:line="73" w:lineRule="exact"/>
        <w:rPr>
          <w:rFonts w:ascii="Arial" w:cs="Arial" w:eastAsia="Arial" w:hAnsi="Arial"/>
          <w:sz w:val="18"/>
          <w:szCs w:val="18"/>
          <w:color w:val="auto"/>
        </w:rPr>
      </w:pPr>
    </w:p>
    <w:p>
      <w:pPr>
        <w:ind w:left="440" w:right="20" w:firstLine="428"/>
        <w:spacing w:after="0" w:line="284" w:lineRule="auto"/>
        <w:tabs>
          <w:tab w:leader="none" w:pos="1108" w:val="left"/>
        </w:tabs>
        <w:numPr>
          <w:ilvl w:val="1"/>
          <w:numId w:val="814"/>
        </w:numPr>
        <w:rPr>
          <w:rFonts w:ascii="Arial" w:cs="Arial" w:eastAsia="Arial" w:hAnsi="Arial"/>
          <w:sz w:val="16"/>
          <w:szCs w:val="16"/>
          <w:color w:val="auto"/>
        </w:rPr>
      </w:pPr>
      <w:r>
        <w:rPr>
          <w:rFonts w:ascii="Arial" w:cs="Arial" w:eastAsia="Arial" w:hAnsi="Arial"/>
          <w:sz w:val="16"/>
          <w:szCs w:val="16"/>
          <w:color w:val="auto"/>
        </w:rPr>
        <w:t>If this Agreement terminates for any reason (other than expiration), all licenses and other rights granted by Aerpio to Licensee hereunder will automatically terminate (including any sublicenses to Licensee or any Sublicensees under the Aerpio In-License), and Licensee and its Affiliates and Sublicensees will have no further rights to practice or reference any Aerpio Patent Rights, Aerpio Know-How or INDs listed on Exhibit D (except as expressly permitted by Sections 10.6(a) and 10.6(b)). Each Party will promptly return to the other Party (or as directed by such other Party destroy and certify to such other Party in writing as to such destruction) all of such other Party’s Confidential Information that are in such Party’s (or its Affiliates’ or in the case of Licensee’s Sublicensees’) possession or control, save that such Party will have the right to retain</w:t>
      </w:r>
    </w:p>
    <w:p>
      <w:pPr>
        <w:spacing w:after="0" w:line="4" w:lineRule="exact"/>
        <w:rPr>
          <w:rFonts w:ascii="Arial" w:cs="Arial" w:eastAsia="Arial" w:hAnsi="Arial"/>
          <w:sz w:val="16"/>
          <w:szCs w:val="16"/>
          <w:color w:val="auto"/>
        </w:rPr>
      </w:pPr>
    </w:p>
    <w:p>
      <w:pPr>
        <w:jc w:val="both"/>
        <w:ind w:left="440" w:right="140" w:firstLine="4"/>
        <w:spacing w:after="0" w:line="255" w:lineRule="auto"/>
        <w:tabs>
          <w:tab w:leader="none" w:pos="655" w:val="left"/>
        </w:tabs>
        <w:numPr>
          <w:ilvl w:val="0"/>
          <w:numId w:val="815"/>
        </w:numPr>
        <w:rPr>
          <w:rFonts w:ascii="Arial" w:cs="Arial" w:eastAsia="Arial" w:hAnsi="Arial"/>
          <w:sz w:val="18"/>
          <w:szCs w:val="18"/>
          <w:color w:val="auto"/>
        </w:rPr>
      </w:pPr>
      <w:r>
        <w:rPr>
          <w:rFonts w:ascii="Arial" w:cs="Arial" w:eastAsia="Arial" w:hAnsi="Arial"/>
          <w:sz w:val="18"/>
          <w:szCs w:val="18"/>
          <w:color w:val="auto"/>
        </w:rPr>
        <w:t>one (1) copy of intangible Confidential Information of such other Party for legal purposes, and (ii) any of the foregoing that such Party retains any license or other right hereunder. Licensee and its Affiliates and Sublicensees will not continue to develop, manufacture or commercialize the Licensed Compound or any Licensed Products.</w:t>
      </w:r>
    </w:p>
    <w:p>
      <w:pPr>
        <w:spacing w:after="0" w:line="82" w:lineRule="exact"/>
        <w:rPr>
          <w:rFonts w:ascii="Arial" w:cs="Arial" w:eastAsia="Arial" w:hAnsi="Arial"/>
          <w:sz w:val="18"/>
          <w:szCs w:val="18"/>
          <w:color w:val="auto"/>
        </w:rPr>
      </w:pPr>
    </w:p>
    <w:p>
      <w:pPr>
        <w:jc w:val="both"/>
        <w:ind w:left="440" w:right="180" w:firstLine="428"/>
        <w:spacing w:after="0" w:line="259" w:lineRule="auto"/>
        <w:tabs>
          <w:tab w:leader="none" w:pos="1118" w:val="left"/>
        </w:tabs>
        <w:numPr>
          <w:ilvl w:val="1"/>
          <w:numId w:val="815"/>
        </w:numPr>
        <w:rPr>
          <w:rFonts w:ascii="Arial" w:cs="Arial" w:eastAsia="Arial" w:hAnsi="Arial"/>
          <w:sz w:val="18"/>
          <w:szCs w:val="18"/>
          <w:color w:val="auto"/>
        </w:rPr>
      </w:pPr>
      <w:r>
        <w:rPr>
          <w:rFonts w:ascii="Arial" w:cs="Arial" w:eastAsia="Arial" w:hAnsi="Arial"/>
          <w:sz w:val="18"/>
          <w:szCs w:val="18"/>
          <w:color w:val="auto"/>
        </w:rPr>
        <w:t>If this Agreement is terminated by Licensee pursuant to Section 10.2 or by Aerpio pursuant to Sections 10.3 or 10.4 or 10.5 (but solely with respect to a Patent Challenge of Aerpio Core Patent Rights), [***] Licensee will provide to Aerpio, at [***] cost and expense, one (1) copy of the foregoing (including all other documents necessary to [***] (including all completed and ongoing clinical studies)) and all documents contained in or referenced in any such items [***].</w:t>
      </w:r>
    </w:p>
    <w:p>
      <w:pPr>
        <w:spacing w:after="0" w:line="78" w:lineRule="exact"/>
        <w:rPr>
          <w:rFonts w:ascii="Arial" w:cs="Arial" w:eastAsia="Arial" w:hAnsi="Arial"/>
          <w:sz w:val="18"/>
          <w:szCs w:val="18"/>
          <w:color w:val="auto"/>
        </w:rPr>
      </w:pPr>
    </w:p>
    <w:p>
      <w:pPr>
        <w:ind w:left="440" w:right="220" w:firstLine="428"/>
        <w:spacing w:after="0" w:line="277" w:lineRule="auto"/>
        <w:tabs>
          <w:tab w:leader="none" w:pos="1108" w:val="left"/>
        </w:tabs>
        <w:numPr>
          <w:ilvl w:val="1"/>
          <w:numId w:val="815"/>
        </w:numPr>
        <w:rPr>
          <w:rFonts w:ascii="Arial" w:cs="Arial" w:eastAsia="Arial" w:hAnsi="Arial"/>
          <w:sz w:val="18"/>
          <w:szCs w:val="18"/>
          <w:color w:val="auto"/>
        </w:rPr>
      </w:pPr>
      <w:r>
        <w:rPr>
          <w:rFonts w:ascii="Arial" w:cs="Arial" w:eastAsia="Arial" w:hAnsi="Arial"/>
          <w:sz w:val="18"/>
          <w:szCs w:val="18"/>
          <w:color w:val="auto"/>
        </w:rPr>
        <w:t>If this Agreement is terminated by Licensee pursuant to Section 10.2 or by Aerpio pursuant to Sections 10.3 or 10.4 or 10.5 (but solely with respect to a Patent Challenge of Aerpio Core Patent Rights), [***].</w:t>
      </w:r>
    </w:p>
    <w:p>
      <w:pPr>
        <w:spacing w:after="0" w:line="62" w:lineRule="exact"/>
        <w:rPr>
          <w:rFonts w:ascii="Arial" w:cs="Arial" w:eastAsia="Arial" w:hAnsi="Arial"/>
          <w:sz w:val="18"/>
          <w:szCs w:val="18"/>
          <w:color w:val="auto"/>
        </w:rPr>
      </w:pPr>
    </w:p>
    <w:p>
      <w:pPr>
        <w:ind w:left="1100" w:hanging="232"/>
        <w:spacing w:after="0"/>
        <w:tabs>
          <w:tab w:leader="none" w:pos="110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If this Agreement terminates for any reason (other than expiration), [***].</w:t>
      </w:r>
    </w:p>
    <w:p>
      <w:pPr>
        <w:spacing w:after="0" w:line="117" w:lineRule="exact"/>
        <w:rPr>
          <w:rFonts w:ascii="Arial" w:cs="Arial" w:eastAsia="Arial" w:hAnsi="Arial"/>
          <w:sz w:val="18"/>
          <w:szCs w:val="18"/>
          <w:color w:val="auto"/>
        </w:rPr>
      </w:pPr>
    </w:p>
    <w:p>
      <w:pPr>
        <w:ind w:left="440" w:right="180" w:firstLine="428"/>
        <w:spacing w:after="0" w:line="264" w:lineRule="auto"/>
        <w:tabs>
          <w:tab w:leader="none" w:pos="1118"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As compensation for the rights and licenses of Aerpio set forth in Sections 10.6(d) and 10.6(e), if before termination of this Agreement by Licensee pursuant to Section 10.2 or by Aerpio pursuant to Sections 10.3 or 10.4 or 10.5 (but solely with respect to a Patent Challenge of Aerpio Core Patent Rights) [***].</w:t>
      </w:r>
    </w:p>
    <w:p>
      <w:pPr>
        <w:spacing w:after="0" w:line="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the termination consequences set forth in Section 10.6, the following provisions will survive expiration or termination of this Agreement for any reason: Section 1, Section 5.3, Section 6 (but only with respect to payments accrued before any such expiration or termination), Section 8, Sections 9.3, 9.4, 9.5 and 9.6, Section 10 and Section 11. Expiration or termination of this Agreement for any reason will not relieve the Parties of any liability or obligation which accrued hereunder prior to the effective date of such termination or expiration, nor preclude either Party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6946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3" w:lineRule="exact"/>
        <w:rPr>
          <w:sz w:val="20"/>
          <w:szCs w:val="20"/>
          <w:color w:val="auto"/>
        </w:rPr>
      </w:pPr>
    </w:p>
    <w:p>
      <w:pPr>
        <w:ind w:left="440" w:right="460" w:hanging="436"/>
        <w:spacing w:after="0" w:line="277" w:lineRule="auto"/>
        <w:tabs>
          <w:tab w:leader="none" w:pos="440" w:val="left"/>
        </w:tabs>
        <w:numPr>
          <w:ilvl w:val="0"/>
          <w:numId w:val="81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885" w:name="page886"/>
    <w:bookmarkEnd w:id="885"/>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70" w:lineRule="auto"/>
        <w:tabs>
          <w:tab w:leader="none" w:pos="1108" w:val="left"/>
        </w:tabs>
        <w:numPr>
          <w:ilvl w:val="0"/>
          <w:numId w:val="817"/>
        </w:numPr>
        <w:rPr>
          <w:rFonts w:ascii="Arial" w:cs="Arial" w:eastAsia="Arial" w:hAnsi="Arial"/>
          <w:sz w:val="17"/>
          <w:szCs w:val="17"/>
          <w:color w:val="auto"/>
        </w:rPr>
      </w:pPr>
      <w:r>
        <w:rPr>
          <w:rFonts w:ascii="Arial" w:cs="Arial" w:eastAsia="Arial" w:hAnsi="Arial"/>
          <w:sz w:val="17"/>
          <w:szCs w:val="17"/>
          <w:color w:val="auto"/>
        </w:rPr>
        <w:t>This Agreement may not be assigned by either Party, nor may either Party delegate its obligations or otherwise transfer licenses or other rights created by this Agreement, except as expressly permitted hereunder or otherwise without the prior written consent of the other Party, which consent will not be unreasonably withheld; provided that without consent (i) Licensee may assign this Agreement in full to (x) an Affiliate of Licensee, provided that Licensee will remain fully liable for the performance of its obligations under this Agreement by such Affiliate, and further that such assignee Affiliate will assign this Agreement in full back to Licensee at such time as such assignee Affiliate is no longer an Affiliate of Licensee, or (y) its successor in connection with a Change of Control of Licensee, and (ii) Aerpio may assign this Agreement in full to (m) an Affiliate of Aerpio, provided that Aerpio will remain fully liable for the performance of its obligations under this Agreement by such Affiliate, and further that such assignee Affiliate will assign this Agreement in full back to Aerpio at such time as such assignee Affiliate is no longer an Affiliate of Aerpio, or (n) its successor in connection with a Change of Control of Aerpio. Each Party will provide prompt written notice to the other Party of any such permitted assignment.</w:t>
      </w:r>
    </w:p>
    <w:p>
      <w:pPr>
        <w:spacing w:after="0" w:line="69" w:lineRule="exact"/>
        <w:rPr>
          <w:rFonts w:ascii="Arial" w:cs="Arial" w:eastAsia="Arial" w:hAnsi="Arial"/>
          <w:sz w:val="17"/>
          <w:szCs w:val="17"/>
          <w:color w:val="auto"/>
        </w:rPr>
      </w:pPr>
    </w:p>
    <w:p>
      <w:pPr>
        <w:jc w:val="both"/>
        <w:ind w:left="440" w:right="80" w:firstLine="428"/>
        <w:spacing w:after="0" w:line="259" w:lineRule="auto"/>
        <w:tabs>
          <w:tab w:leader="none" w:pos="1118" w:val="left"/>
        </w:tabs>
        <w:numPr>
          <w:ilvl w:val="0"/>
          <w:numId w:val="81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Aerpio may sell, transfer, lend or assign its rights to any Third Party(ies) to receive payments under Section 6, and Aerpio may disclose Confidential Information of Licensee to one or more Third Parties in connection with any such assignment to enable the Third Party(ies) to evaluate and monitor any such purchase or loan; provided that Licensee shall only be obligated to send payments due hereunder to not more than two entities.</w:t>
      </w:r>
    </w:p>
    <w:p>
      <w:pPr>
        <w:spacing w:after="0" w:line="78" w:lineRule="exact"/>
        <w:rPr>
          <w:rFonts w:ascii="Arial" w:cs="Arial" w:eastAsia="Arial" w:hAnsi="Arial"/>
          <w:sz w:val="18"/>
          <w:szCs w:val="18"/>
          <w:color w:val="auto"/>
        </w:rPr>
      </w:pPr>
    </w:p>
    <w:p>
      <w:pPr>
        <w:ind w:left="440" w:right="500" w:firstLine="428"/>
        <w:spacing w:after="0" w:line="342" w:lineRule="auto"/>
        <w:tabs>
          <w:tab w:leader="none" w:pos="1108" w:val="left"/>
        </w:tabs>
        <w:numPr>
          <w:ilvl w:val="0"/>
          <w:numId w:val="817"/>
        </w:numPr>
        <w:rPr>
          <w:rFonts w:ascii="Arial" w:cs="Arial" w:eastAsia="Arial" w:hAnsi="Arial"/>
          <w:sz w:val="16"/>
          <w:szCs w:val="16"/>
          <w:color w:val="auto"/>
        </w:rPr>
      </w:pPr>
      <w:r>
        <w:rPr>
          <w:rFonts w:ascii="Arial" w:cs="Arial" w:eastAsia="Arial" w:hAnsi="Arial"/>
          <w:sz w:val="16"/>
          <w:szCs w:val="16"/>
          <w:color w:val="auto"/>
        </w:rPr>
        <w:t>Any permitted assignee will assume all assigned obligations of its assignor under this Agreement. The terms and conditions of this Agreement will inure to the benefit of, and be binding upon, the legal representatives, successors and permitted assigns of the Parties.</w:t>
      </w:r>
    </w:p>
    <w:p>
      <w:pPr>
        <w:spacing w:after="0" w:line="16"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Limited Right to Set-Off</w:t>
      </w:r>
      <w:r>
        <w:rPr>
          <w:rFonts w:ascii="Arial" w:cs="Arial" w:eastAsia="Arial" w:hAnsi="Arial"/>
          <w:sz w:val="18"/>
          <w:szCs w:val="18"/>
          <w:color w:val="auto"/>
        </w:rPr>
        <w:t>. Without limiting Licensee’s rights under law or in equity, Licensee may exercise a right of set-off against any and all amounts paid by Licensee pursuant to Section 9.1(k) to cure a breach of the Aerpio In-License by Aerpio.</w:t>
      </w:r>
    </w:p>
    <w:p>
      <w:pPr>
        <w:spacing w:after="0" w:line="62" w:lineRule="exact"/>
        <w:rPr>
          <w:sz w:val="20"/>
          <w:szCs w:val="20"/>
          <w:color w:val="auto"/>
        </w:rPr>
      </w:pPr>
    </w:p>
    <w:p>
      <w:pPr>
        <w:ind w:right="100" w:firstLine="881"/>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Change of Control of Aerpio</w:t>
      </w:r>
      <w:r>
        <w:rPr>
          <w:rFonts w:ascii="Arial" w:cs="Arial" w:eastAsia="Arial" w:hAnsi="Arial"/>
          <w:sz w:val="17"/>
          <w:szCs w:val="17"/>
          <w:color w:val="auto"/>
        </w:rPr>
        <w:t>. Notwithstanding anything to the contrary herein: (a) no patent rights, Know-How or other intellectual property rights not Controlled by Aerpio or any of its Affiliates before a Change of Control of Aerpio will be deemed Controlled for purposes of this Agreement after such Change of Control, provided that any patent right that claims priority, directly or indirectly, to any other patent right first Controlled by Aerpio or any of its Affiliates before such Change of Control will be deemed Controlled by Aerpio thereafter no matter when such patent right is filed or issued, and (b) only those assets (including those items described in clause (a) above) of Aerpio and its Affiliates (before a Change of Control) that are in existence at the time of Change of Control will be subject to Section 5.4.</w:t>
      </w:r>
    </w:p>
    <w:p>
      <w:pPr>
        <w:spacing w:after="0" w:line="70"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is held invalid, illegal or unenforceable in any respect, the validity, legality and enforceability of the remaining provisions contained herein will not in any way be affected or impaired thereby, unless the absence of the invalidated provision(s) adversely affects the rights of the Parties. The Parties will in such an instance use their reasonable best efforts to replace the invalid, illegal or unenforceable provision(s) with valid, legal and enforceable provision(s) which, insofar as practical, implement the purposes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886" w:name="page887"/>
    <w:bookmarkEnd w:id="886"/>
    <w:p>
      <w:pPr>
        <w:ind w:right="4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11.5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All rights and remedies of the Parties hereunder will be cumulative and in addition to all other rights and remedies provided hereunder or available by agreement, at Law or otherwise.</w:t>
      </w:r>
    </w:p>
    <w:p>
      <w:pPr>
        <w:spacing w:after="0" w:line="62"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Amendment; Waiver</w:t>
      </w:r>
      <w:r>
        <w:rPr>
          <w:rFonts w:ascii="Arial" w:cs="Arial" w:eastAsia="Arial" w:hAnsi="Arial"/>
          <w:sz w:val="16"/>
          <w:szCs w:val="16"/>
          <w:color w:val="auto"/>
        </w:rPr>
        <w:t>. This Agreement may not be modified, amended or rescinded, in whole or part, except by a written instrument signed by the Parties; provided that any unilateral undertaking or waiver made by one Party in favor of the other will be enforceable if undertaken in a writing signed by the Party to be charged with the undertaking or waiver. No delay or omission by either Party hereto in exercising any right or power occurring upon any noncompliance or default by the other Party with respect to any of the terms of this Agreement will impair any such right or power or be construed to be a waiver thereof. A waiver by either of the Parties of any of the covenants, conditions or agreements to be performed by the other will not be construed to be a waiver of any succeeding breach thereof or of any other covenant, condition or agreement herein contained.</w:t>
      </w:r>
    </w:p>
    <w:p>
      <w:pPr>
        <w:spacing w:after="0" w:line="57" w:lineRule="exact"/>
        <w:rPr>
          <w:sz w:val="20"/>
          <w:szCs w:val="20"/>
          <w:color w:val="auto"/>
        </w:rPr>
      </w:pPr>
    </w:p>
    <w:p>
      <w:pPr>
        <w:ind w:right="360" w:firstLine="881"/>
        <w:spacing w:after="0" w:line="28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which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ectPr>
          <w:pgSz w:w="11900" w:h="16838" w:orient="portrait"/>
          <w:cols w:equalWidth="0" w:num="1">
            <w:col w:w="10880"/>
          </w:cols>
          <w:pgMar w:left="440" w:top="274" w:right="5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If to Licensee, to: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GB004,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3013 Science Park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2480" w:space="720"/>
            <w:col w:w="7680"/>
          </w:cols>
          <w:pgMar w:left="440" w:top="27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With a required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Steven T. Chinowsky, Esq.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(858) 523-5450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steven.chinowsky@lw.com</w:t>
      </w:r>
    </w:p>
    <w:p>
      <w:pPr>
        <w:spacing w:after="0" w:line="200" w:lineRule="exact"/>
        <w:rPr>
          <w:sz w:val="20"/>
          <w:szCs w:val="20"/>
          <w:color w:val="auto"/>
        </w:rPr>
      </w:pPr>
    </w:p>
    <w:p>
      <w:pPr>
        <w:sectPr>
          <w:pgSz w:w="11900" w:h="16838" w:orient="portrait"/>
          <w:cols w:equalWidth="0" w:num="2">
            <w:col w:w="2480" w:space="720"/>
            <w:col w:w="7680"/>
          </w:cols>
          <w:pgMar w:left="440" w:top="27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If to Aerpio,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Aerpio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9987 Carver Road, Suite 420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200" w:lineRule="exact"/>
        <w:rPr>
          <w:sz w:val="20"/>
          <w:szCs w:val="20"/>
          <w:color w:val="auto"/>
        </w:rPr>
      </w:pPr>
    </w:p>
    <w:p>
      <w:pPr>
        <w:sectPr>
          <w:pgSz w:w="11900" w:h="16838" w:orient="portrait"/>
          <w:cols w:equalWidth="0" w:num="2">
            <w:col w:w="2480" w:space="720"/>
            <w:col w:w="7680"/>
          </w:cols>
          <w:pgMar w:left="440" w:top="274" w:right="5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required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Kingsley L. Taft, Esq.</w:t>
      </w:r>
    </w:p>
    <w:p>
      <w:pPr>
        <w:spacing w:after="0" w:line="200" w:lineRule="exact"/>
        <w:rPr>
          <w:sz w:val="20"/>
          <w:szCs w:val="20"/>
          <w:color w:val="auto"/>
        </w:rPr>
      </w:pPr>
    </w:p>
    <w:p>
      <w:pPr>
        <w:sectPr>
          <w:pgSz w:w="11900" w:h="16838" w:orient="portrait"/>
          <w:cols w:equalWidth="0" w:num="2">
            <w:col w:w="2480" w:space="720"/>
            <w:col w:w="7680"/>
          </w:cols>
          <w:pgMar w:left="440" w:top="274" w:right="579" w:bottom="1440" w:gutter="0" w:footer="0" w:header="0"/>
          <w:type w:val="continuous"/>
        </w:sectPr>
      </w:pPr>
    </w:p>
    <w:p>
      <w:pPr>
        <w:spacing w:after="0" w:line="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or to such address as each Party may hereafter designate by notice to the other Party. A notice will be deemed to have been given on the date it is received by all required recipients for the noticed Party.</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jc w:val="both"/>
        <w:ind w:left="440" w:right="60" w:firstLine="428"/>
        <w:spacing w:after="0" w:line="259" w:lineRule="auto"/>
        <w:tabs>
          <w:tab w:leader="none" w:pos="1108" w:val="left"/>
        </w:tabs>
        <w:numPr>
          <w:ilvl w:val="1"/>
          <w:numId w:val="818"/>
        </w:numPr>
        <w:rPr>
          <w:rFonts w:ascii="Arial" w:cs="Arial" w:eastAsia="Arial" w:hAnsi="Arial"/>
          <w:sz w:val="18"/>
          <w:szCs w:val="18"/>
          <w:color w:val="auto"/>
        </w:rPr>
      </w:pPr>
      <w:r>
        <w:rPr>
          <w:rFonts w:ascii="Arial" w:cs="Arial" w:eastAsia="Arial" w:hAnsi="Arial"/>
          <w:sz w:val="18"/>
          <w:szCs w:val="18"/>
          <w:color w:val="auto"/>
        </w:rPr>
        <w:t>In the event of any dispute between the Parties under this Agreement, the Parties will first attempt in good faith to resolve such dispute by negotiation and consultation between themselves. In the event that such dispute is not resolved on an informal basis within [***] days, either Party may, by written notice to the other, have such dispute referred to a senior executive of each Party designated by such Party’s Executive Officer, which senior executives will meet in person if requested</w:t>
      </w:r>
    </w:p>
    <w:p>
      <w:pPr>
        <w:spacing w:after="0" w:line="281" w:lineRule="exact"/>
        <w:rPr>
          <w:rFonts w:ascii="Arial" w:cs="Arial" w:eastAsia="Arial" w:hAnsi="Arial"/>
          <w:sz w:val="18"/>
          <w:szCs w:val="18"/>
          <w:color w:val="auto"/>
        </w:rPr>
      </w:pPr>
    </w:p>
    <w:p>
      <w:pPr>
        <w:ind w:left="440" w:right="320" w:hanging="436"/>
        <w:spacing w:after="0" w:line="277" w:lineRule="auto"/>
        <w:tabs>
          <w:tab w:leader="none" w:pos="440" w:val="left"/>
        </w:tabs>
        <w:numPr>
          <w:ilvl w:val="0"/>
          <w:numId w:val="81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80"/>
          </w:cols>
          <w:pgMar w:left="440" w:top="274" w:right="579" w:bottom="1440" w:gutter="0" w:footer="0" w:header="0"/>
          <w:type w:val="continuous"/>
        </w:sectPr>
      </w:pPr>
    </w:p>
    <w:bookmarkStart w:id="887" w:name="page888"/>
    <w:bookmarkEnd w:id="887"/>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either such senior executive and attempt in good faith to resolve such dispute by negotiation and consultation for a [***] day period following receipt of such written notice. If such senior executives do not resolve such dispute within such [***] day period, either Party may refer the matter to the Parties’ Executive Officers for attempted resolution, whereupon the Parties’ Executive Officers will meet in person, if requested by either such Executive Officer and attempt in good faith to resolve such dispute by negotiation and consultation for a thirty (30) day period following such referral.</w:t>
      </w:r>
    </w:p>
    <w:p>
      <w:pPr>
        <w:spacing w:after="0" w:line="80" w:lineRule="exact"/>
        <w:rPr>
          <w:sz w:val="20"/>
          <w:szCs w:val="20"/>
          <w:color w:val="auto"/>
        </w:rPr>
      </w:pPr>
    </w:p>
    <w:p>
      <w:pPr>
        <w:ind w:left="440" w:firstLine="428"/>
        <w:spacing w:after="0" w:line="268" w:lineRule="auto"/>
        <w:tabs>
          <w:tab w:leader="none" w:pos="1118" w:val="left"/>
        </w:tabs>
        <w:numPr>
          <w:ilvl w:val="0"/>
          <w:numId w:val="819"/>
        </w:numPr>
        <w:rPr>
          <w:rFonts w:ascii="Arial" w:cs="Arial" w:eastAsia="Arial" w:hAnsi="Arial"/>
          <w:sz w:val="17"/>
          <w:szCs w:val="17"/>
          <w:color w:val="auto"/>
        </w:rPr>
      </w:pPr>
      <w:r>
        <w:rPr>
          <w:rFonts w:ascii="Arial" w:cs="Arial" w:eastAsia="Arial" w:hAnsi="Arial"/>
          <w:sz w:val="17"/>
          <w:szCs w:val="17"/>
          <w:color w:val="auto"/>
        </w:rPr>
        <w:t>Subject to Section 2.2(e)(ii), if the Executive Officers do not resolve such dispute within such [***] day period, either Party may at any time thereafter submit such dispute to be finally settled by arbitration administered in accordance with the Commercial Arbitration Rules of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in effect at the time of submission. The arbitration will be heard and determined by three (3) arbitrators. Licensee and Aerpio will each appoint one (1) arbitrator and the third arbitrator will be selected by the two (2) Party-appointed arbitrators, or, failing agreement within [***] days following the date of receipt by the respondent of the claim, by the AAA. Such arbitration will take place in New York, NY. The award shall be made within [***] months of the filing of the notice of arbitration, and the arbitrator(s) shall agree to comply with this schedule before accepting appointment. However, this time limit may be extended by agreement of the Parties or by the arbitrator(s) if necessary. The arbitration award so given will be a final and binding determination of the dispute, and will be fully enforceable in any court of competent jurisdiction. Costs of arbitration are to be divided by the Parties in the following manner: Licensee will pay for the arbitrator it chooses, Aerpio will pay for the arbitrator it chooses, and the costs of the third arbitrator will be divided equally between the Parties. Except in a proceeding to enforce the results of the arbitration or as otherwise required by Law, neither Party nor any arbitrator may disclose the existence, content or results of any arbitration hereunder without the prior written consent of both Parties. Notwithstanding this Section 11.8(b), any dispute between the Parties under this Agreement regarding the scope, validity, enforceability of infringement of any patent rights will subject to Section 11.8(a) and thereafter not this Section 11.8(b) but rather any court or other forum.</w:t>
      </w:r>
    </w:p>
    <w:p>
      <w:pPr>
        <w:spacing w:after="0" w:line="77" w:lineRule="exact"/>
        <w:rPr>
          <w:rFonts w:ascii="Arial" w:cs="Arial" w:eastAsia="Arial" w:hAnsi="Arial"/>
          <w:sz w:val="17"/>
          <w:szCs w:val="17"/>
          <w:color w:val="auto"/>
        </w:rPr>
      </w:pPr>
    </w:p>
    <w:p>
      <w:pPr>
        <w:ind w:left="440" w:right="40" w:firstLine="428"/>
        <w:spacing w:after="0" w:line="264" w:lineRule="auto"/>
        <w:tabs>
          <w:tab w:leader="none" w:pos="1108" w:val="left"/>
        </w:tabs>
        <w:numPr>
          <w:ilvl w:val="0"/>
          <w:numId w:val="819"/>
        </w:numPr>
        <w:rPr>
          <w:rFonts w:ascii="Arial" w:cs="Arial" w:eastAsia="Arial" w:hAnsi="Arial"/>
          <w:sz w:val="18"/>
          <w:szCs w:val="18"/>
          <w:color w:val="auto"/>
        </w:rPr>
      </w:pPr>
      <w:r>
        <w:rPr>
          <w:rFonts w:ascii="Arial" w:cs="Arial" w:eastAsia="Arial" w:hAnsi="Arial"/>
          <w:sz w:val="18"/>
          <w:szCs w:val="18"/>
          <w:color w:val="auto"/>
        </w:rPr>
        <w:t>Notwithstanding the dispute resolution procedures set forth in this Section 11.8, in the event of an actual or threatened breach hereunder, the aggrieved Party may seek equitable relief (including restraining orders, specific performance or other injunctive relief) in any court or other forum, without first submitting to any dispute resolution procedures hereunder.</w:t>
      </w:r>
    </w:p>
    <w:p>
      <w:pPr>
        <w:spacing w:after="0" w:line="73" w:lineRule="exact"/>
        <w:rPr>
          <w:rFonts w:ascii="Arial" w:cs="Arial" w:eastAsia="Arial" w:hAnsi="Arial"/>
          <w:sz w:val="18"/>
          <w:szCs w:val="18"/>
          <w:color w:val="auto"/>
        </w:rPr>
      </w:pPr>
    </w:p>
    <w:p>
      <w:pPr>
        <w:ind w:left="440" w:firstLine="428"/>
        <w:spacing w:after="0" w:line="271" w:lineRule="auto"/>
        <w:tabs>
          <w:tab w:leader="none" w:pos="1118" w:val="left"/>
        </w:tabs>
        <w:numPr>
          <w:ilvl w:val="0"/>
          <w:numId w:val="819"/>
        </w:numPr>
        <w:rPr>
          <w:rFonts w:ascii="Arial" w:cs="Arial" w:eastAsia="Arial" w:hAnsi="Arial"/>
          <w:sz w:val="17"/>
          <w:szCs w:val="17"/>
          <w:color w:val="auto"/>
        </w:rPr>
      </w:pPr>
      <w:r>
        <w:rPr>
          <w:rFonts w:ascii="Arial" w:cs="Arial" w:eastAsia="Arial" w:hAnsi="Arial"/>
          <w:sz w:val="17"/>
          <w:szCs w:val="17"/>
          <w:color w:val="auto"/>
        </w:rPr>
        <w:t>Notwithstanding the provisions of this Section 11.8, disputes relating to intellectual property rights, including disputes relating to the ownership, inventorship, enforceability, validity or scope of patent or other intellectual property rights, or other disputes for which a Party wishes to seek injunctive or other equitable relief, but not any disputes under Section 6.4, shall not be subject to the terms of this Section 11.8 and may be submitted for resolution to a court of competent jurisdiction, and without the necessity of posting a bond for such disputes seeking injunctive or other equitable relief (each, an “</w:t>
      </w:r>
      <w:r>
        <w:rPr>
          <w:rFonts w:ascii="Arial" w:cs="Arial" w:eastAsia="Arial" w:hAnsi="Arial"/>
          <w:sz w:val="17"/>
          <w:szCs w:val="17"/>
          <w:u w:val="single" w:color="auto"/>
          <w:color w:val="auto"/>
        </w:rPr>
        <w:t>Excluded Claim</w:t>
      </w:r>
      <w:r>
        <w:rPr>
          <w:rFonts w:ascii="Arial" w:cs="Arial" w:eastAsia="Arial" w:hAnsi="Arial"/>
          <w:sz w:val="17"/>
          <w:szCs w:val="17"/>
          <w:color w:val="auto"/>
        </w:rPr>
        <w:t>”). The Parties agree that any dispute concerning an Excluded Claim that cannot be resolved by the Parties will be subject to the exclusive jurisdiction of the U.S. federal or New York state courts within the New York counties of New York, and the Parties hereby submit to, and waive any objection to, personal jurisdiction and venue in such courts for such purpose, and both Parties waive any right they may have under applicable law or otherwise to a right to a trial by jury for such purpose.</w:t>
      </w:r>
    </w:p>
    <w:p>
      <w:pPr>
        <w:spacing w:after="0" w:line="71"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and construed in accordance with the laws of the State of New York, without regard to its conflicts of law provisions; provided that any dispute relating to the scope, validity, enforceability or infringement of any patent rights will be governed by, and construed and enforced in accordance with, the substantive laws of the jurisdiction from which such patent rights arose.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5" w:right="479" w:bottom="1440" w:gutter="0" w:footer="0" w:header="0"/>
        </w:sectPr>
      </w:pPr>
    </w:p>
    <w:bookmarkStart w:id="888" w:name="page889"/>
    <w:bookmarkEnd w:id="888"/>
    <w:p>
      <w:pPr>
        <w:ind w:right="100" w:firstLine="88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11.10 </w:t>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Each Party is an independent contractor under this Agreement. Nothing contained herein is intended or is to be construed so as to constitute Aerpio and Licensee as partners, agents or joint venturers. Neither Party will have any express or implied right or authority to assume or create any obligations on behalf of or in the name of the other Party or to bind the other Party to any contract, agreement or undertaking with any Third Party. There are no express or implied third party beneficiaries hereunder (except for Licensee Indemnitees other than Licensee and Aerpio Indemnitees other than Aerpio for purposes of Sections 9.5(a) or 9.5(b), as applicable).</w:t>
      </w:r>
    </w:p>
    <w:p>
      <w:pPr>
        <w:spacing w:after="0" w:line="64" w:lineRule="exact"/>
        <w:rPr>
          <w:sz w:val="20"/>
          <w:szCs w:val="20"/>
          <w:color w:val="auto"/>
        </w:rPr>
      </w:pPr>
    </w:p>
    <w:p>
      <w:pPr>
        <w:ind w:right="400" w:firstLine="881"/>
        <w:spacing w:after="0" w:line="264"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(along with the Exhibits) contains the entire understanding of the Parties with respect to the subject matter hereof and supersedes and replaces any and all previous arrangements and understandings, including the Confidentiality Agreement, whether oral or written, between the Parties with respect to the subject matter hereof.</w:t>
      </w:r>
    </w:p>
    <w:p>
      <w:pPr>
        <w:spacing w:after="0" w:line="73"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Sections hereof are not a part of this Agreement, but are merely guides or labels to assist in locating and reading the several Sections hereof.</w:t>
      </w:r>
    </w:p>
    <w:p>
      <w:pPr>
        <w:spacing w:after="0" w:line="62"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73"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Interpretation</w:t>
      </w:r>
      <w:r>
        <w:rPr>
          <w:rFonts w:ascii="Arial" w:cs="Arial" w:eastAsia="Arial" w:hAnsi="Arial"/>
          <w:sz w:val="17"/>
          <w:szCs w:val="17"/>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means “and/or” hereunder. All definitions set forth herein will be deemed applicable whether the words defined are used herein in the singular or the plural. Unless otherwise provided, all references to Sections and Exhibits in this Agreement are to Sections and Exhibits of this Agreement. References to any Sections include Sections and subsections that are part of the related Section (e.g., a section numbered “Section 5.2” would be part of “Section 5”, and references to “Section 5.2” would also refer to material contained in the subsection described as “Section 5.2(a)”).</w:t>
      </w:r>
    </w:p>
    <w:p>
      <w:pPr>
        <w:spacing w:after="0" w:line="70"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Counterparts; Facsimiles or PDF</w:t>
      </w:r>
      <w:r>
        <w:rPr>
          <w:rFonts w:ascii="Arial" w:cs="Arial" w:eastAsia="Arial" w:hAnsi="Arial"/>
          <w:sz w:val="18"/>
          <w:szCs w:val="18"/>
          <w:color w:val="auto"/>
        </w:rPr>
        <w:t>. This Agreement may be executed in one (1) or more counterparts, each of which will be deemed an original and all of which together will constitute one and the same instrument. Facsimile or PDF execution and delivery of this Agreement by either Party will constitute a legal, valid and binding execution and delivery of this Agreement by such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889" w:name="page890"/>
    <w:bookmarkEnd w:id="889"/>
    <w:p>
      <w:pPr>
        <w:ind w:right="79"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License Agreement to be executed by their respective duly authorized representatives as of the Effective Date.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AERPIO PHARMACEUTICALS,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Hoffman</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GB004, INC.</w:t>
      </w:r>
    </w:p>
    <w:p>
      <w:pPr>
        <w:spacing w:after="0" w:line="229" w:lineRule="exact"/>
        <w:rPr>
          <w:sz w:val="20"/>
          <w:szCs w:val="20"/>
          <w:color w:val="auto"/>
        </w:rPr>
      </w:pPr>
    </w:p>
    <w:p>
      <w:pPr>
        <w:jc w:val="center"/>
        <w:ind w:left="554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Christian Waage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5715</wp:posOffset>
            </wp:positionV>
            <wp:extent cx="242697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Treasurer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0019"/>
          </w:cols>
          <w:pgMar w:left="440" w:top="275" w:right="1440" w:bottom="1440" w:gutter="0" w:footer="0" w:header="0"/>
        </w:sectPr>
      </w:pPr>
    </w:p>
    <w:bookmarkStart w:id="890" w:name="page891"/>
    <w:bookmarkEnd w:id="890"/>
    <w:p>
      <w:pPr>
        <w:jc w:val="center"/>
        <w:ind w:right="-4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416"/>
        <w:spacing w:after="0"/>
        <w:rPr>
          <w:sz w:val="20"/>
          <w:szCs w:val="20"/>
          <w:color w:val="auto"/>
        </w:rPr>
      </w:pPr>
      <w:r>
        <w:rPr>
          <w:rFonts w:ascii="Arial" w:cs="Arial" w:eastAsia="Arial" w:hAnsi="Arial"/>
          <w:sz w:val="18"/>
          <w:szCs w:val="18"/>
          <w:b w:val="1"/>
          <w:bCs w:val="1"/>
          <w:color w:val="auto"/>
        </w:rPr>
        <w:t>AERPIO PATENT RIGHTS</w:t>
      </w:r>
    </w:p>
    <w:p>
      <w:pPr>
        <w:spacing w:after="0" w:line="248" w:lineRule="exact"/>
        <w:rPr>
          <w:sz w:val="20"/>
          <w:szCs w:val="20"/>
          <w:color w:val="auto"/>
        </w:rPr>
      </w:pPr>
    </w:p>
    <w:tbl>
      <w:tblPr>
        <w:tblLayout w:type="fixed"/>
        <w:tblInd w:w="876"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Country</w:t>
            </w:r>
          </w:p>
        </w:tc>
        <w:tc>
          <w:tcPr>
            <w:tcW w:w="41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Application Number</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Filing Date</w:t>
            </w:r>
          </w:p>
        </w:tc>
        <w:tc>
          <w:tcPr>
            <w:tcW w:w="8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w w:val="94"/>
              </w:rPr>
              <w:t>Patent Number</w:t>
            </w:r>
          </w:p>
        </w:tc>
      </w:tr>
      <w:tr>
        <w:trPr>
          <w:trHeight w:val="203"/>
        </w:trPr>
        <w:tc>
          <w:tcPr>
            <w:tcW w:w="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70" w:right="899" w:bottom="1440" w:gutter="0" w:footer="0" w:header="0"/>
        </w:sectPr>
      </w:pPr>
    </w:p>
    <w:bookmarkStart w:id="891" w:name="page892"/>
    <w:bookmarkEnd w:id="891"/>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8" w:right="899" w:bottom="1440" w:gutter="0" w:footer="0" w:header="0"/>
        </w:sectPr>
      </w:pPr>
    </w:p>
    <w:bookmarkStart w:id="892" w:name="page893"/>
    <w:bookmarkEnd w:id="892"/>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2"/>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9" w:right="899" w:bottom="1440" w:gutter="0" w:footer="0" w:header="0"/>
        </w:sectPr>
      </w:pPr>
    </w:p>
    <w:bookmarkStart w:id="893" w:name="page894"/>
    <w:bookmarkEnd w:id="893"/>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3"/>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8" w:right="899" w:bottom="1440" w:gutter="0" w:footer="0" w:header="0"/>
        </w:sectPr>
      </w:pPr>
    </w:p>
    <w:bookmarkStart w:id="894" w:name="page895"/>
    <w:bookmarkEnd w:id="894"/>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4"/>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8" w:right="899" w:bottom="1440" w:gutter="0" w:footer="0" w:header="0"/>
        </w:sectPr>
      </w:pPr>
    </w:p>
    <w:bookmarkStart w:id="895" w:name="page896"/>
    <w:bookmarkEnd w:id="895"/>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5"/>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8" w:right="899" w:bottom="1440" w:gutter="0" w:footer="0" w:header="0"/>
        </w:sectPr>
      </w:pPr>
    </w:p>
    <w:bookmarkStart w:id="896" w:name="page897"/>
    <w:bookmarkEnd w:id="896"/>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hanging="436"/>
        <w:spacing w:after="0" w:line="277" w:lineRule="auto"/>
        <w:tabs>
          <w:tab w:leader="none" w:pos="436" w:val="left"/>
        </w:tabs>
        <w:numPr>
          <w:ilvl w:val="0"/>
          <w:numId w:val="826"/>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9" w:right="899" w:bottom="1440" w:gutter="0" w:footer="0" w:header="0"/>
        </w:sectPr>
      </w:pPr>
    </w:p>
    <w:bookmarkStart w:id="897" w:name="page898"/>
    <w:bookmarkEnd w:id="897"/>
    <w:tbl>
      <w:tblPr>
        <w:tblLayout w:type="fixed"/>
        <w:tblInd w:w="876" w:type="dxa"/>
        <w:tblCellMar>
          <w:top w:w="0" w:type="dxa"/>
          <w:left w:w="0" w:type="dxa"/>
          <w:bottom w:w="0" w:type="dxa"/>
          <w:right w:w="0" w:type="dxa"/>
        </w:tblCellMar>
      </w:tblP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6946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76" w:lineRule="exact"/>
        <w:rPr>
          <w:sz w:val="20"/>
          <w:szCs w:val="20"/>
          <w:color w:val="auto"/>
        </w:rPr>
      </w:pPr>
    </w:p>
    <w:p>
      <w:pPr>
        <w:ind w:left="436" w:hanging="436"/>
        <w:spacing w:after="0" w:line="277" w:lineRule="auto"/>
        <w:tabs>
          <w:tab w:leader="none" w:pos="436" w:val="left"/>
        </w:tabs>
        <w:numPr>
          <w:ilvl w:val="0"/>
          <w:numId w:val="827"/>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56"/>
          </w:cols>
          <w:pgMar w:left="444" w:top="289" w:right="899" w:bottom="1440" w:gutter="0" w:footer="0" w:header="0"/>
        </w:sectPr>
      </w:pPr>
    </w:p>
    <w:bookmarkStart w:id="898" w:name="page899"/>
    <w:bookmarkEnd w:id="898"/>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25"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INITIAL DEVELOPMENT PLANS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1" w:right="1440" w:bottom="1440" w:gutter="0" w:footer="0" w:header="0"/>
        </w:sectPr>
      </w:pPr>
    </w:p>
    <w:bookmarkStart w:id="899" w:name="page900"/>
    <w:bookmarkEnd w:id="899"/>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INITIAL DEVELOPMENT BUDGETS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900" w:name="page901"/>
    <w:bookmarkEnd w:id="900"/>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b w:val="1"/>
          <w:bCs w:val="1"/>
          <w:color w:val="auto"/>
        </w:rPr>
        <w:t>LICENSED COMPOUND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AKB-4924</w:t>
      </w:r>
    </w:p>
    <w:p>
      <w:pPr>
        <w:sectPr>
          <w:pgSz w:w="11900" w:h="16838" w:orient="portrait"/>
          <w:cols w:equalWidth="0" w:num="1">
            <w:col w:w="10019"/>
          </w:cols>
          <w:pgMar w:left="440" w:top="269" w:right="1440" w:bottom="1440" w:gutter="0" w:footer="0" w:header="0"/>
        </w:sectPr>
      </w:pPr>
    </w:p>
    <w:bookmarkStart w:id="901" w:name="page902"/>
    <w:bookmarkEnd w:id="901"/>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LICENSED COMPOUND INDs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46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00" w:lineRule="exact"/>
        <w:rPr>
          <w:sz w:val="20"/>
          <w:szCs w:val="20"/>
          <w:color w:val="auto"/>
        </w:rPr>
      </w:pPr>
    </w:p>
    <w:p>
      <w:pPr>
        <w:ind w:left="440" w:hanging="436"/>
        <w:spacing w:after="0" w:line="277" w:lineRule="auto"/>
        <w:tabs>
          <w:tab w:leader="none" w:pos="440" w:val="left"/>
        </w:tabs>
        <w:numPr>
          <w:ilvl w:val="0"/>
          <w:numId w:val="828"/>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60"/>
          </w:cols>
          <w:pgMar w:left="440" w:top="270" w:right="899" w:bottom="1440" w:gutter="0" w:footer="0" w:header="0"/>
        </w:sectPr>
      </w:pPr>
    </w:p>
    <w:bookmarkStart w:id="902" w:name="page903"/>
    <w:bookmarkEnd w:id="90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PRESS RELEASE</w:t>
      </w:r>
    </w:p>
    <w:p>
      <w:pPr>
        <w:sectPr>
          <w:pgSz w:w="11900" w:h="16838" w:orient="portrait"/>
          <w:cols w:equalWidth="0" w:num="1">
            <w:col w:w="9019"/>
          </w:cols>
          <w:pgMar w:left="1440" w:top="271" w:right="1440" w:bottom="1440" w:gutter="0" w:footer="0" w:header="0"/>
        </w:sectPr>
      </w:pPr>
    </w:p>
    <w:bookmarkStart w:id="903" w:name="page904"/>
    <w:bookmarkEnd w:id="903"/>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757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89165" cy="91757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18"/>
          <w:szCs w:val="18"/>
          <w:b w:val="1"/>
          <w:bCs w:val="1"/>
          <w:color w:val="auto"/>
        </w:rPr>
        <w:t>Aerpio Announces Exclusive License Agreement with Gossamer Bio for AKB-4924, a First in Class Hypoxia-Inducible Factor-1 Alpha Stabilizer in Development for Inflammatory Bowel Disease</w:t>
      </w:r>
    </w:p>
    <w:p>
      <w:pPr>
        <w:spacing w:after="0" w:line="166"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CINCINNATI &amp; SAN DIEGO — (BUSINESS WIRE) — Jun. 25, 2018 — Aerpio Pharmaceuticals, Inc. (OTCQB:ARPO), today announced an exclusive global license agreement with a wholly owned subsidiary of Gossamer Bio, Inc., GB004, Inc. (“Gossamer”), for the development and commercialization of Aerpio’s HIF-1 alpha stabilizer, AKB-4924, along with other related compounds. The arrangement combines Aerpio’s deep understanding of HIF biology with Gossamer’s experience in inflammation, immunology and inflammatory bowel disease (IBD) drug development.</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AKB-4924 (to be known as GB004) is an investigational hypoxia-inducible factor-1 alpha (HIF-1 alpha) stabilizer in development for IBD. Unlike other HIF stabilizers in clinical development, which stabilize HIF-2 and stimulate erythropoiesis, GB004 preferentially stabilizes HIF-1 alpha, and has profound anti-inflammatory and mucosal wound healing effects in animal models of IBD. Based on pre-clinical study results, GB004 has demonstrated several potential advantages over existing therapies for the treatment of IBD, including a possible superior efficacy and safety profile and once-daily oral route of administration. To date, Aerpio has conducted a Phase 1, single ascending dose study which found GB004 to be safe and well-tolerated. In May 2018, Aerpio initiated a 24-subject, Phase 1, multiple ascending dose study to further assess the pharmacokinetics, safety and tolerability of GB004 in healthy volunteers.</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terms of the license agreement, Gossamer will pay Aerpio $20 million up front, potential development, regulatory, and sales milestones of up to $400 million, and royalties on worldwide net sales, which range from a high single digit to mid-teen percentage of net sales. Gossamer will be responsible for the remaining development, regulatory, and commercialization expenses for GB004.</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“Gossamer is the ideal partner to maximize the potential of GB004 in IBD,” said Stephen Hoffman, MD, PhD, Chief Executive Officer of Aerpio. “The Gossamer team has a demonstrated track record of successful therapeutic development in IBD, specifically the</w:t>
      </w:r>
    </w:p>
    <w:p>
      <w:pPr>
        <w:sectPr>
          <w:pgSz w:w="11900" w:h="16838" w:orient="portrait"/>
          <w:cols w:equalWidth="0" w:num="1">
            <w:col w:w="11020"/>
          </w:cols>
          <w:pgMar w:left="440" w:top="1440" w:right="439" w:bottom="1440" w:gutter="0" w:footer="0" w:header="0"/>
        </w:sectPr>
      </w:pPr>
    </w:p>
    <w:bookmarkStart w:id="904" w:name="page905"/>
    <w:bookmarkEnd w:id="904"/>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 of Ozanimod in multiple sclerosis and IBD, as evidenced by the sale of Receptos to Celgene in 2015 for $7.2 billion. Our partnership allows us to focus our resources on our ophthalmology and diabetes programs currently in development at Aerpio.”</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Faheem Hasnain, Gossamer Bio’s Chairman and Chief Executive Officer, stated “We are pleased to have found GB004 after thoroughly assessing a substantial number of opportunities. This program represents an important addition to the Gossamer portfolio of drug candidates aiming to address unmet medical needs.”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Sheila Gujrathi, MD, Gossamer Bio’s President and Chief Operating Officer, said “The HIF-1 alpha stabilization mechanisms represent truly novel biology with multiple putative benefits and a potential paradigm-changing approach to treating IBD patients.”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Aerpio Pharmaceuticals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Aerpio Pharmaceuticals, Inc. is a biopharmaceutical company focused on advancing first-in-class treatments for ocular diseases. The Company’s lead compound, AKB-9778, is a small molecule activator of the Tie2 pathway and is in clinical development for diabetic retinopathy. For more information please visit www.aerpio.com.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Gossamer Bio</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Gossamer Bio, Inc. is a biopharmaceutical company focused on discovering, developing, and commercializing immunology-based therapeutics in the autoimmune, allergy/inflammation, immuno-oncology and fibrosis disease areas. Gossamer’s goal is to create a business that allows value creation and capture at the individual asset level, long-term sustainability, and continuity, while ultimately helping to improve the lives of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AKB-4924 (GB004)</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GB004, a selective stabilizer HIF-1 alpha, is being developed for the treatment of inflammatory bowel disease. HIF-1 alpha is involved in mucosal wound healing and the reduction of inflammation in the gastrointestinal tract. Aerpio has completed a single ascending dose clinical trial of GB004 in healthy volunteers and has initiated a multiple ascending dose study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This press release contains forward-looking statements. Statements in this press release that are not purely historical are forward-looking statements. Such forward-looking statements include, among other things, the timeline of, and other developmental plans for, GB004 for inflammatory bowel disease or otherwise, and the therapeutic potential of the Company’s product candidates, including GB004, and the Company’s partnership with Gossamer Bio. Actual results could differ from those projected in any forward-looking statements due to several risk factors. Such</w:t>
      </w:r>
    </w:p>
    <w:p>
      <w:pPr>
        <w:sectPr>
          <w:pgSz w:w="11900" w:h="16838" w:orient="portrait"/>
          <w:cols w:equalWidth="0" w:num="1">
            <w:col w:w="10880"/>
          </w:cols>
          <w:pgMar w:left="440" w:top="274" w:right="579" w:bottom="1440" w:gutter="0" w:footer="0" w:header="0"/>
        </w:sectPr>
      </w:pPr>
    </w:p>
    <w:bookmarkStart w:id="905" w:name="page906"/>
    <w:bookmarkEnd w:id="90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factors include, among others, that the Company’s partnership with Gossamer Bio may not yield the intended benefits, the availability of funding needed to continue to develop GB004 or other product development plans, the inherent uncertainties associated with the FDA and drug development process, competition in the industry in which the Company operates and overall market conditions. These forward-looking statements are made as of the date of this press release, and the Company assumes no obligation to update the forward-looking statements, or to update the reasons why actual results could differ from those projected in the forward-looking statements, except as required by law. Investors should consult all the information set forth herein and should also refer to the risk factor disclosure set forth in the reports and other documents the Company files with the SEC available at www.sec.gov.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View source version on businesswire.com: https://www.businesswire.com/news/home/20180625005370/en/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Aerpio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Aerpio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mrogers@aerpio.com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Gossamer Bio,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Bryan Giraudo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bgiraudo@gossamerbio.com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Gossamer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PR@GossamerBio.com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 McClellan, on behalf of Aerpio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jjackson@burnsmc.com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Ami Bavishi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abhavishi@burnsmc.com</w:t>
      </w:r>
    </w:p>
    <w:p>
      <w:pPr>
        <w:sectPr>
          <w:pgSz w:w="11900" w:h="16838" w:orient="portrait"/>
          <w:cols w:equalWidth="0" w:num="1">
            <w:col w:w="11020"/>
          </w:cols>
          <w:pgMar w:left="440" w:top="274" w:right="439" w:bottom="1440" w:gutter="0" w:footer="0" w:header="0"/>
        </w:sectPr>
      </w:pPr>
    </w:p>
    <w:bookmarkStart w:id="906" w:name="page907"/>
    <w:bookmarkEnd w:id="90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AERPIO IN-LICENSE</w:t>
      </w:r>
    </w:p>
    <w:p>
      <w:pPr>
        <w:sectPr>
          <w:pgSz w:w="11900" w:h="16838" w:orient="portrait"/>
          <w:cols w:equalWidth="0" w:num="1">
            <w:col w:w="9019"/>
          </w:cols>
          <w:pgMar w:left="1440" w:top="270" w:right="1440" w:bottom="1440" w:gutter="0" w:footer="0" w:header="0"/>
        </w:sectPr>
      </w:pPr>
    </w:p>
    <w:bookmarkStart w:id="907" w:name="page908"/>
    <w:bookmarkEnd w:id="907"/>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Subject to FRE 408</w:t>
            </w:r>
          </w:p>
        </w:tc>
      </w:tr>
      <w:tr>
        <w:trPr>
          <w:trHeight w:val="365"/>
        </w:trPr>
        <w:tc>
          <w:tcPr>
            <w:tcW w:w="2760" w:type="dxa"/>
            <w:vAlign w:val="bottom"/>
          </w:tcPr>
          <w:p>
            <w:pPr>
              <w:spacing w:after="0"/>
              <w:rPr>
                <w:sz w:val="24"/>
                <w:szCs w:val="24"/>
                <w:color w:val="auto"/>
              </w:rPr>
            </w:pPr>
          </w:p>
        </w:tc>
        <w:tc>
          <w:tcPr>
            <w:tcW w:w="5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NON-EXCLUSIVE LICENSE AGREEMENT</w:t>
            </w:r>
          </w:p>
        </w:tc>
        <w:tc>
          <w:tcPr>
            <w:tcW w:w="2660" w:type="dxa"/>
            <w:vAlign w:val="bottom"/>
          </w:tcPr>
          <w:p>
            <w:pPr>
              <w:spacing w:after="0"/>
              <w:rPr>
                <w:sz w:val="24"/>
                <w:szCs w:val="24"/>
                <w:color w:val="auto"/>
              </w:rPr>
            </w:pP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Parties to the Agreement:</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Aerpio Therapeutics, Inc.</w:t>
            </w:r>
          </w:p>
        </w:tc>
        <w:tc>
          <w:tcPr>
            <w:tcW w:w="2660" w:type="dxa"/>
            <w:vAlign w:val="bottom"/>
          </w:tcPr>
          <w:p>
            <w:pPr>
              <w:spacing w:after="0"/>
              <w:rPr>
                <w:sz w:val="24"/>
                <w:szCs w:val="24"/>
                <w:color w:val="auto"/>
              </w:rPr>
            </w:pPr>
          </w:p>
        </w:tc>
      </w:tr>
      <w:tr>
        <w:trPr>
          <w:trHeight w:val="324"/>
        </w:trPr>
        <w:tc>
          <w:tcPr>
            <w:tcW w:w="2760" w:type="dxa"/>
            <w:vAlign w:val="bottom"/>
          </w:tcPr>
          <w:p>
            <w:pPr>
              <w:spacing w:after="0"/>
              <w:rPr>
                <w:sz w:val="24"/>
                <w:szCs w:val="24"/>
                <w:color w:val="auto"/>
              </w:rPr>
            </w:pP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The Regents of the University of Colorado, a body corporate</w:t>
            </w:r>
          </w:p>
        </w:tc>
        <w:tc>
          <w:tcPr>
            <w:tcW w:w="2660" w:type="dxa"/>
            <w:vAlign w:val="bottom"/>
          </w:tcPr>
          <w:p>
            <w:pPr>
              <w:spacing w:after="0"/>
              <w:rPr>
                <w:sz w:val="24"/>
                <w:szCs w:val="24"/>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University Case Number:</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CU2065H</w:t>
            </w:r>
          </w:p>
        </w:tc>
        <w:tc>
          <w:tcPr>
            <w:tcW w:w="2660" w:type="dxa"/>
            <w:vAlign w:val="bottom"/>
          </w:tcPr>
          <w:p>
            <w:pPr>
              <w:spacing w:after="0"/>
              <w:rPr>
                <w:sz w:val="24"/>
                <w:szCs w:val="24"/>
                <w:color w:val="auto"/>
              </w:rPr>
            </w:pPr>
          </w:p>
        </w:tc>
      </w:tr>
      <w:tr>
        <w:trPr>
          <w:trHeight w:val="648"/>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8"/>
              </w:rPr>
              <w:t>TABLE OF CONTENTS</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gridSpan w:val="2"/>
          </w:tcPr>
          <w:p>
            <w:pPr>
              <w:jc w:val="center"/>
              <w:ind w:right="1700"/>
              <w:spacing w:after="0"/>
              <w:rPr>
                <w:sz w:val="20"/>
                <w:szCs w:val="20"/>
                <w:color w:val="auto"/>
              </w:rPr>
            </w:pPr>
            <w:r>
              <w:rPr>
                <w:rFonts w:ascii="Arial" w:cs="Arial" w:eastAsia="Arial" w:hAnsi="Arial"/>
                <w:sz w:val="18"/>
                <w:szCs w:val="18"/>
                <w:color w:val="auto"/>
                <w:w w:val="95"/>
              </w:rPr>
              <w:t>Article 1 – Definitions</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Article 2 – Grant and Reservation of Rights</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Article 3 – Economic Consideration</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gridSpan w:val="2"/>
          </w:tcPr>
          <w:p>
            <w:pPr>
              <w:jc w:val="center"/>
              <w:ind w:right="1700"/>
              <w:spacing w:after="0"/>
              <w:rPr>
                <w:sz w:val="20"/>
                <w:szCs w:val="20"/>
                <w:color w:val="auto"/>
              </w:rPr>
            </w:pPr>
            <w:r>
              <w:rPr>
                <w:rFonts w:ascii="Arial" w:cs="Arial" w:eastAsia="Arial" w:hAnsi="Arial"/>
                <w:sz w:val="18"/>
                <w:szCs w:val="18"/>
                <w:color w:val="auto"/>
                <w:w w:val="92"/>
              </w:rPr>
              <w:t>Article 4 – Sublicensing</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Article 5 – Confidential Information</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gridSpan w:val="2"/>
          </w:tcPr>
          <w:p>
            <w:pPr>
              <w:jc w:val="center"/>
              <w:ind w:right="1700"/>
              <w:spacing w:after="0"/>
              <w:rPr>
                <w:sz w:val="20"/>
                <w:szCs w:val="20"/>
                <w:color w:val="auto"/>
              </w:rPr>
            </w:pPr>
            <w:r>
              <w:rPr>
                <w:rFonts w:ascii="Arial" w:cs="Arial" w:eastAsia="Arial" w:hAnsi="Arial"/>
                <w:sz w:val="18"/>
                <w:szCs w:val="18"/>
                <w:color w:val="auto"/>
                <w:w w:val="94"/>
              </w:rPr>
              <w:t>Article 6 – Export</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Article 7 – Patent Prosecution and Enforcement</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Article 8 – Warranties, Indemnifications, and Insurance</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56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Article 9 – Duration, Conditions, Termination, and Conversion</w:t>
            </w:r>
          </w:p>
        </w:tc>
        <w:tc>
          <w:tcPr>
            <w:tcW w:w="2660" w:type="dxa"/>
            <w:vAlign w:val="bottom"/>
          </w:tcPr>
          <w:p>
            <w:pPr>
              <w:spacing w:after="0"/>
              <w:rPr>
                <w:sz w:val="24"/>
                <w:szCs w:val="24"/>
                <w:color w:val="auto"/>
              </w:rPr>
            </w:pPr>
          </w:p>
        </w:tc>
      </w:tr>
      <w:tr>
        <w:trPr>
          <w:trHeight w:val="432"/>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0" w:type="dxa"/>
            <w:vAlign w:val="bottom"/>
            <w:gridSpan w:val="2"/>
          </w:tcPr>
          <w:p>
            <w:pPr>
              <w:jc w:val="center"/>
              <w:ind w:right="1680"/>
              <w:spacing w:after="0"/>
              <w:rPr>
                <w:sz w:val="20"/>
                <w:szCs w:val="20"/>
                <w:color w:val="auto"/>
              </w:rPr>
            </w:pPr>
            <w:r>
              <w:rPr>
                <w:rFonts w:ascii="Arial" w:cs="Arial" w:eastAsia="Arial" w:hAnsi="Arial"/>
                <w:sz w:val="18"/>
                <w:szCs w:val="18"/>
                <w:color w:val="auto"/>
                <w:w w:val="93"/>
              </w:rPr>
              <w:t>Article 10 – General</w:t>
            </w:r>
          </w:p>
        </w:tc>
        <w:tc>
          <w:tcPr>
            <w:tcW w:w="2660" w:type="dxa"/>
            <w:vAlign w:val="bottom"/>
          </w:tcPr>
          <w:p>
            <w:pPr>
              <w:spacing w:after="0"/>
              <w:rPr>
                <w:sz w:val="24"/>
                <w:szCs w:val="24"/>
                <w:color w:val="auto"/>
              </w:rPr>
            </w:pPr>
          </w:p>
        </w:tc>
      </w:tr>
      <w:tr>
        <w:trPr>
          <w:trHeight w:val="351"/>
        </w:trPr>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26"/>
        </w:trPr>
        <w:tc>
          <w:tcPr>
            <w:tcW w:w="2760" w:type="dxa"/>
            <w:vAlign w:val="bottom"/>
          </w:tcPr>
          <w:p>
            <w:pPr>
              <w:spacing w:after="0"/>
              <w:rPr>
                <w:sz w:val="24"/>
                <w:szCs w:val="24"/>
                <w:color w:val="auto"/>
              </w:rPr>
            </w:pPr>
          </w:p>
        </w:tc>
        <w:tc>
          <w:tcPr>
            <w:tcW w:w="56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Appendix A – Technology Specific Terms and Conditions</w:t>
            </w:r>
          </w:p>
        </w:tc>
        <w:tc>
          <w:tcPr>
            <w:tcW w:w="2660" w:type="dxa"/>
            <w:vAlign w:val="bottom"/>
          </w:tcPr>
          <w:p>
            <w:pPr>
              <w:spacing w:after="0"/>
              <w:rPr>
                <w:sz w:val="24"/>
                <w:szCs w:val="24"/>
                <w:color w:val="auto"/>
              </w:rPr>
            </w:pPr>
          </w:p>
        </w:tc>
      </w:tr>
      <w:tr>
        <w:trPr>
          <w:trHeight w:val="365"/>
        </w:trPr>
        <w:tc>
          <w:tcPr>
            <w:tcW w:w="2760" w:type="dxa"/>
            <w:vAlign w:val="bottom"/>
          </w:tcPr>
          <w:p>
            <w:pPr>
              <w:spacing w:after="0"/>
              <w:rPr>
                <w:sz w:val="20"/>
                <w:szCs w:val="20"/>
                <w:color w:val="auto"/>
              </w:rPr>
            </w:pPr>
            <w:r>
              <w:rPr>
                <w:rFonts w:ascii="Arial" w:cs="Arial" w:eastAsia="Arial" w:hAnsi="Arial"/>
                <w:sz w:val="18"/>
                <w:szCs w:val="18"/>
                <w:color w:val="auto"/>
                <w:w w:val="99"/>
              </w:rPr>
              <w:t>Non-Exclusive License Agreement</w:t>
            </w:r>
          </w:p>
        </w:tc>
        <w:tc>
          <w:tcPr>
            <w:tcW w:w="1600" w:type="dxa"/>
            <w:vAlign w:val="bottom"/>
          </w:tcPr>
          <w:p>
            <w:pPr>
              <w:spacing w:after="0"/>
              <w:rPr>
                <w:sz w:val="24"/>
                <w:szCs w:val="24"/>
                <w:color w:val="auto"/>
              </w:rPr>
            </w:pPr>
          </w:p>
        </w:tc>
        <w:tc>
          <w:tcPr>
            <w:tcW w:w="4000" w:type="dxa"/>
            <w:vAlign w:val="bottom"/>
            <w:gridSpan w:val="2"/>
          </w:tcPr>
          <w:p>
            <w:pPr>
              <w:ind w:left="9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p>
        </w:tc>
        <w:tc>
          <w:tcPr>
            <w:tcW w:w="2660" w:type="dxa"/>
            <w:vAlign w:val="bottom"/>
          </w:tcPr>
          <w:p>
            <w:pPr>
              <w:jc w:val="right"/>
              <w:spacing w:after="0"/>
              <w:rPr>
                <w:sz w:val="20"/>
                <w:szCs w:val="20"/>
                <w:color w:val="auto"/>
              </w:rPr>
            </w:pPr>
            <w:r>
              <w:rPr>
                <w:rFonts w:ascii="Arial" w:cs="Arial" w:eastAsia="Arial" w:hAnsi="Arial"/>
                <w:sz w:val="18"/>
                <w:szCs w:val="18"/>
                <w:color w:val="auto"/>
              </w:rPr>
              <w:t>CU Case Number CU2065H</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08" w:name="page909"/>
    <w:bookmarkEnd w:id="908"/>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FRE 408</w:t>
      </w:r>
    </w:p>
    <w:p>
      <w:pPr>
        <w:spacing w:after="0" w:line="177"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NON-EXCLUSIVE LICENSE AGREEMENT</w:t>
      </w:r>
      <w:r>
        <w:rPr>
          <w:rFonts w:ascii="Arial" w:cs="Arial" w:eastAsia="Arial" w:hAnsi="Arial"/>
          <w:sz w:val="18"/>
          <w:szCs w:val="18"/>
          <w:color w:val="auto"/>
        </w:rPr>
        <w:t xml:space="preserve"> between The Regents of the University of Colorado, a body corporate, for and on behalf of the University of Colorado Denver, having an office at 12635 E. Montview Blvd., Suite 270, Aurora, CO 80045 (the “</w:t>
      </w:r>
      <w:r>
        <w:rPr>
          <w:rFonts w:ascii="Arial" w:cs="Arial" w:eastAsia="Arial" w:hAnsi="Arial"/>
          <w:sz w:val="18"/>
          <w:szCs w:val="18"/>
          <w:b w:val="1"/>
          <w:bCs w:val="1"/>
          <w:color w:val="auto"/>
        </w:rPr>
        <w:t>University</w:t>
      </w:r>
      <w:r>
        <w:rPr>
          <w:rFonts w:ascii="Arial" w:cs="Arial" w:eastAsia="Arial" w:hAnsi="Arial"/>
          <w:sz w:val="18"/>
          <w:szCs w:val="18"/>
          <w:color w:val="auto"/>
        </w:rPr>
        <w:t>”) and Aerpio Therapeutics, a corporation having its principal office at 9987 Carver Rd., Suite 420, Cincinnati, OH 45242 (“</w:t>
      </w:r>
      <w:r>
        <w:rPr>
          <w:rFonts w:ascii="Arial" w:cs="Arial" w:eastAsia="Arial" w:hAnsi="Arial"/>
          <w:sz w:val="18"/>
          <w:szCs w:val="18"/>
          <w:b w:val="1"/>
          <w:bCs w:val="1"/>
          <w:color w:val="auto"/>
        </w:rPr>
        <w:t>Licensee</w:t>
      </w:r>
      <w:r>
        <w:rPr>
          <w:rFonts w:ascii="Arial" w:cs="Arial" w:eastAsia="Arial" w:hAnsi="Arial"/>
          <w:sz w:val="18"/>
          <w:szCs w:val="18"/>
          <w:color w:val="auto"/>
        </w:rPr>
        <w:t>” has the meaning assigned to it in Article 1) is effective November 1, 2016,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2" w:lineRule="exact"/>
        <w:rPr>
          <w:sz w:val="20"/>
          <w:szCs w:val="20"/>
          <w:color w:val="auto"/>
        </w:rPr>
      </w:pPr>
    </w:p>
    <w:p>
      <w:pPr>
        <w:ind w:left="860" w:right="200" w:hanging="424"/>
        <w:spacing w:after="0" w:line="282" w:lineRule="auto"/>
        <w:tabs>
          <w:tab w:leader="none" w:pos="86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University is the owner of the Licensed Patents (“</w:t>
      </w:r>
      <w:r>
        <w:rPr>
          <w:rFonts w:ascii="Arial" w:cs="Arial" w:eastAsia="Arial" w:hAnsi="Arial"/>
          <w:sz w:val="18"/>
          <w:szCs w:val="18"/>
          <w:b w:val="1"/>
          <w:bCs w:val="1"/>
          <w:color w:val="auto"/>
        </w:rPr>
        <w:t>Licensed Patents</w:t>
      </w:r>
      <w:r>
        <w:rPr>
          <w:rFonts w:ascii="Arial" w:cs="Arial" w:eastAsia="Arial" w:hAnsi="Arial"/>
          <w:sz w:val="18"/>
          <w:szCs w:val="18"/>
          <w:color w:val="auto"/>
        </w:rPr>
        <w:t>” has the meaning assigned to it in Article 1) related to University Case Number CU2065H.</w:t>
      </w:r>
    </w:p>
    <w:p>
      <w:pPr>
        <w:spacing w:after="0" w:line="71" w:lineRule="exact"/>
        <w:rPr>
          <w:rFonts w:ascii="Arial" w:cs="Arial" w:eastAsia="Arial" w:hAnsi="Arial"/>
          <w:sz w:val="18"/>
          <w:szCs w:val="18"/>
          <w:color w:val="auto"/>
        </w:rPr>
      </w:pPr>
    </w:p>
    <w:p>
      <w:pPr>
        <w:jc w:val="both"/>
        <w:ind w:left="860" w:right="520" w:hanging="424"/>
        <w:spacing w:after="0" w:line="264" w:lineRule="auto"/>
        <w:tabs>
          <w:tab w:leader="none" w:pos="86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This Agreement is executed as part of a settlement agreement executed between the parties on the same date herewith in settlement of certain litigation instituted by Licensee in the Southern District of Ohio on August 23, 2016 (the “</w:t>
      </w:r>
      <w:r>
        <w:rPr>
          <w:rFonts w:ascii="Arial" w:cs="Arial" w:eastAsia="Arial" w:hAnsi="Arial"/>
          <w:sz w:val="18"/>
          <w:szCs w:val="18"/>
          <w:b w:val="1"/>
          <w:bCs w:val="1"/>
          <w:color w:val="auto"/>
        </w:rPr>
        <w:t>Settlement Agreement</w:t>
      </w:r>
      <w:r>
        <w:rPr>
          <w:rFonts w:ascii="Arial" w:cs="Arial" w:eastAsia="Arial" w:hAnsi="Arial"/>
          <w:sz w:val="18"/>
          <w:szCs w:val="18"/>
          <w:color w:val="auto"/>
        </w:rPr>
        <w:t>”), which is attached hereto.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TERMS AND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r>
        <w:rPr>
          <w:rFonts w:ascii="Arial" w:cs="Arial" w:eastAsia="Arial" w:hAnsi="Arial"/>
          <w:sz w:val="18"/>
          <w:szCs w:val="18"/>
          <w:color w:val="auto"/>
        </w:rPr>
        <w:t>. The terms defined in the Preamble have their assigned meanings and the following terms, whether used in the singular or plural, have the meanings assigned to them.</w:t>
      </w:r>
    </w:p>
    <w:p>
      <w:pPr>
        <w:spacing w:after="0" w:line="67" w:lineRule="exact"/>
        <w:rPr>
          <w:sz w:val="20"/>
          <w:szCs w:val="20"/>
          <w:color w:val="auto"/>
        </w:rPr>
      </w:pPr>
    </w:p>
    <w:p>
      <w:pPr>
        <w:ind w:left="860" w:hanging="424"/>
        <w:spacing w:after="0"/>
        <w:tabs>
          <w:tab w:leader="none" w:pos="86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that controls, is controlled by, or is under common control with Licensee. Control means the</w:t>
      </w:r>
    </w:p>
    <w:p>
      <w:pPr>
        <w:spacing w:after="0" w:line="134" w:lineRule="exact"/>
        <w:rPr>
          <w:rFonts w:ascii="Arial" w:cs="Arial" w:eastAsia="Arial" w:hAnsi="Arial"/>
          <w:sz w:val="18"/>
          <w:szCs w:val="18"/>
          <w:color w:val="auto"/>
        </w:rPr>
      </w:pPr>
    </w:p>
    <w:p>
      <w:pPr>
        <w:ind w:left="1420" w:hanging="538"/>
        <w:spacing w:after="0"/>
        <w:tabs>
          <w:tab w:leader="none" w:pos="142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direct or indirect ownership of at least 50% of voting securities;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power to govern the financial and operating policies of the entity;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power to appoint the management of the entity.</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Non-Exclusive License Agreement, as amended from time to time.</w:t>
      </w:r>
    </w:p>
    <w:p>
      <w:pPr>
        <w:spacing w:after="0" w:line="130" w:lineRule="exact"/>
        <w:rPr>
          <w:rFonts w:ascii="Arial" w:cs="Arial" w:eastAsia="Arial" w:hAnsi="Arial"/>
          <w:sz w:val="18"/>
          <w:szCs w:val="18"/>
          <w:color w:val="auto"/>
        </w:rPr>
      </w:pPr>
    </w:p>
    <w:p>
      <w:pPr>
        <w:ind w:left="860" w:right="120" w:hanging="424"/>
        <w:spacing w:after="0" w:line="282" w:lineRule="auto"/>
        <w:tabs>
          <w:tab w:leader="none" w:pos="86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the terms of the Agreement, but not the existence of the Agreement. Confidential Information does not include the following:</w:t>
      </w:r>
    </w:p>
    <w:p>
      <w:pPr>
        <w:spacing w:after="0" w:line="71" w:lineRule="exact"/>
        <w:rPr>
          <w:rFonts w:ascii="Arial" w:cs="Arial" w:eastAsia="Arial" w:hAnsi="Arial"/>
          <w:sz w:val="18"/>
          <w:szCs w:val="18"/>
          <w:color w:val="auto"/>
        </w:rPr>
      </w:pPr>
    </w:p>
    <w:p>
      <w:pPr>
        <w:ind w:left="1420" w:right="240" w:hanging="538"/>
        <w:spacing w:after="0" w:line="277" w:lineRule="auto"/>
        <w:tabs>
          <w:tab w:leader="none" w:pos="142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Information which at the time of disclosure had been previously published or was otherwise publicly available through no fault of Recipient.</w:t>
      </w:r>
    </w:p>
    <w:p>
      <w:pPr>
        <w:spacing w:after="0" w:line="99"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09" w:name="page910"/>
    <w:bookmarkEnd w:id="909"/>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FRE 408</w:t>
      </w:r>
    </w:p>
    <w:p>
      <w:pPr>
        <w:spacing w:after="0" w:line="181" w:lineRule="exact"/>
        <w:rPr>
          <w:sz w:val="20"/>
          <w:szCs w:val="20"/>
          <w:color w:val="auto"/>
        </w:rPr>
      </w:pPr>
    </w:p>
    <w:p>
      <w:pPr>
        <w:ind w:left="1420" w:hanging="538"/>
        <w:spacing w:after="0"/>
        <w:tabs>
          <w:tab w:leader="none" w:pos="1420" w:val="left"/>
        </w:tabs>
        <w:numPr>
          <w:ilvl w:val="1"/>
          <w:numId w:val="831"/>
        </w:numPr>
        <w:rPr>
          <w:rFonts w:ascii="Arial" w:cs="Arial" w:eastAsia="Arial" w:hAnsi="Arial"/>
          <w:sz w:val="17"/>
          <w:szCs w:val="17"/>
          <w:color w:val="auto"/>
        </w:rPr>
      </w:pPr>
      <w:r>
        <w:rPr>
          <w:rFonts w:ascii="Arial" w:cs="Arial" w:eastAsia="Arial" w:hAnsi="Arial"/>
          <w:sz w:val="17"/>
          <w:szCs w:val="17"/>
          <w:color w:val="auto"/>
        </w:rPr>
        <w:t>Information which becomes public knowledge after disclosure unless such knowledge results from a breach of this Agreement.</w:t>
      </w:r>
    </w:p>
    <w:p>
      <w:pPr>
        <w:spacing w:after="0" w:line="142" w:lineRule="exact"/>
        <w:rPr>
          <w:rFonts w:ascii="Arial" w:cs="Arial" w:eastAsia="Arial" w:hAnsi="Arial"/>
          <w:sz w:val="17"/>
          <w:szCs w:val="17"/>
          <w:color w:val="auto"/>
        </w:rPr>
      </w:pPr>
    </w:p>
    <w:p>
      <w:pPr>
        <w:ind w:left="1420" w:right="200" w:hanging="538"/>
        <w:spacing w:after="0" w:line="277" w:lineRule="auto"/>
        <w:tabs>
          <w:tab w:leader="none" w:pos="1420" w:val="left"/>
        </w:tabs>
        <w:numPr>
          <w:ilvl w:val="1"/>
          <w:numId w:val="831"/>
        </w:numPr>
        <w:rPr>
          <w:rFonts w:ascii="Arial" w:cs="Arial" w:eastAsia="Arial" w:hAnsi="Arial"/>
          <w:sz w:val="18"/>
          <w:szCs w:val="18"/>
          <w:color w:val="auto"/>
        </w:rPr>
      </w:pPr>
      <w:r>
        <w:rPr>
          <w:rFonts w:ascii="Arial" w:cs="Arial" w:eastAsia="Arial" w:hAnsi="Arial"/>
          <w:sz w:val="18"/>
          <w:szCs w:val="18"/>
          <w:color w:val="auto"/>
        </w:rPr>
        <w:t>Information which was already in Recipient’s possession prior to the time of disclosure as evidenced by written records kept in the ordinary course of business or by proof of actual use.</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831"/>
        </w:numPr>
        <w:rPr>
          <w:rFonts w:ascii="Arial" w:cs="Arial" w:eastAsia="Arial" w:hAnsi="Arial"/>
          <w:sz w:val="18"/>
          <w:szCs w:val="18"/>
          <w:color w:val="auto"/>
        </w:rPr>
      </w:pPr>
      <w:r>
        <w:rPr>
          <w:rFonts w:ascii="Arial" w:cs="Arial" w:eastAsia="Arial" w:hAnsi="Arial"/>
          <w:sz w:val="18"/>
          <w:szCs w:val="18"/>
          <w:color w:val="auto"/>
        </w:rPr>
        <w:t>Information that is independently developed without use of the confidential information.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1"/>
        </w:numPr>
        <w:rPr>
          <w:rFonts w:ascii="Arial" w:cs="Arial" w:eastAsia="Arial" w:hAnsi="Arial"/>
          <w:sz w:val="18"/>
          <w:szCs w:val="18"/>
          <w:color w:val="auto"/>
        </w:rPr>
      </w:pPr>
      <w:r>
        <w:rPr>
          <w:rFonts w:ascii="Arial" w:cs="Arial" w:eastAsia="Arial" w:hAnsi="Arial"/>
          <w:sz w:val="18"/>
          <w:szCs w:val="18"/>
          <w:color w:val="auto"/>
        </w:rPr>
        <w:t>Information which is required to be disclosed by law, court order, or government regulation.</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means the entity listed in the Preamble and any of its Affiliates.</w:t>
      </w:r>
    </w:p>
    <w:p>
      <w:pPr>
        <w:spacing w:after="0" w:line="130" w:lineRule="exact"/>
        <w:rPr>
          <w:rFonts w:ascii="Arial" w:cs="Arial" w:eastAsia="Arial" w:hAnsi="Arial"/>
          <w:sz w:val="18"/>
          <w:szCs w:val="18"/>
          <w:color w:val="auto"/>
        </w:rPr>
      </w:pPr>
    </w:p>
    <w:p>
      <w:pPr>
        <w:ind w:left="860" w:right="60" w:hanging="424"/>
        <w:spacing w:after="0" w:line="261" w:lineRule="auto"/>
        <w:tabs>
          <w:tab w:leader="none" w:pos="8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means the United States patents and patent applications listed in </w:t>
      </w:r>
      <w:r>
        <w:rPr>
          <w:rFonts w:ascii="Arial" w:cs="Arial" w:eastAsia="Arial" w:hAnsi="Arial"/>
          <w:sz w:val="18"/>
          <w:szCs w:val="18"/>
          <w:b w:val="1"/>
          <w:bCs w:val="1"/>
          <w:color w:val="auto"/>
        </w:rPr>
        <w:t>Appendix A</w:t>
      </w:r>
      <w:r>
        <w:rPr>
          <w:rFonts w:ascii="Arial" w:cs="Arial" w:eastAsia="Arial" w:hAnsi="Arial"/>
          <w:sz w:val="18"/>
          <w:szCs w:val="18"/>
          <w:color w:val="auto"/>
        </w:rPr>
        <w:t>, together with any and all divisionals and continuations of those applications and the patents issued therefrom, including any reissues, reexaminations, or extensions of such patents, and claims of any continuations-in-part applications and resulting patents that are directed to inventions specifically described and enabled in the patents and patent applications listed in Appendix A.</w:t>
      </w:r>
    </w:p>
    <w:p>
      <w:pPr>
        <w:spacing w:after="0" w:line="85" w:lineRule="exact"/>
        <w:rPr>
          <w:rFonts w:ascii="Arial" w:cs="Arial" w:eastAsia="Arial" w:hAnsi="Arial"/>
          <w:sz w:val="18"/>
          <w:szCs w:val="18"/>
          <w:color w:val="auto"/>
        </w:rPr>
      </w:pPr>
    </w:p>
    <w:p>
      <w:pPr>
        <w:ind w:left="860" w:right="180" w:hanging="424"/>
        <w:spacing w:after="0" w:line="261" w:lineRule="auto"/>
        <w:tabs>
          <w:tab w:leader="none" w:pos="8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service, or process, the making, use, offer for sale, sale, importation or rendering of which would infringe one or more Valid Claims in the country in which it is made, used, sold, offered for sale, imported, or rendered; or any product which is manufactured, or any service which is rendered, using a process which would infringe one or more Valid Claims in the country in which it is made, used, sold offered for sale, imported, or rendered.</w:t>
      </w:r>
    </w:p>
    <w:p>
      <w:pPr>
        <w:spacing w:after="0" w:line="85" w:lineRule="exact"/>
        <w:rPr>
          <w:rFonts w:ascii="Arial" w:cs="Arial" w:eastAsia="Arial" w:hAnsi="Arial"/>
          <w:sz w:val="18"/>
          <w:szCs w:val="18"/>
          <w:color w:val="auto"/>
        </w:rPr>
      </w:pPr>
    </w:p>
    <w:p>
      <w:pPr>
        <w:ind w:left="860" w:right="100" w:hanging="424"/>
        <w:spacing w:after="0" w:line="282" w:lineRule="auto"/>
        <w:tabs>
          <w:tab w:leader="none" w:pos="8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Date</w:t>
      </w:r>
      <w:r>
        <w:rPr>
          <w:rFonts w:ascii="Arial" w:cs="Arial" w:eastAsia="Arial" w:hAnsi="Arial"/>
          <w:sz w:val="18"/>
          <w:szCs w:val="18"/>
          <w:color w:val="auto"/>
        </w:rPr>
        <w:t>” means the date the party to whom notice is sent receives the notice at the address indicated in Article 10.2. Notice Date does not mean actual notice.</w:t>
      </w:r>
    </w:p>
    <w:p>
      <w:pPr>
        <w:spacing w:after="0" w:line="94"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5" w:right="439" w:bottom="1440" w:gutter="0" w:footer="0" w:header="0"/>
        </w:sectPr>
      </w:pPr>
    </w:p>
    <w:bookmarkStart w:id="910" w:name="page911"/>
    <w:bookmarkEnd w:id="910"/>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77" w:lineRule="exact"/>
        <w:rPr>
          <w:sz w:val="20"/>
          <w:szCs w:val="20"/>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party who receives information from the other party to this Agreement.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Executives</w:t>
      </w:r>
      <w:r>
        <w:rPr>
          <w:rFonts w:ascii="Arial" w:cs="Arial" w:eastAsia="Arial" w:hAnsi="Arial"/>
          <w:sz w:val="18"/>
          <w:szCs w:val="18"/>
          <w:color w:val="auto"/>
        </w:rPr>
        <w:t>” means a person with authority to contractually bind the party.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Agreement</w:t>
      </w:r>
      <w:r>
        <w:rPr>
          <w:rFonts w:ascii="Arial" w:cs="Arial" w:eastAsia="Arial" w:hAnsi="Arial"/>
          <w:sz w:val="18"/>
          <w:szCs w:val="18"/>
          <w:color w:val="auto"/>
        </w:rPr>
        <w:t>” has the meaning assigned to it in the Background.</w:t>
      </w:r>
    </w:p>
    <w:p>
      <w:pPr>
        <w:spacing w:after="0" w:line="130" w:lineRule="exact"/>
        <w:rPr>
          <w:rFonts w:ascii="Arial" w:cs="Arial" w:eastAsia="Arial" w:hAnsi="Arial"/>
          <w:sz w:val="18"/>
          <w:szCs w:val="18"/>
          <w:color w:val="auto"/>
        </w:rPr>
      </w:pPr>
    </w:p>
    <w:p>
      <w:pPr>
        <w:ind w:left="860" w:right="740" w:hanging="424"/>
        <w:spacing w:after="0" w:line="282" w:lineRule="auto"/>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w:t>
      </w:r>
      <w:r>
        <w:rPr>
          <w:rFonts w:ascii="Arial" w:cs="Arial" w:eastAsia="Arial" w:hAnsi="Arial"/>
          <w:sz w:val="18"/>
          <w:szCs w:val="18"/>
          <w:color w:val="auto"/>
        </w:rPr>
        <w:t>” means a grant of rights by Licensee to a third party to make, have made, use, have used, sell, have sold, import, have imported, exported, or have exported Licensed Product.</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the third party granted a Sublicense from the Licensee.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Article 9.1.</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right="720" w:hanging="424"/>
        <w:spacing w:after="0" w:line="282" w:lineRule="auto"/>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 Indemnitees</w:t>
      </w:r>
      <w:r>
        <w:rPr>
          <w:rFonts w:ascii="Arial" w:cs="Arial" w:eastAsia="Arial" w:hAnsi="Arial"/>
          <w:sz w:val="18"/>
          <w:szCs w:val="18"/>
          <w:color w:val="auto"/>
        </w:rPr>
        <w:t>” includes the University, its regents, employees, students, officers, agents, affiliates, representatives, and inventors.</w:t>
      </w:r>
    </w:p>
    <w:p>
      <w:pPr>
        <w:spacing w:after="0" w:line="67" w:lineRule="exact"/>
        <w:rPr>
          <w:rFonts w:ascii="Arial" w:cs="Arial" w:eastAsia="Arial" w:hAnsi="Arial"/>
          <w:sz w:val="18"/>
          <w:szCs w:val="18"/>
          <w:color w:val="auto"/>
        </w:rPr>
      </w:pPr>
    </w:p>
    <w:p>
      <w:pPr>
        <w:ind w:left="860" w:hanging="424"/>
        <w:spacing w:after="0" w:line="266" w:lineRule="auto"/>
        <w:tabs>
          <w:tab w:leader="none" w:pos="86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pending or issued and unexpired claim of a Licensed Patent so long as the claim has not been irrevocably abandoned or declared to be invalid through no fault of the Licensee in a non-appealable decision of a court or other government agency of competent jurisdiction.</w:t>
      </w:r>
    </w:p>
    <w:p>
      <w:pPr>
        <w:spacing w:after="0" w:line="1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Other Definitional Provisions</w:t>
      </w:r>
      <w:r>
        <w:rPr>
          <w:rFonts w:ascii="Arial" w:cs="Arial" w:eastAsia="Arial" w:hAnsi="Arial"/>
          <w:sz w:val="16"/>
          <w:szCs w:val="16"/>
          <w:color w:val="auto"/>
        </w:rPr>
        <w:t>.</w:t>
      </w:r>
    </w:p>
    <w:p>
      <w:pPr>
        <w:spacing w:after="0" w:line="135" w:lineRule="exact"/>
        <w:rPr>
          <w:sz w:val="20"/>
          <w:szCs w:val="20"/>
          <w:color w:val="auto"/>
        </w:rPr>
      </w:pPr>
    </w:p>
    <w:p>
      <w:pPr>
        <w:ind w:left="860" w:hanging="424"/>
        <w:spacing w:after="0"/>
        <w:tabs>
          <w:tab w:leader="none" w:pos="86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All references to statutes and related regulations include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4"/>
        </w:numPr>
        <w:rPr>
          <w:rFonts w:ascii="Arial" w:cs="Arial" w:eastAsia="Arial" w:hAnsi="Arial"/>
          <w:sz w:val="18"/>
          <w:szCs w:val="18"/>
          <w:color w:val="auto"/>
        </w:rPr>
      </w:pPr>
      <w:r>
        <w:rPr>
          <w:rFonts w:ascii="Arial" w:cs="Arial" w:eastAsia="Arial" w:hAnsi="Arial"/>
          <w:sz w:val="18"/>
          <w:szCs w:val="18"/>
          <w:color w:val="auto"/>
        </w:rPr>
        <w:t>any past and future amendments of those statutes and related regulations;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4"/>
        </w:numPr>
        <w:rPr>
          <w:rFonts w:ascii="Arial" w:cs="Arial" w:eastAsia="Arial" w:hAnsi="Arial"/>
          <w:sz w:val="18"/>
          <w:szCs w:val="18"/>
          <w:color w:val="auto"/>
        </w:rPr>
      </w:pPr>
      <w:r>
        <w:rPr>
          <w:rFonts w:ascii="Arial" w:cs="Arial" w:eastAsia="Arial" w:hAnsi="Arial"/>
          <w:sz w:val="18"/>
          <w:szCs w:val="18"/>
          <w:color w:val="auto"/>
        </w:rPr>
        <w:t>any successor statues and related regulations.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The words “including,” “includes,” and “include” are deemed to be followed by the words “without limitation.”</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All references to currency in this Agreement such as “Dollars” or “$” refer to the lawful currency of the United States of America.</w:t>
      </w:r>
    </w:p>
    <w:p>
      <w:pPr>
        <w:spacing w:after="0" w:line="154"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1" w:name="page912"/>
    <w:bookmarkEnd w:id="911"/>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Grant and Reservation of Rights</w:t>
      </w:r>
    </w:p>
    <w:p>
      <w:pPr>
        <w:spacing w:after="0" w:line="225"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License</w:t>
      </w:r>
      <w:r>
        <w:rPr>
          <w:rFonts w:ascii="Arial" w:cs="Arial" w:eastAsia="Arial" w:hAnsi="Arial"/>
          <w:sz w:val="18"/>
          <w:szCs w:val="18"/>
          <w:color w:val="auto"/>
        </w:rPr>
        <w:t>. Subject to the terms and conditions of this Agreement and the Settlement Agreement, the University grants to the Licensee a non-exclusive license to the Licensed Patents to make, have made, use, import, offer to sell, sell, and practice the Licensed Products in the Field(s) of Use and the Territory.</w:t>
      </w:r>
    </w:p>
    <w:p>
      <w:pPr>
        <w:spacing w:after="0" w:line="176" w:lineRule="exact"/>
        <w:rPr>
          <w:sz w:val="20"/>
          <w:szCs w:val="20"/>
          <w:color w:val="auto"/>
        </w:rPr>
      </w:pPr>
    </w:p>
    <w:p>
      <w:pPr>
        <w:ind w:right="200" w:firstLine="441"/>
        <w:spacing w:after="0" w:line="34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Limitation on Rights</w:t>
      </w:r>
      <w:r>
        <w:rPr>
          <w:rFonts w:ascii="Arial" w:cs="Arial" w:eastAsia="Arial" w:hAnsi="Arial"/>
          <w:sz w:val="16"/>
          <w:szCs w:val="16"/>
          <w:color w:val="auto"/>
        </w:rPr>
        <w:t>. This Agreement confers no license or rights by implication, estoppel, or otherwise under any patent applications or patents of the University other than the Licensed Patents, regardless of whether such patents are dominant or subordinate to the Licensed Patents.</w:t>
      </w:r>
    </w:p>
    <w:p>
      <w:pPr>
        <w:spacing w:after="0" w:line="116" w:lineRule="exact"/>
        <w:rPr>
          <w:sz w:val="20"/>
          <w:szCs w:val="20"/>
          <w:color w:val="auto"/>
        </w:rPr>
      </w:pPr>
    </w:p>
    <w:p>
      <w:pPr>
        <w:ind w:right="100" w:firstLine="441"/>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Reservation of Rights</w:t>
      </w:r>
      <w:r>
        <w:rPr>
          <w:rFonts w:ascii="Arial" w:cs="Arial" w:eastAsia="Arial" w:hAnsi="Arial"/>
          <w:sz w:val="17"/>
          <w:szCs w:val="17"/>
          <w:color w:val="auto"/>
        </w:rPr>
        <w:t>. The University retains all rights under the Licensed Patents, subject to the license granted to Licensee under Article 2.1. Without limiting the foregoing sentence, the University expressly reserves the right to grant further non-exclusive licenses under the Licensed Patents to any third parties to make, have made, use, import, offer to sell, sell, and practice Licensed Products in any fields of use and in all applicable territories. Further, the University retains the right to market the Licensed Patents to potential non-exclusive licensees.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Economic Consideration</w:t>
      </w:r>
    </w:p>
    <w:p>
      <w:pPr>
        <w:spacing w:after="0" w:line="229"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 xml:space="preserve">3.1 As consideration for the license and rights granted under this Agreement and the Settlement Agreement, Licensee agrees to pay to the University the economic consideration specified in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Sublicensing</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Sublicenses Permitted</w:t>
      </w:r>
      <w:r>
        <w:rPr>
          <w:rFonts w:ascii="Arial" w:cs="Arial" w:eastAsia="Arial" w:hAnsi="Arial"/>
          <w:sz w:val="16"/>
          <w:szCs w:val="16"/>
          <w:color w:val="auto"/>
        </w:rPr>
        <w:t>. Licensee may sublicense the rights granted in Article 2.</w:t>
      </w:r>
    </w:p>
    <w:p>
      <w:pPr>
        <w:spacing w:after="0" w:line="225"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Responsibility for Sublicensees</w:t>
      </w:r>
      <w:r>
        <w:rPr>
          <w:rFonts w:ascii="Arial" w:cs="Arial" w:eastAsia="Arial" w:hAnsi="Arial"/>
          <w:sz w:val="18"/>
          <w:szCs w:val="18"/>
          <w:color w:val="auto"/>
        </w:rPr>
        <w:t>. Licensee retains all responsibility for the performance of all Sublicensees under a Sublicense as if the performance was carried out by the Licensee itself.</w:t>
      </w:r>
    </w:p>
    <w:p>
      <w:pPr>
        <w:spacing w:after="0" w:line="162" w:lineRule="exact"/>
        <w:rPr>
          <w:sz w:val="20"/>
          <w:szCs w:val="20"/>
          <w:color w:val="auto"/>
        </w:rPr>
      </w:pPr>
    </w:p>
    <w:p>
      <w:pPr>
        <w:ind w:right="820" w:firstLine="441"/>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Required Provisions</w:t>
      </w:r>
      <w:r>
        <w:rPr>
          <w:rFonts w:ascii="Arial" w:cs="Arial" w:eastAsia="Arial" w:hAnsi="Arial"/>
          <w:sz w:val="18"/>
          <w:szCs w:val="18"/>
          <w:color w:val="auto"/>
        </w:rPr>
        <w:t>. Licensee shall include the following provision for the benefit of the University in all Sublicenses: Article 7 Warranties, Indemnification, and Insurance.</w:t>
      </w:r>
    </w:p>
    <w:p>
      <w:pPr>
        <w:spacing w:after="0" w:line="162"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b w:val="1"/>
          <w:bCs w:val="1"/>
          <w:color w:val="auto"/>
        </w:rPr>
        <w:t>Termination of License or Sublicense</w:t>
      </w:r>
      <w:r>
        <w:rPr>
          <w:rFonts w:ascii="Arial" w:cs="Arial" w:eastAsia="Arial" w:hAnsi="Arial"/>
          <w:sz w:val="15"/>
          <w:szCs w:val="15"/>
          <w:color w:val="auto"/>
        </w:rPr>
        <w:t>.</w:t>
      </w:r>
    </w:p>
    <w:p>
      <w:pPr>
        <w:spacing w:after="0" w:line="135" w:lineRule="exact"/>
        <w:rPr>
          <w:sz w:val="20"/>
          <w:szCs w:val="20"/>
          <w:color w:val="auto"/>
        </w:rPr>
      </w:pPr>
    </w:p>
    <w:p>
      <w:pPr>
        <w:ind w:left="860" w:hanging="424"/>
        <w:spacing w:after="0"/>
        <w:tabs>
          <w:tab w:leader="none" w:pos="86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Licensee shall cause the Sublicense to be subject to the termination of this Agreement.</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Licensee shall require the automatic termination of the Sublicense in the event the Sublicensee institutes a legal action challenging the validity of any Licensed Patent.</w:t>
      </w:r>
    </w:p>
    <w:p>
      <w:pPr>
        <w:spacing w:after="0" w:line="99"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3" w:right="439" w:bottom="1440" w:gutter="0" w:footer="0" w:header="0"/>
        </w:sectPr>
      </w:pPr>
    </w:p>
    <w:bookmarkStart w:id="912" w:name="page913"/>
    <w:bookmarkEnd w:id="912"/>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77" w:lineRule="exact"/>
        <w:rPr>
          <w:sz w:val="20"/>
          <w:szCs w:val="20"/>
          <w:color w:val="auto"/>
        </w:rPr>
      </w:pPr>
    </w:p>
    <w:p>
      <w:pPr>
        <w:jc w:val="both"/>
        <w:ind w:right="280" w:firstLine="441"/>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Copy of Sublicense</w:t>
      </w:r>
      <w:r>
        <w:rPr>
          <w:rFonts w:ascii="Arial" w:cs="Arial" w:eastAsia="Arial" w:hAnsi="Arial"/>
          <w:sz w:val="18"/>
          <w:szCs w:val="18"/>
          <w:color w:val="auto"/>
        </w:rPr>
        <w:t>. Licensee shall submit to the University a copy of each fully executed Sublicense agreement and any amendments to Sublicenses granted by the Licensee under this Agreement. The Sublicense agreements and amendments must be postmarked within 30 days of their execution.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Confidential Information</w:t>
      </w:r>
    </w:p>
    <w:p>
      <w:pPr>
        <w:spacing w:after="0" w:line="22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Responsibilities</w:t>
      </w:r>
      <w:r>
        <w:rPr>
          <w:rFonts w:ascii="Arial" w:cs="Arial" w:eastAsia="Arial" w:hAnsi="Arial"/>
          <w:sz w:val="18"/>
          <w:szCs w:val="18"/>
          <w:color w:val="auto"/>
        </w:rPr>
        <w:t>. The parties shall vigilantly protect all Confidential Information from disclosure to third parties. The parties shall not make disclosures of the Confidential Information without the written permission of the other party. For clarity, either party may disclose the existence of this Agreement, but neither party may disclose the Confidential Information without the written permission of the other party, except as may be required to be disclosed by law, court order, or government regulation, provided that a party may only disclose those terms of this Agreement it is legally required to disclose. Licensee may disclose Confidential Information, other than the Financial Conditions set forth in Paragraph 2 of Appendix A, to business partners or potential business partners to document the freedom to operate for any Licensed Product, or to respond to any party that accuses Licensee of not having freedom to operate for any Licensed Product, provided that the business partner, potential business partner, or party receiving the Confidential Information is bound by an agreement to maintain the confidentiality of the Confidential Information. Licensee may request in writing consent from the University to disclose, under obligations of confidentiality, the Financial Conditions set forth in Paragraph 2 of Appendix A to certain business partners or potential business partners. The University hereby agrees to consider such requests in a timely manner and not unreasonably withhold consent.</w:t>
      </w:r>
    </w:p>
    <w:p>
      <w:pPr>
        <w:spacing w:after="0" w:line="193"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Ownership</w:t>
      </w:r>
      <w:r>
        <w:rPr>
          <w:rFonts w:ascii="Arial" w:cs="Arial" w:eastAsia="Arial" w:hAnsi="Arial"/>
          <w:sz w:val="18"/>
          <w:szCs w:val="18"/>
          <w:color w:val="auto"/>
        </w:rPr>
        <w:t>. All written documents containing Confidential Information and other material in tangible form received by the Recipient under this Agreement remains the property of the disclosing party. Upon request of the disclosing party, the Recipient shall return such documents to the disclosing party or provide evidence of their destruction.</w:t>
      </w:r>
    </w:p>
    <w:p>
      <w:pPr>
        <w:spacing w:after="0" w:line="176"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CORA</w:t>
      </w:r>
      <w:r>
        <w:rPr>
          <w:rFonts w:ascii="Arial" w:cs="Arial" w:eastAsia="Arial" w:hAnsi="Arial"/>
          <w:sz w:val="18"/>
          <w:szCs w:val="18"/>
          <w:color w:val="auto"/>
        </w:rPr>
        <w:t>. Licensee acknowledges that the University is subject to the Colorado Open Records Act, C.R.S. §§ 24-72-201, et seq. (CORA). All plans and reports marked “Confidential” shall be treated by the University as confidential to the extent permitted under § 24-72-204. Certain categories of information, including trade secrets and information implicating legal privileges, are not required to be released in response to requests for information under CORA.</w:t>
      </w:r>
    </w:p>
    <w:p>
      <w:pPr>
        <w:spacing w:after="0" w:line="113"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5" w:right="439" w:bottom="1440" w:gutter="0" w:footer="0" w:header="0"/>
        </w:sectPr>
      </w:pPr>
    </w:p>
    <w:bookmarkStart w:id="913" w:name="page914"/>
    <w:bookmarkEnd w:id="913"/>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Export</w:t>
      </w:r>
    </w:p>
    <w:p>
      <w:pPr>
        <w:spacing w:after="0" w:line="225" w:lineRule="exact"/>
        <w:rPr>
          <w:sz w:val="20"/>
          <w:szCs w:val="20"/>
          <w:color w:val="auto"/>
        </w:rPr>
      </w:pPr>
    </w:p>
    <w:p>
      <w:pPr>
        <w:ind w:right="360" w:firstLine="441"/>
        <w:spacing w:after="0" w:line="26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Export Prohibition</w:t>
      </w:r>
      <w:r>
        <w:rPr>
          <w:rFonts w:ascii="Arial" w:cs="Arial" w:eastAsia="Arial" w:hAnsi="Arial"/>
          <w:sz w:val="18"/>
          <w:szCs w:val="18"/>
          <w:color w:val="auto"/>
        </w:rPr>
        <w:t>. Licensee shall not export or re-export Licensed Patents, Licensed Products, know-how, confidential information or technical information to any country, individual, or entity except when such export or re-export is authorized in full compliance with the laws and regulations of the United States, as applicable.</w:t>
      </w:r>
    </w:p>
    <w:p>
      <w:pPr>
        <w:spacing w:after="0" w:line="176" w:lineRule="exact"/>
        <w:rPr>
          <w:sz w:val="20"/>
          <w:szCs w:val="20"/>
          <w:color w:val="auto"/>
        </w:rPr>
      </w:pPr>
    </w:p>
    <w:p>
      <w:pPr>
        <w:ind w:right="920" w:firstLine="441"/>
        <w:spacing w:after="0" w:line="34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Applicable Law</w:t>
      </w:r>
      <w:r>
        <w:rPr>
          <w:rFonts w:ascii="Arial" w:cs="Arial" w:eastAsia="Arial" w:hAnsi="Arial"/>
          <w:sz w:val="16"/>
          <w:szCs w:val="16"/>
          <w:color w:val="auto"/>
        </w:rPr>
        <w:t>. Applicable laws and regulations may include but are not limited to the Export Administration Regulations, the International Traffic in Arms Regulations, and the economic sanctions regulations administered by the U.S. Department of the Treasury.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Patent Prosecution and Enforcement</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7.1 University retains sole responsibility for the maintenance of the Licensed Patent in its sole discretion, but has no obligation to maintain the Licensed Patent.</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7.2 University retains sole responsibility to bring or prosecute actions or suits against third parties for infringement in its sole discretion, but has no obligation to bring or prosecute any such suits or actions.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Warranties, Indemnifications, and Insurance</w:t>
      </w:r>
    </w:p>
    <w:p>
      <w:pPr>
        <w:spacing w:after="0" w:line="22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University warrants that, as of the effective date of this Agreement, the University has no knowledge of:</w:t>
      </w:r>
    </w:p>
    <w:p>
      <w:pPr>
        <w:spacing w:after="0" w:line="131" w:lineRule="exact"/>
        <w:rPr>
          <w:sz w:val="20"/>
          <w:szCs w:val="20"/>
          <w:color w:val="auto"/>
        </w:rPr>
      </w:pPr>
    </w:p>
    <w:p>
      <w:pPr>
        <w:ind w:left="860" w:hanging="424"/>
        <w:spacing w:after="0"/>
        <w:tabs>
          <w:tab w:leader="none" w:pos="86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any challenge or dispute regarding the University’s ability to grant the rights provided in Article 2 of this Agreement; and</w:t>
      </w:r>
    </w:p>
    <w:p>
      <w:pPr>
        <w:spacing w:after="0" w:line="130" w:lineRule="exact"/>
        <w:rPr>
          <w:rFonts w:ascii="Arial" w:cs="Arial" w:eastAsia="Arial" w:hAnsi="Arial"/>
          <w:sz w:val="18"/>
          <w:szCs w:val="18"/>
          <w:color w:val="auto"/>
        </w:rPr>
      </w:pPr>
    </w:p>
    <w:p>
      <w:pPr>
        <w:ind w:left="860" w:right="200" w:hanging="424"/>
        <w:spacing w:after="0" w:line="277" w:lineRule="auto"/>
        <w:tabs>
          <w:tab w:leader="none" w:pos="86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any agreement with the Brigham and Women’s Hospital, Inc., or any Affiliate thereof that prevents the University from granting the rights provided in Article 2 of this Agreement.</w:t>
      </w:r>
    </w:p>
    <w:p>
      <w:pPr>
        <w:spacing w:after="0" w:line="1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Disclaimer of Warranties</w:t>
      </w:r>
      <w:r>
        <w:rPr>
          <w:rFonts w:ascii="Arial" w:cs="Arial" w:eastAsia="Arial" w:hAnsi="Arial"/>
          <w:sz w:val="16"/>
          <w:szCs w:val="16"/>
          <w:color w:val="auto"/>
        </w:rPr>
        <w:t>.</w:t>
      </w:r>
    </w:p>
    <w:p>
      <w:pPr>
        <w:spacing w:after="0" w:line="135" w:lineRule="exact"/>
        <w:rPr>
          <w:sz w:val="20"/>
          <w:szCs w:val="20"/>
          <w:color w:val="auto"/>
        </w:rPr>
      </w:pPr>
    </w:p>
    <w:p>
      <w:pPr>
        <w:ind w:left="860" w:right="200" w:hanging="424"/>
        <w:spacing w:after="0" w:line="279" w:lineRule="auto"/>
        <w:tabs>
          <w:tab w:leader="none" w:pos="860" w:val="left"/>
        </w:tabs>
        <w:numPr>
          <w:ilvl w:val="0"/>
          <w:numId w:val="837"/>
        </w:numPr>
        <w:rPr>
          <w:rFonts w:ascii="Arial" w:cs="Arial" w:eastAsia="Arial" w:hAnsi="Arial"/>
          <w:sz w:val="17"/>
          <w:szCs w:val="17"/>
          <w:color w:val="auto"/>
        </w:rPr>
      </w:pPr>
      <w:r>
        <w:rPr>
          <w:rFonts w:ascii="Arial" w:cs="Arial" w:eastAsia="Arial" w:hAnsi="Arial"/>
          <w:sz w:val="17"/>
          <w:szCs w:val="17"/>
          <w:color w:val="auto"/>
        </w:rPr>
        <w:t>THE UNIVERSITY MAKES NO OTHER REPRESENTATIONS, EXTENDS NO WARRANTIES OF ANY KIND, EITHER EXPRESS OR IMPLIED, AND ASSUMES NO RESPONSIBILITIES WHATSOEVER WITH RESPECT TO USE, SALE, OR OTHER DISPOSITION BY LICENSEE OR ITS SUBLICENSEES, VENDEES OR OTHER TRANSFEREES OF LICENSED PRODUCTS OR ANY OTHER PRODUCTS OR PROCESSES INCORPORATING OR MADE BY USE OF THE LICENSED PATENTS.</w:t>
      </w:r>
    </w:p>
    <w:p>
      <w:pPr>
        <w:spacing w:after="0" w:line="100"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4" w:name="page915"/>
    <w:bookmarkEnd w:id="914"/>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ind w:left="860" w:right="80" w:hanging="424"/>
        <w:spacing w:after="0" w:line="259" w:lineRule="auto"/>
        <w:tabs>
          <w:tab w:leader="none" w:pos="86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THERE ARE NO EXPRESS OR IMPLIED WARRANTIES OF MERCHANTABILITY OR FITNESS FOR A PARTICULAR PURPOSE, OR THAT THE USE OR SALE OF LICENSED PRODUCTS OR ANY OTHER PRODUCTS OR PROCESSES INCORPORATING OR MADE BY USE OF THE LICENSED PATENTS WILL NOT INFRINGE ANY PATENT, COPYRIGHT, TRADEMARK, SERVICE MARK, OR OTHER RIGHTS.</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Nothing in this Agreement may be construed as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38"/>
        </w:numPr>
        <w:rPr>
          <w:rFonts w:ascii="Arial" w:cs="Arial" w:eastAsia="Arial" w:hAnsi="Arial"/>
          <w:sz w:val="17"/>
          <w:szCs w:val="17"/>
          <w:color w:val="auto"/>
        </w:rPr>
      </w:pPr>
      <w:r>
        <w:rPr>
          <w:rFonts w:ascii="Arial" w:cs="Arial" w:eastAsia="Arial" w:hAnsi="Arial"/>
          <w:sz w:val="17"/>
          <w:szCs w:val="17"/>
          <w:color w:val="auto"/>
        </w:rPr>
        <w:t>a warranty or representation by the University as to the validity or scope of any of the rights included in the Licensed Patents;</w:t>
      </w:r>
    </w:p>
    <w:p>
      <w:pPr>
        <w:spacing w:after="0" w:line="142" w:lineRule="exact"/>
        <w:rPr>
          <w:rFonts w:ascii="Arial" w:cs="Arial" w:eastAsia="Arial" w:hAnsi="Arial"/>
          <w:sz w:val="17"/>
          <w:szCs w:val="17"/>
          <w:color w:val="auto"/>
        </w:rPr>
      </w:pPr>
    </w:p>
    <w:p>
      <w:pPr>
        <w:ind w:left="1420" w:right="200" w:hanging="538"/>
        <w:spacing w:after="0" w:line="277" w:lineRule="auto"/>
        <w:tabs>
          <w:tab w:leader="none" w:pos="142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 warranty or representation that the Licensed Patents or anything made, used, sold or otherwise disposed of under this Agreement will or will not infringe patents, copyrights or other rights;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an obligation to furnish any know-how or services not expressly agreed to in this Agreement, or</w:t>
      </w:r>
    </w:p>
    <w:p>
      <w:pPr>
        <w:spacing w:after="0" w:line="130" w:lineRule="exact"/>
        <w:rPr>
          <w:rFonts w:ascii="Arial" w:cs="Arial" w:eastAsia="Arial" w:hAnsi="Arial"/>
          <w:sz w:val="18"/>
          <w:szCs w:val="18"/>
          <w:color w:val="auto"/>
        </w:rPr>
      </w:pPr>
    </w:p>
    <w:p>
      <w:pPr>
        <w:ind w:left="1420" w:right="60" w:hanging="538"/>
        <w:spacing w:after="0" w:line="277" w:lineRule="auto"/>
        <w:tabs>
          <w:tab w:leader="none" w:pos="142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an obligation by the University to bring or prosecute actions or suits against third parties for infringement, or to provide any services other than those specified in this Agreement.</w:t>
      </w:r>
    </w:p>
    <w:p>
      <w:pPr>
        <w:spacing w:after="0" w:line="166" w:lineRule="exact"/>
        <w:rPr>
          <w:sz w:val="20"/>
          <w:szCs w:val="20"/>
          <w:color w:val="auto"/>
        </w:rPr>
      </w:pPr>
    </w:p>
    <w:p>
      <w:pPr>
        <w:ind w:right="240" w:firstLine="441"/>
        <w:spacing w:after="0" w:line="31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Indemnification</w:t>
      </w:r>
      <w:r>
        <w:rPr>
          <w:rFonts w:ascii="Arial" w:cs="Arial" w:eastAsia="Arial" w:hAnsi="Arial"/>
          <w:sz w:val="16"/>
          <w:szCs w:val="16"/>
          <w:color w:val="auto"/>
        </w:rPr>
        <w:t>. Licensee shall indemnify, defend, and hold University Indemnitees harmless from and against all liability, demands, damages, losses, and expenses (including attorney fees), for death, personal injury, illness, property damage, noncompliance with applicable laws and any other claim, proceeding, demand, expense and liability of any kind whatsoever in connection with or arising out of any of the following:</w:t>
      </w:r>
    </w:p>
    <w:p>
      <w:pPr>
        <w:spacing w:after="0" w:line="52" w:lineRule="exact"/>
        <w:rPr>
          <w:sz w:val="20"/>
          <w:szCs w:val="20"/>
          <w:color w:val="auto"/>
        </w:rPr>
      </w:pPr>
    </w:p>
    <w:p>
      <w:pPr>
        <w:ind w:left="860" w:hanging="424"/>
        <w:spacing w:after="0"/>
        <w:tabs>
          <w:tab w:leader="none" w:pos="86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use by or on behalf of Licensee, its Sublicensees, directors, officers, employees, or third parties of any Licensed Patents;</w:t>
      </w:r>
    </w:p>
    <w:p>
      <w:pPr>
        <w:spacing w:after="0" w:line="130" w:lineRule="exact"/>
        <w:rPr>
          <w:rFonts w:ascii="Arial" w:cs="Arial" w:eastAsia="Arial" w:hAnsi="Arial"/>
          <w:sz w:val="18"/>
          <w:szCs w:val="18"/>
          <w:color w:val="auto"/>
        </w:rPr>
      </w:pPr>
    </w:p>
    <w:p>
      <w:pPr>
        <w:ind w:left="860" w:right="260" w:hanging="424"/>
        <w:spacing w:after="0" w:line="342" w:lineRule="auto"/>
        <w:tabs>
          <w:tab w:leader="none" w:pos="860" w:val="left"/>
        </w:tabs>
        <w:numPr>
          <w:ilvl w:val="0"/>
          <w:numId w:val="839"/>
        </w:numPr>
        <w:rPr>
          <w:rFonts w:ascii="Arial" w:cs="Arial" w:eastAsia="Arial" w:hAnsi="Arial"/>
          <w:sz w:val="16"/>
          <w:szCs w:val="16"/>
          <w:color w:val="auto"/>
        </w:rPr>
      </w:pPr>
      <w:r>
        <w:rPr>
          <w:rFonts w:ascii="Arial" w:cs="Arial" w:eastAsia="Arial" w:hAnsi="Arial"/>
          <w:sz w:val="16"/>
          <w:szCs w:val="16"/>
          <w:color w:val="auto"/>
        </w:rPr>
        <w:t>The design, manufacture, production, distribution, advertisement, consumption, sale, lease, sublicense or use of any Licensed Products or materials by Licensee, or other products or processes developed in connection with or arising out of the Licensed Patents; or</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Any right or obligation of Licensee under this Agreement.</w:t>
      </w:r>
    </w:p>
    <w:p>
      <w:pPr>
        <w:spacing w:after="0" w:line="221"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Insurance</w:t>
      </w:r>
      <w:r>
        <w:rPr>
          <w:rFonts w:ascii="Arial" w:cs="Arial" w:eastAsia="Arial" w:hAnsi="Arial"/>
          <w:sz w:val="18"/>
          <w:szCs w:val="18"/>
          <w:color w:val="auto"/>
        </w:rPr>
        <w:t>. Licensee shall, at its sole cost and expense, procure and maintain reasonable commercial general liability insurance, including product liability coverage and coverage for Licensee’s indemnification obligation under this</w:t>
      </w:r>
    </w:p>
    <w:p>
      <w:pPr>
        <w:spacing w:after="0" w:line="94"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5" w:name="page916"/>
    <w:bookmarkEnd w:id="915"/>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Agreement, in commercially reasonable and appropriate amounts for the Licensed Product being used, sold, distributed, imported or rendered. Licensee shall provide proof of such insurance coverage as of the Effective Date, and at any time after the Effective Date upon receipt of University’s written request to provide proof of such coverage.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Duration, Conditions, Termination, and Conversion</w:t>
      </w:r>
    </w:p>
    <w:p>
      <w:pPr>
        <w:spacing w:after="0" w:line="225"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Term</w:t>
      </w:r>
      <w:r>
        <w:rPr>
          <w:rFonts w:ascii="Arial" w:cs="Arial" w:eastAsia="Arial" w:hAnsi="Arial"/>
          <w:sz w:val="18"/>
          <w:szCs w:val="18"/>
          <w:color w:val="auto"/>
        </w:rPr>
        <w:t>. This Agreement is effective as of the Effective Date and expires on the expiration date of the last to expire patents within the Licensed Patents unless terminated pursuant to Article 9.2 or 9.3.</w:t>
      </w:r>
    </w:p>
    <w:p>
      <w:pPr>
        <w:spacing w:after="0" w:line="1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Termination of Agreement by Licensee</w:t>
      </w:r>
      <w:r>
        <w:rPr>
          <w:rFonts w:ascii="Arial" w:cs="Arial" w:eastAsia="Arial" w:hAnsi="Arial"/>
          <w:sz w:val="16"/>
          <w:szCs w:val="16"/>
          <w:color w:val="auto"/>
        </w:rPr>
        <w:t>. Licensee may terminate this Agreement at any time on 60 days prior written notice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University, if Licensee does all of the following:</w:t>
      </w:r>
    </w:p>
    <w:p>
      <w:pPr>
        <w:spacing w:after="0" w:line="116" w:lineRule="exact"/>
        <w:rPr>
          <w:sz w:val="20"/>
          <w:szCs w:val="20"/>
          <w:color w:val="auto"/>
        </w:rPr>
      </w:pPr>
    </w:p>
    <w:p>
      <w:pPr>
        <w:ind w:left="860" w:hanging="424"/>
        <w:spacing w:after="0"/>
        <w:tabs>
          <w:tab w:leader="none" w:pos="86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Pays all amounts due as well as all non-cancelable costs to the University through the termination date.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Returns any Confidential Information provided to Licensee by the University in connection with this Agreement.</w:t>
      </w:r>
    </w:p>
    <w:p>
      <w:pPr>
        <w:spacing w:after="0" w:line="130" w:lineRule="exact"/>
        <w:rPr>
          <w:rFonts w:ascii="Arial" w:cs="Arial" w:eastAsia="Arial" w:hAnsi="Arial"/>
          <w:sz w:val="18"/>
          <w:szCs w:val="18"/>
          <w:color w:val="auto"/>
        </w:rPr>
      </w:pPr>
    </w:p>
    <w:p>
      <w:pPr>
        <w:ind w:left="860" w:right="220" w:hanging="424"/>
        <w:spacing w:after="0" w:line="277" w:lineRule="auto"/>
        <w:tabs>
          <w:tab w:leader="none" w:pos="86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Licensee understands that if Licensee terminates the Agreement, University may seek to initiate legal proceedings to enforce the Licensed Patents against Licensee should University conclude it has basis to do so.</w:t>
      </w:r>
    </w:p>
    <w:p>
      <w:pPr>
        <w:spacing w:after="0" w:line="166"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Termination by University</w:t>
      </w:r>
      <w:r>
        <w:rPr>
          <w:rFonts w:ascii="Arial" w:cs="Arial" w:eastAsia="Arial" w:hAnsi="Arial"/>
          <w:sz w:val="18"/>
          <w:szCs w:val="18"/>
          <w:color w:val="auto"/>
        </w:rPr>
        <w:t>. The University may terminate this Agreement if Licensee does and fails to cure, within 30 days of notice, any of the following:</w:t>
      </w:r>
    </w:p>
    <w:p>
      <w:pPr>
        <w:spacing w:after="0" w:line="71" w:lineRule="exact"/>
        <w:rPr>
          <w:sz w:val="20"/>
          <w:szCs w:val="20"/>
          <w:color w:val="auto"/>
        </w:rPr>
      </w:pPr>
    </w:p>
    <w:p>
      <w:pPr>
        <w:ind w:left="860" w:hanging="424"/>
        <w:spacing w:after="0"/>
        <w:tabs>
          <w:tab w:leader="none" w:pos="86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Breaches any material provision of this Agreement.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Violates any laws or regulations of applicable governmental entities that have a material adverse effect on the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University;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Licensee’s ability to perform its obligations under this Agreement.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Institutes a legal action challenging the validity of any Licensed Patent.</w:t>
      </w:r>
    </w:p>
    <w:p>
      <w:pPr>
        <w:spacing w:after="0" w:line="130" w:lineRule="exact"/>
        <w:rPr>
          <w:rFonts w:ascii="Arial" w:cs="Arial" w:eastAsia="Arial" w:hAnsi="Arial"/>
          <w:sz w:val="18"/>
          <w:szCs w:val="18"/>
          <w:color w:val="auto"/>
        </w:rPr>
      </w:pPr>
    </w:p>
    <w:p>
      <w:pPr>
        <w:ind w:left="860" w:right="400" w:hanging="424"/>
        <w:spacing w:after="0" w:line="277" w:lineRule="auto"/>
        <w:tabs>
          <w:tab w:leader="none" w:pos="86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Institutes a legal action under that certain Material Transfer Agreement executed between the parties dated July 9, 2012, as amended on July 9, 2013, that certain Material Transfer Agreement</w:t>
      </w:r>
    </w:p>
    <w:p>
      <w:pPr>
        <w:spacing w:after="0" w:line="99" w:lineRule="exact"/>
        <w:rPr>
          <w:sz w:val="20"/>
          <w:szCs w:val="20"/>
          <w:color w:val="auto"/>
        </w:rPr>
      </w:pPr>
    </w:p>
    <w:p>
      <w:pPr>
        <w:spacing w:after="0"/>
        <w:tabs>
          <w:tab w:leader="none" w:pos="528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6" w:name="page917"/>
    <w:bookmarkEnd w:id="916"/>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FRE 408</w:t>
      </w:r>
    </w:p>
    <w:p>
      <w:pPr>
        <w:spacing w:after="0" w:line="181" w:lineRule="exact"/>
        <w:rPr>
          <w:sz w:val="20"/>
          <w:szCs w:val="20"/>
          <w:color w:val="auto"/>
        </w:rPr>
      </w:pPr>
    </w:p>
    <w:p>
      <w:pPr>
        <w:ind w:left="880" w:right="140"/>
        <w:spacing w:after="0" w:line="259" w:lineRule="auto"/>
        <w:rPr>
          <w:sz w:val="20"/>
          <w:szCs w:val="20"/>
          <w:color w:val="auto"/>
        </w:rPr>
      </w:pPr>
      <w:r>
        <w:rPr>
          <w:rFonts w:ascii="Arial" w:cs="Arial" w:eastAsia="Arial" w:hAnsi="Arial"/>
          <w:sz w:val="18"/>
          <w:szCs w:val="18"/>
          <w:color w:val="auto"/>
        </w:rPr>
        <w:t>executed between the University and Akebia Therapeutics, Inc., dated May 26, 2009, that certain Institution Research Agreement executed between the parties dated August 2, 2012, that certain Consulting Agreement executed between the parties and University Physicians, Inc., effective January 1, 2016, that certain Bilateral Confidentiality and Non-Disclosure Agreement entered between the parties dated May 5, 2016, or otherwise breaches the terms of the Settlement Agreement.</w:t>
      </w:r>
    </w:p>
    <w:p>
      <w:pPr>
        <w:spacing w:after="0" w:line="92" w:lineRule="exact"/>
        <w:rPr>
          <w:sz w:val="20"/>
          <w:szCs w:val="20"/>
          <w:color w:val="auto"/>
        </w:rPr>
      </w:pPr>
    </w:p>
    <w:p>
      <w:pPr>
        <w:ind w:left="860" w:hanging="424"/>
        <w:spacing w:after="0"/>
        <w:tabs>
          <w:tab w:leader="none" w:pos="86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Fails to maintain insurance as provided for in Article 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General</w:t>
      </w:r>
    </w:p>
    <w:p>
      <w:pPr>
        <w:spacing w:after="0" w:line="225" w:lineRule="exact"/>
        <w:rPr>
          <w:sz w:val="20"/>
          <w:szCs w:val="20"/>
          <w:color w:val="auto"/>
        </w:rPr>
      </w:pPr>
    </w:p>
    <w:p>
      <w:pPr>
        <w:ind w:right="80" w:firstLine="441"/>
        <w:spacing w:after="0" w:line="30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Assignment by Licensee</w:t>
      </w:r>
      <w:r>
        <w:rPr>
          <w:rFonts w:ascii="Arial" w:cs="Arial" w:eastAsia="Arial" w:hAnsi="Arial"/>
          <w:sz w:val="16"/>
          <w:szCs w:val="16"/>
          <w:color w:val="auto"/>
        </w:rPr>
        <w:t>. Licensee may assign this Agreement as part of a sale, regardless of whether such a sale occurs through an asset sale, stock sale, merger or other combination, or any other transfer of (i) Licensee’s entire business; or (ii) that part of Licensee’s business that exercises all rights granted under this Agreement, provided that Licensee shall provide the University with written notice of the assignment, including the new assignee’s contact information, within 10 days of the assignment. Any other attempt to assign this Agreement by Licensee is null and void.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General Notice</w:t>
      </w:r>
      <w:r>
        <w:rPr>
          <w:rFonts w:ascii="Arial" w:cs="Arial" w:eastAsia="Arial" w:hAnsi="Arial"/>
          <w:sz w:val="18"/>
          <w:szCs w:val="18"/>
          <w:color w:val="auto"/>
        </w:rPr>
        <w:t>.</w:t>
      </w:r>
    </w:p>
    <w:p>
      <w:pPr>
        <w:spacing w:after="0" w:line="135" w:lineRule="exact"/>
        <w:rPr>
          <w:sz w:val="20"/>
          <w:szCs w:val="20"/>
          <w:color w:val="auto"/>
        </w:rPr>
      </w:pPr>
    </w:p>
    <w:p>
      <w:pPr>
        <w:ind w:left="860" w:right="260" w:hanging="424"/>
        <w:spacing w:after="0" w:line="264" w:lineRule="auto"/>
        <w:tabs>
          <w:tab w:leader="none" w:pos="86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Notice under this Agreement is sufficient if given by registered mail, postage prepaid, and addressed to the party to receive such notice at the addresses given below, or such other address as may hereafter be designated by notice in writing. Notice is effective at the time of mailing.</w:t>
      </w:r>
    </w:p>
    <w:p>
      <w:pPr>
        <w:spacing w:after="0" w:line="7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University shall mail all general notices to Licensee to the following address:</w:t>
      </w:r>
    </w:p>
    <w:p>
      <w:pPr>
        <w:spacing w:after="0" w:line="117" w:lineRule="exact"/>
        <w:rPr>
          <w:rFonts w:ascii="Arial" w:cs="Arial" w:eastAsia="Arial" w:hAnsi="Arial"/>
          <w:sz w:val="18"/>
          <w:szCs w:val="18"/>
          <w:color w:val="auto"/>
        </w:rPr>
      </w:pPr>
    </w:p>
    <w:p>
      <w:pPr>
        <w:ind w:left="880" w:right="8300"/>
        <w:spacing w:after="0" w:line="269" w:lineRule="auto"/>
        <w:rPr>
          <w:rFonts w:ascii="Arial" w:cs="Arial" w:eastAsia="Arial" w:hAnsi="Arial"/>
          <w:sz w:val="18"/>
          <w:szCs w:val="18"/>
          <w:color w:val="auto"/>
        </w:rPr>
      </w:pPr>
      <w:r>
        <w:rPr>
          <w:rFonts w:ascii="Arial" w:cs="Arial" w:eastAsia="Arial" w:hAnsi="Arial"/>
          <w:sz w:val="17"/>
          <w:szCs w:val="17"/>
          <w:color w:val="auto"/>
        </w:rPr>
        <w:t>Joseph Gardner, Ph.D. Aerpio Therapeutics, Inc. 9987 Carver Road Suite 420</w:t>
      </w:r>
    </w:p>
    <w:p>
      <w:pPr>
        <w:spacing w:after="0" w:line="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Cincinnati, OH 45242</w:t>
      </w:r>
    </w:p>
    <w:p>
      <w:pPr>
        <w:spacing w:after="0" w:line="116" w:lineRule="exact"/>
        <w:rPr>
          <w:sz w:val="20"/>
          <w:szCs w:val="20"/>
          <w:color w:val="auto"/>
        </w:rPr>
      </w:pPr>
    </w:p>
    <w:p>
      <w:pPr>
        <w:ind w:left="860" w:hanging="424"/>
        <w:spacing w:after="0"/>
        <w:tabs>
          <w:tab w:leader="none" w:pos="86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Vern Norviel</w:t>
      </w:r>
    </w:p>
    <w:p>
      <w:pPr>
        <w:spacing w:after="0" w:line="23" w:lineRule="exact"/>
        <w:rPr>
          <w:rFonts w:ascii="Arial" w:cs="Arial" w:eastAsia="Arial" w:hAnsi="Arial"/>
          <w:sz w:val="18"/>
          <w:szCs w:val="18"/>
          <w:color w:val="auto"/>
        </w:rPr>
      </w:pPr>
    </w:p>
    <w:p>
      <w:pPr>
        <w:ind w:left="880" w:right="7320"/>
        <w:spacing w:after="0" w:line="250" w:lineRule="auto"/>
        <w:rPr>
          <w:rFonts w:ascii="Arial" w:cs="Arial" w:eastAsia="Arial" w:hAnsi="Arial"/>
          <w:sz w:val="18"/>
          <w:szCs w:val="18"/>
          <w:color w:val="auto"/>
        </w:rPr>
      </w:pPr>
      <w:r>
        <w:rPr>
          <w:rFonts w:ascii="Arial" w:cs="Arial" w:eastAsia="Arial" w:hAnsi="Arial"/>
          <w:sz w:val="18"/>
          <w:szCs w:val="18"/>
          <w:color w:val="auto"/>
        </w:rPr>
        <w:t>Wilson Sonsini Goodrich &amp; Rosati, PC 650 Page Mill Road</w:t>
      </w:r>
    </w:p>
    <w:p>
      <w:pPr>
        <w:ind w:left="880"/>
        <w:spacing w:after="0"/>
        <w:rPr>
          <w:rFonts w:ascii="Arial" w:cs="Arial" w:eastAsia="Arial" w:hAnsi="Arial"/>
          <w:sz w:val="18"/>
          <w:szCs w:val="18"/>
          <w:color w:val="auto"/>
        </w:rPr>
      </w:pPr>
      <w:r>
        <w:rPr>
          <w:rFonts w:ascii="Arial" w:cs="Arial" w:eastAsia="Arial" w:hAnsi="Arial"/>
          <w:sz w:val="18"/>
          <w:szCs w:val="18"/>
          <w:color w:val="auto"/>
        </w:rPr>
        <w:t>Palo Alto, CA 94304-1050</w:t>
      </w:r>
    </w:p>
    <w:p>
      <w:pPr>
        <w:spacing w:after="0" w:line="139"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7" w:name="page918"/>
    <w:bookmarkEnd w:id="917"/>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Licensee shall mail all general notices to the University to the following address: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License Administrator, CU Case #CU2065H.</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 Innovations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University of Colorado Denver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12635 E. Montview Blvd., Suite 270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Aurora, CO 80045</w:t>
      </w:r>
    </w:p>
    <w:p>
      <w:pPr>
        <w:spacing w:after="0" w:line="116" w:lineRule="exact"/>
        <w:rPr>
          <w:sz w:val="20"/>
          <w:szCs w:val="20"/>
          <w:color w:val="auto"/>
        </w:rPr>
      </w:pPr>
    </w:p>
    <w:p>
      <w:pPr>
        <w:ind w:left="860" w:hanging="424"/>
        <w:spacing w:after="0"/>
        <w:tabs>
          <w:tab w:leader="none" w:pos="86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Either party may change its address with written notice to the other party.</w:t>
      </w:r>
    </w:p>
    <w:p>
      <w:pPr>
        <w:spacing w:after="0" w:line="221" w:lineRule="exact"/>
        <w:rPr>
          <w:sz w:val="20"/>
          <w:szCs w:val="20"/>
          <w:color w:val="auto"/>
        </w:rPr>
      </w:pPr>
    </w:p>
    <w:p>
      <w:pPr>
        <w:ind w:right="440" w:firstLine="441"/>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Invalidation Notice</w:t>
      </w:r>
      <w:r>
        <w:rPr>
          <w:rFonts w:ascii="Arial" w:cs="Arial" w:eastAsia="Arial" w:hAnsi="Arial"/>
          <w:sz w:val="18"/>
          <w:szCs w:val="18"/>
          <w:color w:val="auto"/>
        </w:rPr>
        <w:t>. Licensee shall provide written notice to the University at least 90 days prior to bringing an action seeking to invalidate any Licensed Patent or a declaration of non-infringement. Licensee shall include in such written notice an identification of all prior art it believes invalidates any claim of the patent.</w:t>
      </w:r>
    </w:p>
    <w:p>
      <w:pPr>
        <w:spacing w:after="0" w:line="176"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Use of Names and Marks</w:t>
      </w:r>
      <w:r>
        <w:rPr>
          <w:rFonts w:ascii="Arial" w:cs="Arial" w:eastAsia="Arial" w:hAnsi="Arial"/>
          <w:sz w:val="18"/>
          <w:szCs w:val="18"/>
          <w:color w:val="auto"/>
        </w:rPr>
        <w:t>: Licensee shall not identify the University in any promotional advertising, press releases, sales literature or other promotional materials to be disseminated to the public or any portion thereof without the University’s prior written consent in each case, except that the Licensee may state that it has a non-exclusive license for the Licensed Patents from the University. The University may state that it has a license for the Licensed Patents with Licensee. Licensee further shall not use the name of the University or any University faculty member, inventor, employee or student or any trademark, service mark, trade name, copyright or symbol of the University, without the prior written consent of the University, entity or person whose name is sought to be used.</w:t>
      </w:r>
    </w:p>
    <w:p>
      <w:pPr>
        <w:spacing w:after="0" w:line="188"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Marking</w:t>
      </w:r>
      <w:r>
        <w:rPr>
          <w:rFonts w:ascii="Arial" w:cs="Arial" w:eastAsia="Arial" w:hAnsi="Arial"/>
          <w:sz w:val="18"/>
          <w:szCs w:val="18"/>
          <w:color w:val="auto"/>
        </w:rPr>
        <w:t>: Licensee shall cause Licensed Products sold under this Agreement to be marked with the notice of the patent numbers or patent pending, as may be appropriate.</w:t>
      </w:r>
    </w:p>
    <w:p>
      <w:pPr>
        <w:spacing w:after="0" w:line="162" w:lineRule="exact"/>
        <w:rPr>
          <w:sz w:val="20"/>
          <w:szCs w:val="20"/>
          <w:color w:val="auto"/>
        </w:rPr>
      </w:pPr>
    </w:p>
    <w:p>
      <w:pPr>
        <w:ind w:right="60" w:firstLine="441"/>
        <w:spacing w:after="0" w:line="27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color w:val="auto"/>
        </w:rPr>
        <w:t>University Rules and Regulations</w:t>
      </w:r>
      <w:r>
        <w:rPr>
          <w:rFonts w:ascii="Arial" w:cs="Arial" w:eastAsia="Arial" w:hAnsi="Arial"/>
          <w:sz w:val="17"/>
          <w:szCs w:val="17"/>
          <w:color w:val="auto"/>
        </w:rPr>
        <w:t>. Licensee acknowledges that University employees who are engaged by Licensee, whether as consultants, employees, or otherwise, or who possess a material financial interest in Licensee, are subject to the University’s rule regarding outside activities and financial interests as set forth in the University’s intellectual property policy and related policies regarding conflicts of interest and outside consulting, as may be amended from time to time. Any term or condition of an agreement between Licensee and a University employee that seeks to vary or override such employee’s obligations to the University may not be enforced against such personnel or the University without the express written consent of the Principal Technology Transfer Officer as well as University Physicians, Inc., as applicable.</w:t>
      </w:r>
    </w:p>
    <w:p>
      <w:pPr>
        <w:spacing w:after="0" w:line="174" w:lineRule="exact"/>
        <w:rPr>
          <w:sz w:val="20"/>
          <w:szCs w:val="20"/>
          <w:color w:val="auto"/>
        </w:rPr>
      </w:pPr>
    </w:p>
    <w:p>
      <w:pPr>
        <w:ind w:right="760" w:firstLine="441"/>
        <w:spacing w:after="0" w:line="34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color w:val="auto"/>
        </w:rPr>
        <w:t>Compliance with the Law</w:t>
      </w:r>
      <w:r>
        <w:rPr>
          <w:rFonts w:ascii="Arial" w:cs="Arial" w:eastAsia="Arial" w:hAnsi="Arial"/>
          <w:sz w:val="16"/>
          <w:szCs w:val="16"/>
          <w:color w:val="auto"/>
        </w:rPr>
        <w:t>. Licensee shall comply with all commercially material local, state, federal, and international laws and regulations relating to its obligations under this Agreement regarding the development, manufacture, use, and sale of Licensed Products.</w:t>
      </w:r>
    </w:p>
    <w:p>
      <w:pPr>
        <w:spacing w:after="0" w:line="49"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8" w:name="page919"/>
    <w:bookmarkEnd w:id="918"/>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FRE 408</w:t>
      </w:r>
    </w:p>
    <w:p>
      <w:pPr>
        <w:spacing w:after="0" w:line="17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color w:val="auto"/>
        </w:rPr>
        <w:t>Choice of Law</w:t>
      </w:r>
      <w:r>
        <w:rPr>
          <w:rFonts w:ascii="Arial" w:cs="Arial" w:eastAsia="Arial" w:hAnsi="Arial"/>
          <w:sz w:val="16"/>
          <w:szCs w:val="16"/>
          <w:color w:val="auto"/>
        </w:rPr>
        <w:t>: This Agreement is governed by and will be construed in accordance with the laws of Colorado.</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color w:val="auto"/>
        </w:rPr>
        <w:t>Dispute Resolution</w:t>
      </w:r>
      <w:r>
        <w:rPr>
          <w:rFonts w:ascii="Arial" w:cs="Arial" w:eastAsia="Arial" w:hAnsi="Arial"/>
          <w:sz w:val="18"/>
          <w:szCs w:val="18"/>
          <w:color w:val="auto"/>
        </w:rPr>
        <w:t>. In the event of any dispute arising out of or relating to this Agreement, the affected party shall promptly provide notice to the other party, and the parties shall attempt in good faith to resolve the matter.</w:t>
      </w:r>
    </w:p>
    <w:p>
      <w:pPr>
        <w:spacing w:after="0" w:line="71" w:lineRule="exact"/>
        <w:rPr>
          <w:sz w:val="20"/>
          <w:szCs w:val="20"/>
          <w:color w:val="auto"/>
        </w:rPr>
      </w:pPr>
    </w:p>
    <w:p>
      <w:pPr>
        <w:ind w:left="860" w:right="100" w:hanging="424"/>
        <w:spacing w:after="0" w:line="264" w:lineRule="auto"/>
        <w:tabs>
          <w:tab w:leader="none" w:pos="86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Any disputes not so resolved shall be referred to the Principal Technology Transfer Officer for the University and to Licensee’s Senior Executives with settlement authority, who shall meet at a mutually acceptable time and location within 30 days of the Notice Date and shall attempt to negotiate a settlement.</w:t>
      </w:r>
    </w:p>
    <w:p>
      <w:pPr>
        <w:spacing w:after="0" w:line="86" w:lineRule="exact"/>
        <w:rPr>
          <w:rFonts w:ascii="Arial" w:cs="Arial" w:eastAsia="Arial" w:hAnsi="Arial"/>
          <w:sz w:val="18"/>
          <w:szCs w:val="18"/>
          <w:color w:val="auto"/>
        </w:rPr>
      </w:pPr>
    </w:p>
    <w:p>
      <w:pPr>
        <w:ind w:left="860" w:right="80" w:hanging="424"/>
        <w:spacing w:after="0" w:line="257" w:lineRule="auto"/>
        <w:tabs>
          <w:tab w:leader="none" w:pos="86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If the Senior Executives fail to meet within 30 days of the Notice Date, or if the matter remains unresolved for a period of 60 days after the Notice Date, Licensee hereby irrevocably submits to the jurisdiction of a court of competent jurisdiction in Colorado, and, by execution and delivery of this Agreement, Licensee (i) accepts, generally and unconditionally, the jurisdiction of this court and any related appellate court, and (ii) irrevocably waives any objection it may now or hereafter have as to the venue of any such suit, action or proceeding brought in the court or that the court is an inconvenient forum.</w:t>
      </w:r>
    </w:p>
    <w:p>
      <w:pPr>
        <w:spacing w:after="0" w:line="18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color w:val="auto"/>
        </w:rPr>
        <w:t>Merger and Modification of Agreement</w:t>
      </w:r>
      <w:r>
        <w:rPr>
          <w:rFonts w:ascii="Arial" w:cs="Arial" w:eastAsia="Arial" w:hAnsi="Arial"/>
          <w:sz w:val="17"/>
          <w:szCs w:val="17"/>
          <w:color w:val="auto"/>
        </w:rPr>
        <w:t>. The terms and provisions contained in this Agreement constitute the entire agreement between the parties and supersede all previous communications, representations, agreements or understandings, either oral or written, between the parties with respect to the subject matter, and no agreement or understanding varying or extending this Agreement will be binding upon either party to this Agreement, unless in a written amendment signed by duly authorized officers or representatives of the respective parties, and the provisions of this Agreement not specifically amended thereby remain in full force and effect according to their terms.</w:t>
      </w:r>
    </w:p>
    <w:p>
      <w:pPr>
        <w:spacing w:after="0" w:line="168"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color w:val="auto"/>
        </w:rPr>
        <w:t>Severability</w:t>
      </w:r>
      <w:r>
        <w:rPr>
          <w:rFonts w:ascii="Arial" w:cs="Arial" w:eastAsia="Arial" w:hAnsi="Arial"/>
          <w:sz w:val="18"/>
          <w:szCs w:val="18"/>
          <w:color w:val="auto"/>
        </w:rPr>
        <w:t>. The provisions and clauses of this Agreement are severable, and in the event that any provision or clause is determined to be invalid or unenforceable under any controlling body of the law, such invalidity or unenforceability will not in any way affect the validity or enforceability of the remaining provisions and clauses.</w:t>
      </w:r>
    </w:p>
    <w:p>
      <w:pPr>
        <w:spacing w:after="0" w:line="176"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color w:val="auto"/>
        </w:rPr>
        <w:t>Scope</w:t>
      </w:r>
      <w:r>
        <w:rPr>
          <w:rFonts w:ascii="Arial" w:cs="Arial" w:eastAsia="Arial" w:hAnsi="Arial"/>
          <w:sz w:val="18"/>
          <w:szCs w:val="18"/>
          <w:color w:val="auto"/>
        </w:rPr>
        <w:t>. This Agreement does not establish a joint venture, agency or partnership between the parties, nor create an employer - employee relationship.</w:t>
      </w:r>
    </w:p>
    <w:p>
      <w:pPr>
        <w:spacing w:after="0" w:line="94"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19" w:name="page920"/>
    <w:bookmarkEnd w:id="919"/>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FRE 408</w:t>
      </w:r>
    </w:p>
    <w:p>
      <w:pPr>
        <w:spacing w:after="0" w:line="177"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color w:val="auto"/>
        </w:rPr>
        <w:t>Preservation of Immunity</w:t>
      </w:r>
      <w:r>
        <w:rPr>
          <w:rFonts w:ascii="Arial" w:cs="Arial" w:eastAsia="Arial" w:hAnsi="Arial"/>
          <w:sz w:val="18"/>
          <w:szCs w:val="18"/>
          <w:color w:val="auto"/>
        </w:rPr>
        <w:t>. Nothing in this Agreement is intended or should be construed as a waiver, either express or implied, of any of the immunities, rights, benefits, defenses or protections provided to the University under governmental or sovereign immunity laws from time to time applicable to the University, including, without limitation, the Colorado Governmental Immunity Act (C.R.S. § 24-10-101, et seq.) and the Eleventh Amendment to the United States Constitution.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color w:val="auto"/>
        </w:rPr>
        <w:t>Headings</w:t>
      </w:r>
      <w:r>
        <w:rPr>
          <w:rFonts w:ascii="Arial" w:cs="Arial" w:eastAsia="Arial" w:hAnsi="Arial"/>
          <w:sz w:val="18"/>
          <w:szCs w:val="18"/>
          <w:color w:val="auto"/>
        </w:rPr>
        <w:t>. The headings are included for convenience only and may not be used to construe this Agreement.</w:t>
      </w:r>
    </w:p>
    <w:p>
      <w:pPr>
        <w:spacing w:after="0" w:line="225"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b w:val="1"/>
          <w:bCs w:val="1"/>
          <w:color w:val="auto"/>
        </w:rPr>
        <w:t>Survival</w:t>
      </w:r>
      <w:r>
        <w:rPr>
          <w:rFonts w:ascii="Arial" w:cs="Arial" w:eastAsia="Arial" w:hAnsi="Arial"/>
          <w:sz w:val="18"/>
          <w:szCs w:val="18"/>
          <w:color w:val="auto"/>
        </w:rPr>
        <w:t>. The provisions of Articles 3 Economic Consideration; 5 Confidential Information; 8 Warranties, Indemnifications, and Insurance; 10.4 Use of Names and Marks; 10.8 Choice of Law; 10.13 Preservation of Immunity; 10.15 Survival and any other provision of this Agreement that by its nature is intended to survive, will survive any termination or expiration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follow on the next page)</w:t>
      </w:r>
    </w:p>
    <w:p>
      <w:pPr>
        <w:spacing w:after="0" w:line="158"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20" w:name="page921"/>
    <w:bookmarkEnd w:id="920"/>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 evidence the parties’ agreement to this Agreement, the parties have executed it in duplicate and delivered it on the date stated in the Preamble.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UNIVERSITY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-10160</wp:posOffset>
            </wp:positionV>
            <wp:extent cx="234315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Kim Muller, Director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CU Innovations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University of Colorado Denver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12635 E. Montview Blvd, Suite 270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Aurora, CO 80045</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LICENSEE</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Joseph H. Gardner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&amp; CEO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Aerpio Therapeutics,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9987 Carver Road, Suite 420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Cincinnati, OH 45242</w:t>
      </w:r>
    </w:p>
    <w:p>
      <w:pPr>
        <w:spacing w:after="0" w:line="139"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5" w:right="439" w:bottom="1440" w:gutter="0" w:footer="0" w:header="0"/>
        </w:sectPr>
      </w:pPr>
    </w:p>
    <w:bookmarkStart w:id="921" w:name="page922"/>
    <w:bookmarkEnd w:id="921"/>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 evidence the parties’ agreement to this Agreement, the parties have executed it in duplicate and delivered it on the date stated in the Preamble.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UNIVERSITY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Kimberly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Kim Muller, Director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CU Innovations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University of Colorado Denver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12635 E. Montview Blvd. Suite 270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Aurora, CO 80045</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LICENSEE</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Kimberly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 of CU Innovations</w:t>
      </w:r>
    </w:p>
    <w:p>
      <w:pPr>
        <w:spacing w:after="0" w:line="154"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22" w:name="page923"/>
    <w:bookmarkEnd w:id="922"/>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SPECIFIC TERMS AND CONDITIONS</w:t>
      </w:r>
    </w:p>
    <w:p>
      <w:pPr>
        <w:spacing w:after="0" w:line="252" w:lineRule="exact"/>
        <w:rPr>
          <w:sz w:val="20"/>
          <w:szCs w:val="20"/>
          <w:color w:val="auto"/>
        </w:rPr>
      </w:pPr>
    </w:p>
    <w:p>
      <w:pPr>
        <w:ind w:left="440" w:hanging="436"/>
        <w:spacing w:after="0"/>
        <w:tabs>
          <w:tab w:leader="none" w:pos="440" w:val="left"/>
        </w:tabs>
        <w:numPr>
          <w:ilvl w:val="0"/>
          <w:numId w:val="847"/>
        </w:numPr>
        <w:rPr>
          <w:rFonts w:ascii="Arial" w:cs="Arial" w:eastAsia="Arial" w:hAnsi="Arial"/>
          <w:sz w:val="18"/>
          <w:szCs w:val="18"/>
          <w:color w:val="auto"/>
        </w:rPr>
      </w:pPr>
      <w:r>
        <w:rPr>
          <w:rFonts w:ascii="Arial" w:cs="Arial" w:eastAsia="Arial" w:hAnsi="Arial"/>
          <w:sz w:val="18"/>
          <w:szCs w:val="18"/>
          <w:b w:val="1"/>
          <w:bCs w:val="1"/>
          <w:color w:val="auto"/>
        </w:rPr>
        <w:t>Licensed Patents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60" w:hanging="424"/>
        <w:spacing w:after="0"/>
        <w:tabs>
          <w:tab w:leader="none" w:pos="860" w:val="left"/>
        </w:tabs>
        <w:numPr>
          <w:ilvl w:val="1"/>
          <w:numId w:val="847"/>
        </w:numPr>
        <w:rPr>
          <w:rFonts w:ascii="Arial" w:cs="Arial" w:eastAsia="Arial" w:hAnsi="Arial"/>
          <w:sz w:val="18"/>
          <w:szCs w:val="18"/>
          <w:color w:val="auto"/>
        </w:rPr>
      </w:pPr>
      <w:r>
        <w:rPr>
          <w:rFonts w:ascii="Arial" w:cs="Arial" w:eastAsia="Arial" w:hAnsi="Arial"/>
          <w:sz w:val="18"/>
          <w:szCs w:val="18"/>
          <w:color w:val="auto"/>
        </w:rPr>
        <w:t>The Licensed Patents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Internal ID</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7"/>
              </w:rPr>
              <w:t>Country</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color w:val="auto"/>
              </w:rPr>
              <w:t>Serial No/Patent No</w:t>
            </w:r>
          </w:p>
        </w:tc>
        <w:tc>
          <w:tcPr>
            <w:tcW w:w="1460" w:type="dxa"/>
            <w:vAlign w:val="bottom"/>
          </w:tcPr>
          <w:p>
            <w:pPr>
              <w:spacing w:after="0"/>
              <w:rPr>
                <w:sz w:val="14"/>
                <w:szCs w:val="14"/>
                <w:color w:val="auto"/>
              </w:rPr>
            </w:pPr>
          </w:p>
        </w:tc>
        <w:tc>
          <w:tcPr>
            <w:tcW w:w="1940" w:type="dxa"/>
            <w:vAlign w:val="bottom"/>
            <w:gridSpan w:val="2"/>
          </w:tcPr>
          <w:p>
            <w:pPr>
              <w:jc w:val="center"/>
              <w:ind w:right="1640"/>
              <w:spacing w:after="0"/>
              <w:rPr>
                <w:sz w:val="20"/>
                <w:szCs w:val="20"/>
                <w:color w:val="auto"/>
              </w:rPr>
            </w:pPr>
            <w:r>
              <w:rPr>
                <w:rFonts w:ascii="Arial" w:cs="Arial" w:eastAsia="Arial" w:hAnsi="Arial"/>
                <w:sz w:val="14"/>
                <w:szCs w:val="14"/>
                <w:color w:val="auto"/>
                <w:w w:val="98"/>
              </w:rPr>
              <w:t>Title</w:t>
            </w:r>
          </w:p>
        </w:tc>
        <w:tc>
          <w:tcPr>
            <w:tcW w:w="1300" w:type="dxa"/>
            <w:vAlign w:val="bottom"/>
            <w:gridSpan w:val="3"/>
          </w:tcPr>
          <w:p>
            <w:pPr>
              <w:jc w:val="center"/>
              <w:ind w:left="294"/>
              <w:spacing w:after="0"/>
              <w:rPr>
                <w:sz w:val="20"/>
                <w:szCs w:val="20"/>
                <w:color w:val="auto"/>
              </w:rPr>
            </w:pPr>
            <w:r>
              <w:rPr>
                <w:rFonts w:ascii="Arial" w:cs="Arial" w:eastAsia="Arial" w:hAnsi="Arial"/>
                <w:sz w:val="14"/>
                <w:szCs w:val="14"/>
                <w:color w:val="auto"/>
                <w:w w:val="94"/>
              </w:rPr>
              <w:t>Inventor</w:t>
            </w: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3"/>
        </w:trPr>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CU2065H</w:t>
            </w:r>
          </w:p>
        </w:tc>
        <w:tc>
          <w:tcPr>
            <w:tcW w:w="520" w:type="dxa"/>
            <w:vAlign w:val="bottom"/>
          </w:tcPr>
          <w:p>
            <w:pPr>
              <w:spacing w:after="0"/>
              <w:rPr>
                <w:sz w:val="24"/>
                <w:szCs w:val="2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US</w:t>
            </w:r>
          </w:p>
        </w:tc>
        <w:tc>
          <w:tcPr>
            <w:tcW w:w="3100" w:type="dxa"/>
            <w:vAlign w:val="bottom"/>
            <w:gridSpan w:val="3"/>
          </w:tcPr>
          <w:p>
            <w:pPr>
              <w:ind w:left="420"/>
              <w:spacing w:after="0"/>
              <w:rPr>
                <w:sz w:val="20"/>
                <w:szCs w:val="20"/>
                <w:color w:val="auto"/>
              </w:rPr>
            </w:pPr>
            <w:r>
              <w:rPr>
                <w:rFonts w:ascii="Arial" w:cs="Arial" w:eastAsia="Arial" w:hAnsi="Arial"/>
                <w:sz w:val="18"/>
                <w:szCs w:val="18"/>
                <w:color w:val="auto"/>
                <w:w w:val="93"/>
              </w:rPr>
              <w:t>US 8,962,530 issued Feb. 24, 2015</w:t>
            </w:r>
          </w:p>
        </w:tc>
        <w:tc>
          <w:tcPr>
            <w:tcW w:w="34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Inflammatory Bowel Disease Therapies</w:t>
            </w:r>
          </w:p>
        </w:tc>
        <w:tc>
          <w:tcPr>
            <w:tcW w:w="1300" w:type="dxa"/>
            <w:vAlign w:val="bottom"/>
            <w:gridSpan w:val="3"/>
          </w:tcPr>
          <w:p>
            <w:pPr>
              <w:jc w:val="center"/>
              <w:ind w:left="294"/>
              <w:spacing w:after="0"/>
              <w:rPr>
                <w:sz w:val="20"/>
                <w:szCs w:val="20"/>
                <w:color w:val="auto"/>
              </w:rPr>
            </w:pPr>
            <w:r>
              <w:rPr>
                <w:rFonts w:ascii="Arial" w:cs="Arial" w:eastAsia="Arial" w:hAnsi="Arial"/>
                <w:sz w:val="18"/>
                <w:szCs w:val="18"/>
                <w:color w:val="auto"/>
                <w:w w:val="88"/>
              </w:rPr>
              <w:t>Sean Colgan</w:t>
            </w: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gridSpan w:val="3"/>
          </w:tcPr>
          <w:p>
            <w:pPr>
              <w:ind w:left="420"/>
              <w:spacing w:after="0"/>
              <w:rPr>
                <w:sz w:val="20"/>
                <w:szCs w:val="20"/>
                <w:color w:val="auto"/>
              </w:rPr>
            </w:pPr>
            <w:r>
              <w:rPr>
                <w:rFonts w:ascii="Arial" w:cs="Arial" w:eastAsia="Arial" w:hAnsi="Arial"/>
                <w:sz w:val="18"/>
                <w:szCs w:val="18"/>
                <w:color w:val="auto"/>
              </w:rPr>
              <w:t>from US Appl. No. 12/666,438</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CU2065H</w:t>
            </w:r>
          </w:p>
        </w:tc>
        <w:tc>
          <w:tcPr>
            <w:tcW w:w="520" w:type="dxa"/>
            <w:vAlign w:val="bottom"/>
          </w:tcPr>
          <w:p>
            <w:pPr>
              <w:spacing w:after="0"/>
              <w:rPr>
                <w:sz w:val="24"/>
                <w:szCs w:val="2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PCT</w:t>
            </w:r>
          </w:p>
        </w:tc>
        <w:tc>
          <w:tcPr>
            <w:tcW w:w="6500" w:type="dxa"/>
            <w:vAlign w:val="bottom"/>
            <w:gridSpan w:val="6"/>
          </w:tcPr>
          <w:p>
            <w:pPr>
              <w:ind w:left="420"/>
              <w:spacing w:after="0"/>
              <w:rPr>
                <w:sz w:val="20"/>
                <w:szCs w:val="20"/>
                <w:color w:val="auto"/>
              </w:rPr>
            </w:pPr>
            <w:r>
              <w:rPr>
                <w:rFonts w:ascii="Arial" w:cs="Arial" w:eastAsia="Arial" w:hAnsi="Arial"/>
                <w:sz w:val="18"/>
                <w:szCs w:val="18"/>
                <w:color w:val="auto"/>
                <w:w w:val="98"/>
              </w:rPr>
              <w:t>PCT/US2008/007962/ June 26, 2008  Inflammatory Bowel Disease Therapies</w:t>
            </w:r>
          </w:p>
        </w:tc>
        <w:tc>
          <w:tcPr>
            <w:tcW w:w="1300" w:type="dxa"/>
            <w:vAlign w:val="bottom"/>
            <w:gridSpan w:val="3"/>
          </w:tcPr>
          <w:p>
            <w:pPr>
              <w:jc w:val="center"/>
              <w:ind w:left="294"/>
              <w:spacing w:after="0"/>
              <w:rPr>
                <w:sz w:val="20"/>
                <w:szCs w:val="20"/>
                <w:color w:val="auto"/>
              </w:rPr>
            </w:pPr>
            <w:r>
              <w:rPr>
                <w:rFonts w:ascii="Arial" w:cs="Arial" w:eastAsia="Arial" w:hAnsi="Arial"/>
                <w:sz w:val="18"/>
                <w:szCs w:val="18"/>
                <w:color w:val="auto"/>
                <w:w w:val="88"/>
              </w:rPr>
              <w:t>Sean Colgan</w:t>
            </w:r>
          </w:p>
        </w:tc>
      </w:tr>
      <w:tr>
        <w:trPr>
          <w:trHeight w:val="310"/>
        </w:trPr>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CU2065H</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0"/>
              </w:rPr>
              <w:t>US PPA</w:t>
            </w:r>
          </w:p>
        </w:tc>
        <w:tc>
          <w:tcPr>
            <w:tcW w:w="3100" w:type="dxa"/>
            <w:vAlign w:val="bottom"/>
            <w:gridSpan w:val="3"/>
          </w:tcPr>
          <w:p>
            <w:pPr>
              <w:ind w:left="420"/>
              <w:spacing w:after="0"/>
              <w:rPr>
                <w:sz w:val="20"/>
                <w:szCs w:val="20"/>
                <w:color w:val="auto"/>
              </w:rPr>
            </w:pPr>
            <w:r>
              <w:rPr>
                <w:rFonts w:ascii="Arial" w:cs="Arial" w:eastAsia="Arial" w:hAnsi="Arial"/>
                <w:sz w:val="18"/>
                <w:szCs w:val="18"/>
                <w:color w:val="auto"/>
              </w:rPr>
              <w:t>US Provisional Application</w:t>
            </w:r>
          </w:p>
        </w:tc>
        <w:tc>
          <w:tcPr>
            <w:tcW w:w="34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Inflammatory Bowel Disease Therapies</w:t>
            </w:r>
          </w:p>
        </w:tc>
        <w:tc>
          <w:tcPr>
            <w:tcW w:w="1300" w:type="dxa"/>
            <w:vAlign w:val="bottom"/>
            <w:gridSpan w:val="3"/>
          </w:tcPr>
          <w:p>
            <w:pPr>
              <w:jc w:val="center"/>
              <w:ind w:left="294"/>
              <w:spacing w:after="0"/>
              <w:rPr>
                <w:sz w:val="20"/>
                <w:szCs w:val="20"/>
                <w:color w:val="auto"/>
              </w:rPr>
            </w:pPr>
            <w:r>
              <w:rPr>
                <w:rFonts w:ascii="Arial" w:cs="Arial" w:eastAsia="Arial" w:hAnsi="Arial"/>
                <w:sz w:val="18"/>
                <w:szCs w:val="18"/>
                <w:color w:val="auto"/>
                <w:w w:val="88"/>
              </w:rPr>
              <w:t>Sean Colgan</w:t>
            </w:r>
          </w:p>
        </w:tc>
      </w:tr>
      <w:tr>
        <w:trPr>
          <w:trHeight w:val="230"/>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60/946,537</w:t>
            </w: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07" w:lineRule="exact"/>
        <w:rPr>
          <w:sz w:val="20"/>
          <w:szCs w:val="20"/>
          <w:color w:val="auto"/>
        </w:rPr>
      </w:pPr>
    </w:p>
    <w:p>
      <w:pPr>
        <w:ind w:left="860" w:hanging="424"/>
        <w:spacing w:after="0"/>
        <w:tabs>
          <w:tab w:leader="none" w:pos="86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Field of Use: All.</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Territory: Worldwide.</w:t>
      </w:r>
    </w:p>
    <w:p>
      <w:pPr>
        <w:spacing w:after="0" w:line="248" w:lineRule="exact"/>
        <w:rPr>
          <w:sz w:val="20"/>
          <w:szCs w:val="20"/>
          <w:color w:val="auto"/>
        </w:rPr>
      </w:pPr>
    </w:p>
    <w:p>
      <w:pPr>
        <w:ind w:left="440" w:right="8920" w:hanging="436"/>
        <w:spacing w:after="0" w:line="399" w:lineRule="auto"/>
        <w:tabs>
          <w:tab w:leader="none" w:pos="432" w:val="left"/>
        </w:tabs>
        <w:numPr>
          <w:ilvl w:val="0"/>
          <w:numId w:val="849"/>
        </w:numPr>
        <w:rPr>
          <w:rFonts w:ascii="Arial" w:cs="Arial" w:eastAsia="Arial" w:hAnsi="Arial"/>
          <w:sz w:val="18"/>
          <w:szCs w:val="18"/>
          <w:color w:val="auto"/>
        </w:rPr>
      </w:pPr>
      <w:r>
        <w:rPr>
          <w:rFonts w:ascii="Arial" w:cs="Arial" w:eastAsia="Arial" w:hAnsi="Arial"/>
          <w:sz w:val="18"/>
          <w:szCs w:val="18"/>
          <w:b w:val="1"/>
          <w:bCs w:val="1"/>
          <w:color w:val="auto"/>
        </w:rPr>
        <w:t>Financial Conditions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5" w:right="439" w:bottom="1440" w:gutter="0" w:footer="0" w:header="0"/>
        </w:sectPr>
      </w:pPr>
    </w:p>
    <w:bookmarkStart w:id="923" w:name="page924"/>
    <w:bookmarkEnd w:id="923"/>
    <w:p>
      <w:pPr>
        <w:ind w:left="9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FRE 408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spacing w:after="0"/>
        <w:tabs>
          <w:tab w:leader="none" w:pos="5240" w:val="left"/>
          <w:tab w:leader="none" w:pos="8940" w:val="left"/>
        </w:tabs>
        <w:rPr>
          <w:sz w:val="20"/>
          <w:szCs w:val="20"/>
          <w:color w:val="auto"/>
        </w:rPr>
      </w:pPr>
      <w:r>
        <w:rPr>
          <w:rFonts w:ascii="Arial" w:cs="Arial" w:eastAsia="Arial" w:hAnsi="Arial"/>
          <w:sz w:val="18"/>
          <w:szCs w:val="18"/>
          <w:color w:val="auto"/>
        </w:rPr>
        <w:t>Non-Exclusive License Agreement</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CU Case Number CU2065H</w:t>
      </w:r>
    </w:p>
    <w:p>
      <w:pPr>
        <w:sectPr>
          <w:pgSz w:w="11900" w:h="16838" w:orient="portrait"/>
          <w:cols w:equalWidth="0" w:num="1">
            <w:col w:w="11020"/>
          </w:cols>
          <w:pgMar w:left="440" w:top="274" w:right="439" w:bottom="1440" w:gutter="0" w:footer="0" w:header="0"/>
        </w:sectPr>
      </w:pPr>
    </w:p>
    <w:bookmarkStart w:id="924" w:name="page925"/>
    <w:bookmarkEnd w:id="9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color w:val="auto"/>
        </w:rPr>
        <w:t>ICENSE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MANUFACTURING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46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00" w:lineRule="exact"/>
        <w:rPr>
          <w:sz w:val="20"/>
          <w:szCs w:val="20"/>
          <w:color w:val="auto"/>
        </w:rPr>
      </w:pPr>
    </w:p>
    <w:p>
      <w:pPr>
        <w:ind w:left="440" w:right="460" w:hanging="436"/>
        <w:spacing w:after="0" w:line="277" w:lineRule="auto"/>
        <w:tabs>
          <w:tab w:leader="none" w:pos="440" w:val="left"/>
        </w:tabs>
        <w:numPr>
          <w:ilvl w:val="0"/>
          <w:numId w:val="850"/>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1020"/>
          </w:cols>
          <w:pgMar w:left="440" w:top="274" w:right="439" w:bottom="1440" w:gutter="0" w:footer="0" w:header="0"/>
        </w:sectPr>
      </w:pPr>
    </w:p>
    <w:bookmarkStart w:id="925" w:name="page926"/>
    <w:bookmarkEnd w:id="925"/>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9.1(a)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last paragraph of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9.1(b)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last paragraph of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46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00" w:lineRule="exact"/>
        <w:rPr>
          <w:sz w:val="20"/>
          <w:szCs w:val="20"/>
          <w:color w:val="auto"/>
        </w:rPr>
      </w:pPr>
    </w:p>
    <w:p>
      <w:pPr>
        <w:ind w:left="440" w:hanging="436"/>
        <w:spacing w:after="0" w:line="277" w:lineRule="auto"/>
        <w:tabs>
          <w:tab w:leader="none" w:pos="440" w:val="left"/>
        </w:tabs>
        <w:numPr>
          <w:ilvl w:val="0"/>
          <w:numId w:val="851"/>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560"/>
          </w:cols>
          <w:pgMar w:left="440" w:top="271" w:right="899" w:bottom="1440" w:gutter="0" w:footer="0" w:header="0"/>
        </w:sectPr>
      </w:pPr>
    </w:p>
    <w:bookmarkStart w:id="926" w:name="page927"/>
    <w:bookmarkEnd w:id="926"/>
    <w:p>
      <w:pPr>
        <w:jc w:val="right"/>
        <w:spacing w:after="0"/>
        <w:rPr>
          <w:sz w:val="20"/>
          <w:szCs w:val="20"/>
          <w:color w:val="auto"/>
        </w:rPr>
      </w:pPr>
      <w:r>
        <w:rPr>
          <w:rFonts w:ascii="Arial" w:cs="Arial" w:eastAsia="Arial" w:hAnsi="Arial"/>
          <w:sz w:val="18"/>
          <w:szCs w:val="18"/>
          <w:b w:val="1"/>
          <w:bCs w:val="1"/>
          <w:color w:val="auto"/>
        </w:rPr>
        <w:t>Exhibit 10.19</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Gossamer 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3013 Science Park Road,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20, 2018</w:t>
      </w:r>
    </w:p>
    <w:p>
      <w:pPr>
        <w:spacing w:after="0" w:line="225" w:lineRule="exact"/>
        <w:rPr>
          <w:sz w:val="20"/>
          <w:szCs w:val="20"/>
          <w:color w:val="auto"/>
        </w:rPr>
      </w:pPr>
    </w:p>
    <w:p>
      <w:pPr>
        <w:ind w:right="9260" w:firstLine="4"/>
        <w:spacing w:after="0" w:line="291" w:lineRule="auto"/>
        <w:tabs>
          <w:tab w:leader="none" w:pos="305" w:val="left"/>
        </w:tabs>
        <w:numPr>
          <w:ilvl w:val="0"/>
          <w:numId w:val="852"/>
        </w:numPr>
        <w:rPr>
          <w:rFonts w:ascii="Arial" w:cs="Arial" w:eastAsia="Arial" w:hAnsi="Arial"/>
          <w:sz w:val="16"/>
          <w:szCs w:val="16"/>
          <w:color w:val="auto"/>
        </w:rPr>
      </w:pPr>
      <w:r>
        <w:rPr>
          <w:rFonts w:ascii="Arial" w:cs="Arial" w:eastAsia="Arial" w:hAnsi="Arial"/>
          <w:sz w:val="16"/>
          <w:szCs w:val="16"/>
          <w:color w:val="auto"/>
        </w:rPr>
        <w:t>Goss Holdings LLC Suite 2202, 22nd Floor</w:t>
      </w:r>
    </w:p>
    <w:p>
      <w:pPr>
        <w:ind w:right="8600"/>
        <w:spacing w:after="0" w:line="250" w:lineRule="auto"/>
        <w:rPr>
          <w:rFonts w:ascii="Arial" w:cs="Arial" w:eastAsia="Arial" w:hAnsi="Arial"/>
          <w:sz w:val="16"/>
          <w:szCs w:val="16"/>
          <w:color w:val="auto"/>
        </w:rPr>
      </w:pPr>
      <w:r>
        <w:rPr>
          <w:rFonts w:ascii="Arial" w:cs="Arial" w:eastAsia="Arial" w:hAnsi="Arial"/>
          <w:sz w:val="18"/>
          <w:szCs w:val="18"/>
          <w:color w:val="auto"/>
        </w:rPr>
        <w:t>Two International Finance Centre 8 Finance Street</w:t>
      </w:r>
    </w:p>
    <w:p>
      <w:pPr>
        <w:spacing w:after="0"/>
        <w:rPr>
          <w:rFonts w:ascii="Arial" w:cs="Arial" w:eastAsia="Arial" w:hAnsi="Arial"/>
          <w:sz w:val="16"/>
          <w:szCs w:val="16"/>
          <w:color w:val="auto"/>
        </w:rPr>
      </w:pPr>
      <w:r>
        <w:rPr>
          <w:rFonts w:ascii="Arial" w:cs="Arial" w:eastAsia="Arial" w:hAnsi="Arial"/>
          <w:sz w:val="18"/>
          <w:szCs w:val="18"/>
          <w:color w:val="auto"/>
        </w:rPr>
        <w:t>Central, Hong Kong</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Attention: Michael Yi / Ting Jia</w:t>
      </w:r>
    </w:p>
    <w:p>
      <w:pPr>
        <w:spacing w:after="0" w:line="9" w:lineRule="exact"/>
        <w:rPr>
          <w:rFonts w:ascii="Arial" w:cs="Arial" w:eastAsia="Arial" w:hAnsi="Arial"/>
          <w:sz w:val="16"/>
          <w:szCs w:val="16"/>
          <w:color w:val="auto"/>
        </w:rPr>
      </w:pPr>
    </w:p>
    <w:p>
      <w:pPr>
        <w:ind w:right="8660"/>
        <w:spacing w:after="0" w:line="295" w:lineRule="auto"/>
        <w:rPr>
          <w:rFonts w:ascii="Arial" w:cs="Arial" w:eastAsia="Arial" w:hAnsi="Arial"/>
          <w:sz w:val="16"/>
          <w:szCs w:val="16"/>
          <w:color w:val="auto"/>
        </w:rPr>
      </w:pPr>
      <w:r>
        <w:rPr>
          <w:rFonts w:ascii="Arial" w:cs="Arial" w:eastAsia="Arial" w:hAnsi="Arial"/>
          <w:sz w:val="16"/>
          <w:szCs w:val="16"/>
          <w:color w:val="auto"/>
        </w:rPr>
        <w:t>Email: myi@hillhousecap.com; ting.jia@hhresearch.com With a copy to: Adam Hornung Email: Legal@hillhousecap.com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 Board Designation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color w:val="auto"/>
        </w:rPr>
        <w:t>Letter Agreement</w:t>
      </w:r>
      <w:r>
        <w:rPr>
          <w:rFonts w:ascii="Arial" w:cs="Arial" w:eastAsia="Arial" w:hAnsi="Arial"/>
          <w:sz w:val="18"/>
          <w:szCs w:val="18"/>
          <w:color w:val="auto"/>
        </w:rPr>
        <w:t>”) is made and entered into by and between Gossamer Bio,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HH Goss Holdings LLC (together with its affiliates, “</w:t>
      </w:r>
      <w:r>
        <w:rPr>
          <w:rFonts w:ascii="Arial" w:cs="Arial" w:eastAsia="Arial" w:hAnsi="Arial"/>
          <w:sz w:val="18"/>
          <w:szCs w:val="18"/>
          <w:b w:val="1"/>
          <w:bCs w:val="1"/>
          <w:color w:val="auto"/>
        </w:rPr>
        <w:t>Hillhouse</w:t>
      </w:r>
      <w:r>
        <w:rPr>
          <w:rFonts w:ascii="Arial" w:cs="Arial" w:eastAsia="Arial" w:hAnsi="Arial"/>
          <w:sz w:val="18"/>
          <w:szCs w:val="18"/>
          <w:color w:val="auto"/>
        </w:rPr>
        <w:t>”). Reference is hereby made to the Series B Preferred 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on or about the date hereof, by and among the Company, Hillhouse and certain other purchasers listed from time to time on Schedule A to the Purchase Agreement, pursuant to which Hillhouse is purchasing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Company’s Series B Preferred Stock, $0.0001 par value per share. In connection with the purchase of the Shares by Hillhouse, the parties hereto agree as follows:</w:t>
      </w:r>
    </w:p>
    <w:p>
      <w:pPr>
        <w:spacing w:after="0" w:line="84"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 xml:space="preserve">Certain Definitions. </w:t>
      </w:r>
      <w:r>
        <w:rPr>
          <w:rFonts w:ascii="Arial" w:cs="Arial" w:eastAsia="Arial" w:hAnsi="Arial"/>
          <w:sz w:val="16"/>
          <w:szCs w:val="16"/>
          <w:color w:val="auto"/>
        </w:rPr>
        <w:t>As used in this Agreement, the following terms shall have the following respective meanings: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Asthma Data Read-Out</w:t>
      </w:r>
      <w:r>
        <w:rPr>
          <w:rFonts w:ascii="Arial" w:cs="Arial" w:eastAsia="Arial" w:hAnsi="Arial"/>
          <w:sz w:val="18"/>
          <w:szCs w:val="18"/>
          <w:color w:val="auto"/>
        </w:rPr>
        <w:t>” shall mean the first public data read-out of interim results from the GB001 Phase 2 clinical trial.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of the closing of the IPO;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shall mean the initial public offering of shares of the Company’s common stock; and</w:t>
      </w:r>
    </w:p>
    <w:p>
      <w:pPr>
        <w:spacing w:after="0" w:line="117"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Necessary Action</w:t>
      </w:r>
      <w:r>
        <w:rPr>
          <w:rFonts w:ascii="Arial" w:cs="Arial" w:eastAsia="Arial" w:hAnsi="Arial"/>
          <w:sz w:val="17"/>
          <w:szCs w:val="17"/>
          <w:color w:val="auto"/>
        </w:rPr>
        <w:t xml:space="preserve">” shall mean using best efforts, subject to applicable law and listing standards, to cause such result that are within the power of the Company, including (i) causing members of the Board, subject to any fiduciary duties that such members may have as directors of the Company, to act in a certain manner, including causing members of the Board or any nominating or similar committee of the Board to recommend to the stockholders of the Company the appointment of any Hillhouse Designee (as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Letter Agreement) as provided by this Agreement and to not withdraw or adversely modify such recommendation, (ii) executing agreements and instruments consistent with the terms hereof and refraining from taking any action that would reasonably be expected to adversely affect the election of the Hillhouse Designee, (iii) making, or causing to be made, with governmental, administrative or regulatory authorities, all filings,</w:t>
      </w:r>
    </w:p>
    <w:p>
      <w:pPr>
        <w:sectPr>
          <w:pgSz w:w="11900" w:h="16838" w:orient="portrait"/>
          <w:cols w:equalWidth="0" w:num="1">
            <w:col w:w="11020"/>
          </w:cols>
          <w:pgMar w:left="440" w:top="121" w:right="439" w:bottom="1440" w:gutter="0" w:footer="0" w:header="0"/>
        </w:sectPr>
      </w:pPr>
    </w:p>
    <w:bookmarkStart w:id="927" w:name="page928"/>
    <w:bookmarkEnd w:id="927"/>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registrations or similar actions that are required to achieve such result, and (iv) soliciting proxies and votes from the Company’s stockholders in favor of such recommendation.</w:t>
      </w:r>
    </w:p>
    <w:p>
      <w:pPr>
        <w:spacing w:after="0" w:line="170" w:lineRule="exact"/>
        <w:rPr>
          <w:sz w:val="20"/>
          <w:szCs w:val="20"/>
          <w:color w:val="auto"/>
        </w:rPr>
      </w:pPr>
    </w:p>
    <w:p>
      <w:pPr>
        <w:jc w:val="both"/>
        <w:ind w:firstLine="885"/>
        <w:spacing w:after="0" w:line="288" w:lineRule="auto"/>
        <w:tabs>
          <w:tab w:leader="none" w:pos="1196" w:val="left"/>
        </w:tabs>
        <w:numPr>
          <w:ilvl w:val="0"/>
          <w:numId w:val="853"/>
        </w:numPr>
        <w:rPr>
          <w:rFonts w:ascii="Arial" w:cs="Arial" w:eastAsia="Arial" w:hAnsi="Arial"/>
          <w:sz w:val="16"/>
          <w:szCs w:val="16"/>
          <w:color w:val="auto"/>
        </w:rPr>
      </w:pPr>
      <w:r>
        <w:rPr>
          <w:rFonts w:ascii="Arial" w:cs="Arial" w:eastAsia="Arial" w:hAnsi="Arial"/>
          <w:sz w:val="16"/>
          <w:szCs w:val="16"/>
          <w:u w:val="single" w:color="auto"/>
          <w:color w:val="auto"/>
        </w:rPr>
        <w:t>Board Designation Right</w:t>
      </w:r>
      <w:r>
        <w:rPr>
          <w:rFonts w:ascii="Arial" w:cs="Arial" w:eastAsia="Arial" w:hAnsi="Arial"/>
          <w:sz w:val="16"/>
          <w:szCs w:val="16"/>
          <w:color w:val="auto"/>
        </w:rPr>
        <w:t>. From the Effective Date until the termination of this Letter Agreement, the Company shall take all Necessary Action to designate one (1) individual designated by Hillhouse from time to time (including any replacement thereof, the “</w:t>
      </w:r>
      <w:r>
        <w:rPr>
          <w:rFonts w:ascii="Arial" w:cs="Arial" w:eastAsia="Arial" w:hAnsi="Arial"/>
          <w:sz w:val="16"/>
          <w:szCs w:val="16"/>
          <w:b w:val="1"/>
          <w:bCs w:val="1"/>
          <w:color w:val="auto"/>
        </w:rPr>
        <w:t>Hillhouse Designee</w:t>
      </w:r>
      <w:r>
        <w:rPr>
          <w:rFonts w:ascii="Arial" w:cs="Arial" w:eastAsia="Arial" w:hAnsi="Arial"/>
          <w:sz w:val="16"/>
          <w:szCs w:val="16"/>
          <w:color w:val="auto"/>
        </w:rPr>
        <w:t>”) to the Board; provided that if at any time prior to the Effective Date, Hillhouse ceases to beneficially own at least 20% of the Shares issued to it under the Purchase Agreement, this Agreement shall not become effective and shall be of no further force or effect. If the Company adopts a classified Board, the Company shall take all Necessary Action to cause the Hillhouse Designee to be part of the class with the longest remaining term. In the event that the Hillhouse Designee shall cease to serve as a director for any reason, the Company shall take all Necessary Action to ensure that the vacancy resulting therefrom is not filled until Hillhouse has designated a replacement and the Company shall take all Necessary Action to cause the vacancy to be filled by any replacement Hillhouse Designee as soon as practicable following Hillhouse’s designation of a replacement pursuant to the above provisions. The Company shall take all Necessary Action to appoint the Hillhouse Designee to any committee of the Board that Hillhouse requests, provided that the Hillhouse Designee shall be a director and shall be eligible to serve on such committee under applicable law or listing standard.</w:t>
      </w:r>
    </w:p>
    <w:p>
      <w:pPr>
        <w:spacing w:after="0" w:line="169" w:lineRule="exact"/>
        <w:rPr>
          <w:rFonts w:ascii="Arial" w:cs="Arial" w:eastAsia="Arial" w:hAnsi="Arial"/>
          <w:sz w:val="16"/>
          <w:szCs w:val="16"/>
          <w:color w:val="auto"/>
        </w:rPr>
      </w:pPr>
    </w:p>
    <w:p>
      <w:pPr>
        <w:ind w:firstLine="885"/>
        <w:spacing w:after="0" w:line="277" w:lineRule="auto"/>
        <w:tabs>
          <w:tab w:leader="none" w:pos="1264" w:val="left"/>
        </w:tabs>
        <w:numPr>
          <w:ilvl w:val="0"/>
          <w:numId w:val="853"/>
        </w:numPr>
        <w:rPr>
          <w:rFonts w:ascii="Arial" w:cs="Arial" w:eastAsia="Arial" w:hAnsi="Arial"/>
          <w:sz w:val="18"/>
          <w:szCs w:val="18"/>
          <w:color w:val="auto"/>
        </w:rPr>
      </w:pPr>
      <w:r>
        <w:rPr>
          <w:rFonts w:ascii="Arial" w:cs="Arial" w:eastAsia="Arial" w:hAnsi="Arial"/>
          <w:sz w:val="18"/>
          <w:szCs w:val="18"/>
          <w:u w:val="single" w:color="auto"/>
          <w:color w:val="auto"/>
        </w:rPr>
        <w:t>Transfer of Rights</w:t>
      </w:r>
      <w:r>
        <w:rPr>
          <w:rFonts w:ascii="Arial" w:cs="Arial" w:eastAsia="Arial" w:hAnsi="Arial"/>
          <w:sz w:val="18"/>
          <w:szCs w:val="18"/>
          <w:color w:val="auto"/>
        </w:rPr>
        <w:t>. None of the rights or obligations in this Letter Agreement may be transferred or assigned by either party hereto without the prior written consent of the other party.</w:t>
      </w:r>
    </w:p>
    <w:p>
      <w:pPr>
        <w:spacing w:after="0" w:line="170" w:lineRule="exact"/>
        <w:rPr>
          <w:rFonts w:ascii="Arial" w:cs="Arial" w:eastAsia="Arial" w:hAnsi="Arial"/>
          <w:sz w:val="18"/>
          <w:szCs w:val="18"/>
          <w:color w:val="auto"/>
        </w:rPr>
      </w:pPr>
    </w:p>
    <w:p>
      <w:pPr>
        <w:jc w:val="both"/>
        <w:ind w:firstLine="885"/>
        <w:spacing w:after="0" w:line="312" w:lineRule="auto"/>
        <w:tabs>
          <w:tab w:leader="none" w:pos="1223" w:val="left"/>
        </w:tabs>
        <w:numPr>
          <w:ilvl w:val="0"/>
          <w:numId w:val="85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If this Letter Agreement is not earlier terminated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this Letter Agreement shall terminate and be of no further force or effect at such time as Hillhouse ceases to beneficially own at least 5% of the outstanding voting stock of the Company, or upon the later of (i) eighteen (18) months following the Effective Date or (2) six (6) months following the date of the Asthma Data Read-Out.</w:t>
      </w:r>
    </w:p>
    <w:p>
      <w:pPr>
        <w:spacing w:after="0" w:line="146" w:lineRule="exact"/>
        <w:rPr>
          <w:rFonts w:ascii="Arial" w:cs="Arial" w:eastAsia="Arial" w:hAnsi="Arial"/>
          <w:sz w:val="16"/>
          <w:szCs w:val="16"/>
          <w:color w:val="auto"/>
        </w:rPr>
      </w:pPr>
    </w:p>
    <w:p>
      <w:pPr>
        <w:jc w:val="both"/>
        <w:ind w:firstLine="885"/>
        <w:spacing w:after="0" w:line="264" w:lineRule="auto"/>
        <w:tabs>
          <w:tab w:leader="none" w:pos="1277" w:val="left"/>
        </w:tabs>
        <w:numPr>
          <w:ilvl w:val="0"/>
          <w:numId w:val="8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Letter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81" w:lineRule="exact"/>
        <w:rPr>
          <w:rFonts w:ascii="Arial" w:cs="Arial" w:eastAsia="Arial" w:hAnsi="Arial"/>
          <w:sz w:val="18"/>
          <w:szCs w:val="18"/>
          <w:color w:val="auto"/>
        </w:rPr>
      </w:pPr>
    </w:p>
    <w:p>
      <w:pPr>
        <w:ind w:firstLine="885"/>
        <w:spacing w:after="0" w:line="342" w:lineRule="auto"/>
        <w:tabs>
          <w:tab w:leader="none" w:pos="1237" w:val="left"/>
        </w:tabs>
        <w:numPr>
          <w:ilvl w:val="0"/>
          <w:numId w:val="85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Letter Agreement may be executed in one or more counterparts and by the parties hereto in separate counterparts, each of which when so executed shall be deemed to be an original and all of which together shall be deemed to constitute one and the same instrument.</w:t>
      </w:r>
    </w:p>
    <w:p>
      <w:pPr>
        <w:spacing w:after="0" w:line="123" w:lineRule="exact"/>
        <w:rPr>
          <w:rFonts w:ascii="Arial" w:cs="Arial" w:eastAsia="Arial" w:hAnsi="Arial"/>
          <w:sz w:val="16"/>
          <w:szCs w:val="16"/>
          <w:color w:val="auto"/>
        </w:rPr>
      </w:pPr>
    </w:p>
    <w:p>
      <w:pPr>
        <w:ind w:firstLine="885"/>
        <w:spacing w:after="0" w:line="308" w:lineRule="auto"/>
        <w:tabs>
          <w:tab w:leader="none" w:pos="1212" w:val="left"/>
        </w:tabs>
        <w:numPr>
          <w:ilvl w:val="0"/>
          <w:numId w:val="853"/>
        </w:numPr>
        <w:rPr>
          <w:rFonts w:ascii="Arial" w:cs="Arial" w:eastAsia="Arial" w:hAnsi="Arial"/>
          <w:sz w:val="17"/>
          <w:szCs w:val="17"/>
          <w:color w:val="auto"/>
        </w:rPr>
      </w:pPr>
      <w:r>
        <w:rPr>
          <w:rFonts w:ascii="Arial" w:cs="Arial" w:eastAsia="Arial" w:hAnsi="Arial"/>
          <w:sz w:val="17"/>
          <w:szCs w:val="17"/>
          <w:color w:val="auto"/>
        </w:rPr>
        <w:t>Amendments and Waivers. This Letter Agreement may be amended and the observance of any provision herein may be waived (either generally or in a particular instance and either retroactively or prospectively) only with the written consent of both parties hereto.</w:t>
      </w:r>
    </w:p>
    <w:p>
      <w:pPr>
        <w:spacing w:after="0" w:line="146" w:lineRule="exact"/>
        <w:rPr>
          <w:rFonts w:ascii="Arial" w:cs="Arial" w:eastAsia="Arial" w:hAnsi="Arial"/>
          <w:sz w:val="17"/>
          <w:szCs w:val="17"/>
          <w:color w:val="auto"/>
        </w:rPr>
      </w:pPr>
    </w:p>
    <w:p>
      <w:pPr>
        <w:ind w:firstLine="885"/>
        <w:spacing w:after="0" w:line="308" w:lineRule="auto"/>
        <w:tabs>
          <w:tab w:leader="none" w:pos="1237" w:val="left"/>
        </w:tabs>
        <w:numPr>
          <w:ilvl w:val="0"/>
          <w:numId w:val="85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Letter Agreement constitutes the entire agreement among the parties with respect to the subject matter hereof and supersedes all prior agreement and understandings, both written and oral, among the parties with respect to the subject matter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928" w:name="page929"/>
    <w:bookmarkEnd w:id="9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agree with the terms of this Letter Agreement, kindly countersign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Gossamer 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Faheem Hasnain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HH Goss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Colm O’Connell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175"/>
        </w:trPr>
        <w:tc>
          <w:tcPr>
            <w:tcW w:w="56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3860" w:type="dxa"/>
            <w:vAlign w:val="bottom"/>
          </w:tcPr>
          <w:p>
            <w:pPr>
              <w:ind w:left="60"/>
              <w:spacing w:after="0" w:line="176" w:lineRule="exact"/>
              <w:rPr>
                <w:sz w:val="20"/>
                <w:szCs w:val="20"/>
                <w:color w:val="auto"/>
              </w:rPr>
            </w:pPr>
            <w:r>
              <w:rPr>
                <w:rFonts w:ascii="Arial" w:cs="Arial" w:eastAsia="Arial" w:hAnsi="Arial"/>
                <w:sz w:val="18"/>
                <w:szCs w:val="18"/>
                <w:color w:val="auto"/>
              </w:rPr>
              <w:t>Colm O’Connell</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Its:</w:t>
            </w:r>
          </w:p>
        </w:tc>
        <w:tc>
          <w:tcPr>
            <w:tcW w:w="386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Dated:</w:t>
            </w:r>
          </w:p>
        </w:tc>
        <w:tc>
          <w:tcPr>
            <w:tcW w:w="3860" w:type="dxa"/>
            <w:vAlign w:val="bottom"/>
          </w:tcPr>
          <w:p>
            <w:pPr>
              <w:ind w:left="60"/>
              <w:spacing w:after="0"/>
              <w:rPr>
                <w:sz w:val="20"/>
                <w:szCs w:val="20"/>
                <w:color w:val="auto"/>
              </w:rPr>
            </w:pPr>
            <w:r>
              <w:rPr>
                <w:rFonts w:ascii="Arial" w:cs="Arial" w:eastAsia="Arial" w:hAnsi="Arial"/>
                <w:sz w:val="18"/>
                <w:szCs w:val="18"/>
                <w:color w:val="auto"/>
              </w:rPr>
              <w:t>July 20, 2018</w:t>
            </w:r>
          </w:p>
        </w:tc>
      </w:tr>
    </w:tbl>
    <w:p>
      <w:pPr>
        <w:sectPr>
          <w:pgSz w:w="11900" w:h="16838" w:orient="portrait"/>
          <w:cols w:equalWidth="0" w:num="1">
            <w:col w:w="10019"/>
          </w:cols>
          <w:pgMar w:left="440" w:top="274" w:right="1440" w:bottom="1440" w:gutter="0" w:footer="0" w:header="0"/>
        </w:sectPr>
      </w:pPr>
    </w:p>
    <w:bookmarkStart w:id="929" w:name="page930"/>
    <w:bookmarkEnd w:id="92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320" w:type="dxa"/>
            <w:vAlign w:val="bottom"/>
            <w:gridSpan w:val="2"/>
          </w:tcPr>
          <w:p>
            <w:pPr>
              <w:ind w:left="1320"/>
              <w:spacing w:after="0"/>
              <w:rPr>
                <w:sz w:val="20"/>
                <w:szCs w:val="20"/>
                <w:color w:val="auto"/>
              </w:rPr>
            </w:pPr>
            <w:r>
              <w:rPr>
                <w:rFonts w:ascii="Arial" w:cs="Arial" w:eastAsia="Arial" w:hAnsi="Arial"/>
                <w:sz w:val="18"/>
                <w:szCs w:val="18"/>
                <w:b w:val="1"/>
                <w:bCs w:val="1"/>
                <w:color w:val="auto"/>
              </w:rPr>
              <w:t>List of Subsidiaries of</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320" w:type="dxa"/>
            <w:vAlign w:val="bottom"/>
            <w:gridSpan w:val="2"/>
          </w:tcPr>
          <w:p>
            <w:pPr>
              <w:ind w:left="1420"/>
              <w:spacing w:after="0"/>
              <w:rPr>
                <w:sz w:val="20"/>
                <w:szCs w:val="20"/>
                <w:color w:val="auto"/>
              </w:rPr>
            </w:pPr>
            <w:r>
              <w:rPr>
                <w:rFonts w:ascii="Arial" w:cs="Arial" w:eastAsia="Arial" w:hAnsi="Arial"/>
                <w:sz w:val="18"/>
                <w:szCs w:val="18"/>
                <w:b w:val="1"/>
                <w:bCs w:val="1"/>
                <w:color w:val="auto"/>
              </w:rPr>
              <w:t>Gossamer Bio, Inc.</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tcPr>
          <w:p>
            <w:pPr>
              <w:spacing w:after="0"/>
              <w:rPr>
                <w:sz w:val="24"/>
                <w:szCs w:val="24"/>
                <w:color w:val="auto"/>
              </w:rPr>
            </w:pPr>
          </w:p>
        </w:tc>
        <w:tc>
          <w:tcPr>
            <w:tcW w:w="5320" w:type="dxa"/>
            <w:vAlign w:val="bottom"/>
            <w:gridSpan w:val="2"/>
          </w:tcPr>
          <w:p>
            <w:pPr>
              <w:ind w:left="2500"/>
              <w:spacing w:after="0"/>
              <w:rPr>
                <w:sz w:val="20"/>
                <w:szCs w:val="20"/>
                <w:color w:val="auto"/>
              </w:rPr>
            </w:pPr>
            <w:r>
              <w:rPr>
                <w:rFonts w:ascii="Arial" w:cs="Arial" w:eastAsia="Arial" w:hAnsi="Arial"/>
                <w:sz w:val="14"/>
                <w:szCs w:val="14"/>
                <w:b w:val="1"/>
                <w:bCs w:val="1"/>
                <w:color w:val="auto"/>
                <w:w w:val="93"/>
              </w:rPr>
              <w:t>Jurisdiction of Incorporation or Organization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0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60" w:type="dxa"/>
            <w:vAlign w:val="bottom"/>
            <w:gridSpan w:val="2"/>
          </w:tcPr>
          <w:p>
            <w:pPr>
              <w:spacing w:after="0" w:line="195" w:lineRule="exact"/>
              <w:rPr>
                <w:sz w:val="20"/>
                <w:szCs w:val="20"/>
                <w:color w:val="auto"/>
              </w:rPr>
            </w:pPr>
            <w:r>
              <w:rPr>
                <w:rFonts w:ascii="Arial" w:cs="Arial" w:eastAsia="Arial" w:hAnsi="Arial"/>
                <w:sz w:val="18"/>
                <w:szCs w:val="18"/>
                <w:color w:val="auto"/>
              </w:rPr>
              <w:t>GB001, Inc.</w:t>
            </w:r>
          </w:p>
        </w:tc>
        <w:tc>
          <w:tcPr>
            <w:tcW w:w="2500" w:type="dxa"/>
            <w:vAlign w:val="bottom"/>
            <w:vMerge w:val="continue"/>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GB002, Inc.</w:t>
            </w:r>
          </w:p>
        </w:tc>
        <w:tc>
          <w:tcPr>
            <w:tcW w:w="5320" w:type="dxa"/>
            <w:vAlign w:val="bottom"/>
            <w:gridSpan w:val="2"/>
          </w:tcPr>
          <w:p>
            <w:pPr>
              <w:ind w:left="25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GB004, Inc.</w:t>
            </w:r>
          </w:p>
        </w:tc>
        <w:tc>
          <w:tcPr>
            <w:tcW w:w="5320" w:type="dxa"/>
            <w:vAlign w:val="bottom"/>
            <w:gridSpan w:val="2"/>
          </w:tcPr>
          <w:p>
            <w:pPr>
              <w:ind w:left="25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Gossamer Bio Services, Inc.</w:t>
            </w:r>
          </w:p>
        </w:tc>
        <w:tc>
          <w:tcPr>
            <w:tcW w:w="5320" w:type="dxa"/>
            <w:vAlign w:val="bottom"/>
            <w:gridSpan w:val="2"/>
          </w:tcPr>
          <w:p>
            <w:pPr>
              <w:ind w:left="25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2" w:right="439" w:bottom="1440" w:gutter="0" w:footer="0" w:header="0"/>
        </w:sectPr>
      </w:pPr>
    </w:p>
    <w:bookmarkStart w:id="930" w:name="page931"/>
    <w:bookmarkEnd w:id="9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October 11, 2018, in the Registration Statement on Form S-1 and related Prospectus of Gossamer Bio, Inc. for the registration of shares of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A37D47"/>
    <w:multiLevelType w:val="hybridMultilevel"/>
    <w:lvl w:ilvl="0">
      <w:lvlJc w:val="left"/>
      <w:lvlText w:val="(%1)"/>
      <w:numFmt w:val="decimal"/>
      <w:start w:val="1"/>
    </w:lvl>
  </w:abstractNum>
  <w:abstractNum w:abstractNumId="1">
    <w:nsid w:val="74824D54"/>
    <w:multiLevelType w:val="hybridMultilevel"/>
    <w:lvl w:ilvl="0">
      <w:lvlJc w:val="left"/>
      <w:lvlText w:val="(%1)"/>
      <w:numFmt w:val="decimal"/>
      <w:start w:val="1"/>
    </w:lvl>
  </w:abstractNum>
  <w:abstractNum w:abstractNumId="2">
    <w:nsid w:val="6F00529A"/>
    <w:multiLevelType w:val="hybridMultilevel"/>
    <w:lvl w:ilvl="0">
      <w:lvlJc w:val="left"/>
      <w:lvlText w:val="•"/>
      <w:numFmt w:val="bullet"/>
      <w:start w:val="1"/>
    </w:lvl>
  </w:abstractNum>
  <w:abstractNum w:abstractNumId="3">
    <w:nsid w:val="805B331"/>
    <w:multiLevelType w:val="hybridMultilevel"/>
    <w:lvl w:ilvl="0">
      <w:lvlJc w:val="left"/>
      <w:lvlText w:val="•"/>
      <w:numFmt w:val="bullet"/>
      <w:start w:val="1"/>
    </w:lvl>
  </w:abstractNum>
  <w:abstractNum w:abstractNumId="4">
    <w:nsid w:val="60A1463"/>
    <w:multiLevelType w:val="hybridMultilevel"/>
    <w:lvl w:ilvl="0">
      <w:lvlJc w:val="left"/>
      <w:lvlText w:val="•"/>
      <w:numFmt w:val="bullet"/>
      <w:start w:val="1"/>
    </w:lvl>
  </w:abstractNum>
  <w:abstractNum w:abstractNumId="5">
    <w:nsid w:val="43773132"/>
    <w:multiLevelType w:val="hybridMultilevel"/>
    <w:lvl w:ilvl="0">
      <w:lvlJc w:val="left"/>
      <w:lvlText w:val="•"/>
      <w:numFmt w:val="bullet"/>
      <w:start w:val="1"/>
    </w:lvl>
  </w:abstractNum>
  <w:abstractNum w:abstractNumId="6">
    <w:nsid w:val="16AC4B23"/>
    <w:multiLevelType w:val="hybridMultilevel"/>
    <w:lvl w:ilvl="0">
      <w:lvlJc w:val="left"/>
      <w:lvlText w:val="•"/>
      <w:numFmt w:val="bullet"/>
      <w:start w:val="1"/>
    </w:lvl>
  </w:abstractNum>
  <w:abstractNum w:abstractNumId="7">
    <w:nsid w:val="76C44E4E"/>
    <w:multiLevelType w:val="hybridMultilevel"/>
    <w:lvl w:ilvl="0">
      <w:lvlJc w:val="left"/>
      <w:lvlText w:val="•"/>
      <w:numFmt w:val="bullet"/>
      <w:start w:val="1"/>
    </w:lvl>
  </w:abstractNum>
  <w:abstractNum w:abstractNumId="8">
    <w:nsid w:val="E04E6CE"/>
    <w:multiLevelType w:val="hybridMultilevel"/>
    <w:lvl w:ilvl="0">
      <w:lvlJc w:val="left"/>
      <w:lvlText w:val="•"/>
      <w:numFmt w:val="bullet"/>
      <w:start w:val="1"/>
    </w:lvl>
  </w:abstractNum>
  <w:abstractNum w:abstractNumId="9">
    <w:nsid w:val="31A9DB76"/>
    <w:multiLevelType w:val="hybridMultilevel"/>
    <w:lvl w:ilvl="0">
      <w:lvlJc w:val="left"/>
      <w:lvlText w:val="•"/>
      <w:numFmt w:val="bullet"/>
      <w:start w:val="1"/>
    </w:lvl>
  </w:abstractNum>
  <w:abstractNum w:abstractNumId="10">
    <w:nsid w:val="4C4FFF5B"/>
    <w:multiLevelType w:val="hybridMultilevel"/>
    <w:lvl w:ilvl="0">
      <w:lvlJc w:val="left"/>
      <w:lvlText w:val="(%1)"/>
      <w:numFmt w:val="decimal"/>
      <w:start w:val="1"/>
    </w:lvl>
  </w:abstractNum>
  <w:abstractNum w:abstractNumId="11">
    <w:nsid w:val="51B76675"/>
    <w:multiLevelType w:val="hybridMultilevel"/>
    <w:lvl w:ilvl="0">
      <w:lvlJc w:val="left"/>
      <w:lvlText w:val="(%1)"/>
      <w:numFmt w:val="decimal"/>
      <w:start w:val="1"/>
    </w:lvl>
  </w:abstractNum>
  <w:abstractNum w:abstractNumId="12">
    <w:nsid w:val="59A4BA71"/>
    <w:multiLevelType w:val="hybridMultilevel"/>
    <w:lvl w:ilvl="0">
      <w:lvlJc w:val="left"/>
      <w:lvlText w:val="(%1)"/>
      <w:numFmt w:val="decimal"/>
      <w:start w:val="3"/>
    </w:lvl>
  </w:abstractNum>
  <w:abstractNum w:abstractNumId="13">
    <w:nsid w:val="450B7FB6"/>
    <w:multiLevelType w:val="hybridMultilevel"/>
    <w:lvl w:ilvl="0">
      <w:lvlJc w:val="left"/>
      <w:lvlText w:val="•"/>
      <w:numFmt w:val="bullet"/>
      <w:start w:val="1"/>
    </w:lvl>
  </w:abstractNum>
  <w:abstractNum w:abstractNumId="14">
    <w:nsid w:val="340BF64D"/>
    <w:multiLevelType w:val="hybridMultilevel"/>
    <w:lvl w:ilvl="0">
      <w:lvlJc w:val="left"/>
      <w:lvlText w:val="•"/>
      <w:numFmt w:val="bullet"/>
      <w:start w:val="1"/>
    </w:lvl>
  </w:abstractNum>
  <w:abstractNum w:abstractNumId="15">
    <w:nsid w:val="69454021"/>
    <w:multiLevelType w:val="hybridMultilevel"/>
    <w:lvl w:ilvl="0">
      <w:lvlJc w:val="left"/>
      <w:lvlText w:val="•"/>
      <w:numFmt w:val="bullet"/>
      <w:start w:val="1"/>
    </w:lvl>
  </w:abstractNum>
  <w:abstractNum w:abstractNumId="16">
    <w:nsid w:val="49F15C6B"/>
    <w:multiLevelType w:val="hybridMultilevel"/>
    <w:lvl w:ilvl="0">
      <w:lvlJc w:val="left"/>
      <w:lvlText w:val="•"/>
      <w:numFmt w:val="bullet"/>
      <w:start w:val="1"/>
    </w:lvl>
  </w:abstractNum>
  <w:abstractNum w:abstractNumId="17">
    <w:nsid w:val="75F56228"/>
    <w:multiLevelType w:val="hybridMultilevel"/>
    <w:lvl w:ilvl="0">
      <w:lvlJc w:val="left"/>
      <w:lvlText w:val="•"/>
      <w:numFmt w:val="bullet"/>
      <w:start w:val="1"/>
    </w:lvl>
  </w:abstractNum>
  <w:abstractNum w:abstractNumId="18">
    <w:nsid w:val="1C618271"/>
    <w:multiLevelType w:val="hybridMultilevel"/>
    <w:lvl w:ilvl="0">
      <w:lvlJc w:val="left"/>
      <w:lvlText w:val="•"/>
      <w:numFmt w:val="bullet"/>
      <w:start w:val="1"/>
    </w:lvl>
  </w:abstractNum>
  <w:abstractNum w:abstractNumId="19">
    <w:nsid w:val="6505F02E"/>
    <w:multiLevelType w:val="hybridMultilevel"/>
    <w:lvl w:ilvl="0">
      <w:lvlJc w:val="left"/>
      <w:lvlText w:val="•"/>
      <w:numFmt w:val="bullet"/>
      <w:start w:val="1"/>
    </w:lvl>
  </w:abstractNum>
  <w:abstractNum w:abstractNumId="20">
    <w:nsid w:val="2FE5D025"/>
    <w:multiLevelType w:val="hybridMultilevel"/>
    <w:lvl w:ilvl="0">
      <w:lvlJc w:val="left"/>
      <w:lvlText w:val="•"/>
      <w:numFmt w:val="bullet"/>
      <w:start w:val="1"/>
    </w:lvl>
  </w:abstractNum>
  <w:abstractNum w:abstractNumId="21">
    <w:nsid w:val="30E1B1CF"/>
    <w:multiLevelType w:val="hybridMultilevel"/>
    <w:lvl w:ilvl="0">
      <w:lvlJc w:val="left"/>
      <w:lvlText w:val="•"/>
      <w:numFmt w:val="bullet"/>
      <w:start w:val="1"/>
    </w:lvl>
  </w:abstractNum>
  <w:abstractNum w:abstractNumId="22">
    <w:nsid w:val="C7A9237"/>
    <w:multiLevelType w:val="hybridMultilevel"/>
    <w:lvl w:ilvl="0">
      <w:lvlJc w:val="left"/>
      <w:lvlText w:val="•"/>
      <w:numFmt w:val="bullet"/>
      <w:start w:val="1"/>
    </w:lvl>
  </w:abstractNum>
  <w:abstractNum w:abstractNumId="23">
    <w:nsid w:val="676B3580"/>
    <w:multiLevelType w:val="hybridMultilevel"/>
    <w:lvl w:ilvl="0">
      <w:lvlJc w:val="left"/>
      <w:lvlText w:val="•"/>
      <w:numFmt w:val="bullet"/>
      <w:start w:val="1"/>
    </w:lvl>
  </w:abstractNum>
  <w:abstractNum w:abstractNumId="24">
    <w:nsid w:val="3193C8F9"/>
    <w:multiLevelType w:val="hybridMultilevel"/>
    <w:lvl w:ilvl="0">
      <w:lvlJc w:val="left"/>
      <w:lvlText w:val="•"/>
      <w:numFmt w:val="bullet"/>
      <w:start w:val="1"/>
    </w:lvl>
  </w:abstractNum>
  <w:abstractNum w:abstractNumId="25">
    <w:nsid w:val="5FA6C6DC"/>
    <w:multiLevelType w:val="hybridMultilevel"/>
    <w:lvl w:ilvl="0">
      <w:lvlJc w:val="left"/>
      <w:lvlText w:val="•"/>
      <w:numFmt w:val="bullet"/>
      <w:start w:val="1"/>
    </w:lvl>
  </w:abstractNum>
  <w:abstractNum w:abstractNumId="26">
    <w:nsid w:val="77933F62"/>
    <w:multiLevelType w:val="hybridMultilevel"/>
    <w:lvl w:ilvl="0">
      <w:lvlJc w:val="left"/>
      <w:lvlText w:val="•"/>
      <w:numFmt w:val="bullet"/>
      <w:start w:val="1"/>
    </w:lvl>
  </w:abstractNum>
  <w:abstractNum w:abstractNumId="27">
    <w:nsid w:val="6CB4EE9C"/>
    <w:multiLevelType w:val="hybridMultilevel"/>
    <w:lvl w:ilvl="0">
      <w:lvlJc w:val="left"/>
      <w:lvlText w:val="•"/>
      <w:numFmt w:val="bullet"/>
      <w:start w:val="1"/>
    </w:lvl>
  </w:abstractNum>
  <w:abstractNum w:abstractNumId="28">
    <w:nsid w:val="6A6D56D7"/>
    <w:multiLevelType w:val="hybridMultilevel"/>
    <w:lvl w:ilvl="0">
      <w:lvlJc w:val="left"/>
      <w:lvlText w:val="•"/>
      <w:numFmt w:val="bullet"/>
      <w:start w:val="1"/>
    </w:lvl>
  </w:abstractNum>
  <w:abstractNum w:abstractNumId="29">
    <w:nsid w:val="5B727F19"/>
    <w:multiLevelType w:val="hybridMultilevel"/>
    <w:lvl w:ilvl="0">
      <w:lvlJc w:val="left"/>
      <w:lvlText w:val="•"/>
      <w:numFmt w:val="bullet"/>
      <w:start w:val="1"/>
    </w:lvl>
  </w:abstractNum>
  <w:abstractNum w:abstractNumId="30">
    <w:nsid w:val="514E5CB0"/>
    <w:multiLevelType w:val="hybridMultilevel"/>
    <w:lvl w:ilvl="0">
      <w:lvlJc w:val="left"/>
      <w:lvlText w:val="•"/>
      <w:numFmt w:val="bullet"/>
      <w:start w:val="1"/>
    </w:lvl>
  </w:abstractNum>
  <w:abstractNum w:abstractNumId="31">
    <w:nsid w:val="4210D41E"/>
    <w:multiLevelType w:val="hybridMultilevel"/>
    <w:lvl w:ilvl="0">
      <w:lvlJc w:val="left"/>
      <w:lvlText w:val="•"/>
      <w:numFmt w:val="bullet"/>
      <w:start w:val="1"/>
    </w:lvl>
  </w:abstractNum>
  <w:abstractNum w:abstractNumId="32">
    <w:nsid w:val="4FF4CC6D"/>
    <w:multiLevelType w:val="hybridMultilevel"/>
    <w:lvl w:ilvl="0">
      <w:lvlJc w:val="left"/>
      <w:lvlText w:val="•"/>
      <w:numFmt w:val="bullet"/>
      <w:start w:val="1"/>
    </w:lvl>
  </w:abstractNum>
  <w:abstractNum w:abstractNumId="33">
    <w:nsid w:val="404EAF4A"/>
    <w:multiLevelType w:val="hybridMultilevel"/>
    <w:lvl w:ilvl="0">
      <w:lvlJc w:val="left"/>
      <w:lvlText w:val="•"/>
      <w:numFmt w:val="bullet"/>
      <w:start w:val="1"/>
    </w:lvl>
  </w:abstractNum>
  <w:abstractNum w:abstractNumId="34">
    <w:nsid w:val="4A16874F"/>
    <w:multiLevelType w:val="hybridMultilevel"/>
    <w:lvl w:ilvl="0">
      <w:lvlJc w:val="left"/>
      <w:lvlText w:val="•"/>
      <w:numFmt w:val="bullet"/>
      <w:start w:val="1"/>
    </w:lvl>
  </w:abstractNum>
  <w:abstractNum w:abstractNumId="35">
    <w:nsid w:val="55FEE0D1"/>
    <w:multiLevelType w:val="hybridMultilevel"/>
    <w:lvl w:ilvl="0">
      <w:lvlJc w:val="left"/>
      <w:lvlText w:val="•"/>
      <w:numFmt w:val="bullet"/>
      <w:start w:val="1"/>
    </w:lvl>
  </w:abstractNum>
  <w:abstractNum w:abstractNumId="36">
    <w:nsid w:val="3C5E07C"/>
    <w:multiLevelType w:val="hybridMultilevel"/>
    <w:lvl w:ilvl="0">
      <w:lvlJc w:val="left"/>
      <w:lvlText w:val="•"/>
      <w:numFmt w:val="bullet"/>
      <w:start w:val="1"/>
    </w:lvl>
  </w:abstractNum>
  <w:abstractNum w:abstractNumId="37">
    <w:nsid w:val="60C2D273"/>
    <w:multiLevelType w:val="hybridMultilevel"/>
    <w:lvl w:ilvl="0">
      <w:lvlJc w:val="left"/>
      <w:lvlText w:val="•"/>
      <w:numFmt w:val="bullet"/>
      <w:start w:val="1"/>
    </w:lvl>
  </w:abstractNum>
  <w:abstractNum w:abstractNumId="38">
    <w:nsid w:val="4CC32F1F"/>
    <w:multiLevelType w:val="hybridMultilevel"/>
    <w:lvl w:ilvl="0">
      <w:lvlJc w:val="left"/>
      <w:lvlText w:val="•"/>
      <w:numFmt w:val="bullet"/>
      <w:start w:val="1"/>
    </w:lvl>
  </w:abstractNum>
  <w:abstractNum w:abstractNumId="39">
    <w:nsid w:val="11CAC74A"/>
    <w:multiLevelType w:val="hybridMultilevel"/>
    <w:lvl w:ilvl="0">
      <w:lvlJc w:val="left"/>
      <w:lvlText w:val="•"/>
      <w:numFmt w:val="bullet"/>
      <w:start w:val="1"/>
    </w:lvl>
  </w:abstractNum>
  <w:abstractNum w:abstractNumId="40">
    <w:nsid w:val="126CADE9"/>
    <w:multiLevelType w:val="hybridMultilevel"/>
    <w:lvl w:ilvl="0">
      <w:lvlJc w:val="left"/>
      <w:lvlText w:val="%1"/>
      <w:numFmt w:val="upperLetter"/>
      <w:start w:val="34"/>
    </w:lvl>
  </w:abstractNum>
  <w:abstractNum w:abstractNumId="41">
    <w:nsid w:val="19132E7B"/>
    <w:multiLevelType w:val="hybridMultilevel"/>
    <w:lvl w:ilvl="0">
      <w:lvlJc w:val="left"/>
      <w:lvlText w:val="•"/>
      <w:numFmt w:val="bullet"/>
      <w:start w:val="1"/>
    </w:lvl>
  </w:abstractNum>
  <w:abstractNum w:abstractNumId="42">
    <w:nsid w:val="63822DC0"/>
    <w:multiLevelType w:val="hybridMultilevel"/>
    <w:lvl w:ilvl="0">
      <w:lvlJc w:val="left"/>
      <w:lvlText w:val="•"/>
      <w:numFmt w:val="bullet"/>
      <w:start w:val="1"/>
    </w:lvl>
  </w:abstractNum>
  <w:abstractNum w:abstractNumId="43">
    <w:nsid w:val="6C11685A"/>
    <w:multiLevelType w:val="hybridMultilevel"/>
    <w:lvl w:ilvl="0">
      <w:lvlJc w:val="left"/>
      <w:lvlText w:val="•"/>
      <w:numFmt w:val="bullet"/>
      <w:start w:val="1"/>
    </w:lvl>
  </w:abstractNum>
  <w:abstractNum w:abstractNumId="44">
    <w:nsid w:val="5E1EAE31"/>
    <w:multiLevelType w:val="hybridMultilevel"/>
    <w:lvl w:ilvl="0">
      <w:lvlJc w:val="left"/>
      <w:lvlText w:val="•"/>
      <w:numFmt w:val="bullet"/>
      <w:start w:val="1"/>
    </w:lvl>
  </w:abstractNum>
  <w:abstractNum w:abstractNumId="45">
    <w:nsid w:val="178E240D"/>
    <w:multiLevelType w:val="hybridMultilevel"/>
    <w:lvl w:ilvl="0">
      <w:lvlJc w:val="left"/>
      <w:lvlText w:val="$"/>
      <w:numFmt w:val="bullet"/>
      <w:start w:val="1"/>
    </w:lvl>
  </w:abstractNum>
  <w:abstractNum w:abstractNumId="46">
    <w:nsid w:val="5556A87B"/>
    <w:multiLevelType w:val="hybridMultilevel"/>
    <w:lvl w:ilvl="0">
      <w:lvlJc w:val="left"/>
      <w:lvlText w:val="•"/>
      <w:numFmt w:val="bullet"/>
      <w:start w:val="1"/>
    </w:lvl>
  </w:abstractNum>
  <w:abstractNum w:abstractNumId="47">
    <w:nsid w:val="28100A9C"/>
    <w:multiLevelType w:val="hybridMultilevel"/>
    <w:lvl w:ilvl="0">
      <w:lvlJc w:val="left"/>
      <w:lvlText w:val="•"/>
      <w:numFmt w:val="bullet"/>
      <w:start w:val="1"/>
    </w:lvl>
  </w:abstractNum>
  <w:abstractNum w:abstractNumId="48">
    <w:nsid w:val="D838636"/>
    <w:multiLevelType w:val="hybridMultilevel"/>
    <w:lvl w:ilvl="0">
      <w:lvlJc w:val="left"/>
      <w:lvlText w:val="(%1)"/>
      <w:numFmt w:val="decimal"/>
      <w:start w:val="1"/>
    </w:lvl>
    <w:lvl w:ilvl="1">
      <w:lvlJc w:val="left"/>
      <w:lvlText w:val=","/>
      <w:numFmt w:val="bullet"/>
      <w:start w:val="1"/>
    </w:lvl>
  </w:abstractNum>
  <w:abstractNum w:abstractNumId="49">
    <w:nsid w:val="71B82AED"/>
    <w:multiLevelType w:val="hybridMultilevel"/>
    <w:lvl w:ilvl="0">
      <w:lvlJc w:val="left"/>
      <w:lvlText w:val="•"/>
      <w:numFmt w:val="bullet"/>
      <w:start w:val="1"/>
    </w:lvl>
  </w:abstractNum>
  <w:abstractNum w:abstractNumId="50">
    <w:nsid w:val="D15FACA"/>
    <w:multiLevelType w:val="hybridMultilevel"/>
    <w:lvl w:ilvl="0">
      <w:lvlJc w:val="left"/>
      <w:lvlText w:val="•"/>
      <w:numFmt w:val="bullet"/>
      <w:start w:val="1"/>
    </w:lvl>
  </w:abstractNum>
  <w:abstractNum w:abstractNumId="51">
    <w:nsid w:val="3D69565B"/>
    <w:multiLevelType w:val="hybridMultilevel"/>
    <w:lvl w:ilvl="0">
      <w:lvlJc w:val="left"/>
      <w:lvlText w:val="•"/>
      <w:numFmt w:val="bullet"/>
      <w:start w:val="1"/>
    </w:lvl>
  </w:abstractNum>
  <w:abstractNum w:abstractNumId="52">
    <w:nsid w:val="2299DCBC"/>
    <w:multiLevelType w:val="hybridMultilevel"/>
    <w:lvl w:ilvl="0">
      <w:lvlJc w:val="left"/>
      <w:lvlText w:val="•"/>
      <w:numFmt w:val="bullet"/>
      <w:start w:val="1"/>
    </w:lvl>
  </w:abstractNum>
  <w:abstractNum w:abstractNumId="53">
    <w:nsid w:val="19908D02"/>
    <w:multiLevelType w:val="hybridMultilevel"/>
    <w:lvl w:ilvl="0">
      <w:lvlJc w:val="left"/>
      <w:lvlText w:val="(%1)"/>
      <w:numFmt w:val="decimal"/>
      <w:start w:val="1"/>
    </w:lvl>
  </w:abstractNum>
  <w:abstractNum w:abstractNumId="54">
    <w:nsid w:val="24D48BDB"/>
    <w:multiLevelType w:val="hybridMultilevel"/>
    <w:lvl w:ilvl="0">
      <w:lvlJc w:val="left"/>
      <w:lvlText w:val="(%1)"/>
      <w:numFmt w:val="decimal"/>
      <w:start w:val="1"/>
    </w:lvl>
  </w:abstractNum>
  <w:abstractNum w:abstractNumId="55">
    <w:nsid w:val="542DA5B5"/>
    <w:multiLevelType w:val="hybridMultilevel"/>
    <w:lvl w:ilvl="0">
      <w:lvlJc w:val="left"/>
      <w:lvlText w:val="•"/>
      <w:numFmt w:val="bullet"/>
      <w:start w:val="1"/>
    </w:lvl>
  </w:abstractNum>
  <w:abstractNum w:abstractNumId="56">
    <w:nsid w:val="793753DE"/>
    <w:multiLevelType w:val="hybridMultilevel"/>
    <w:lvl w:ilvl="0">
      <w:lvlJc w:val="left"/>
      <w:lvlText w:val="•"/>
      <w:numFmt w:val="bullet"/>
      <w:start w:val="1"/>
    </w:lvl>
  </w:abstractNum>
  <w:abstractNum w:abstractNumId="57">
    <w:nsid w:val="1C67CB3D"/>
    <w:multiLevelType w:val="hybridMultilevel"/>
    <w:lvl w:ilvl="0">
      <w:lvlJc w:val="left"/>
      <w:lvlText w:val="•"/>
      <w:numFmt w:val="bullet"/>
      <w:start w:val="1"/>
    </w:lvl>
  </w:abstractNum>
  <w:abstractNum w:abstractNumId="58">
    <w:nsid w:val="40E29452"/>
    <w:multiLevelType w:val="hybridMultilevel"/>
    <w:lvl w:ilvl="0">
      <w:lvlJc w:val="left"/>
      <w:lvlText w:val="•"/>
      <w:numFmt w:val="bullet"/>
      <w:start w:val="1"/>
    </w:lvl>
  </w:abstractNum>
  <w:abstractNum w:abstractNumId="59">
    <w:nsid w:val="63A4AAB6"/>
    <w:multiLevelType w:val="hybridMultilevel"/>
    <w:lvl w:ilvl="0">
      <w:lvlJc w:val="left"/>
      <w:lvlText w:val="•"/>
      <w:numFmt w:val="bullet"/>
      <w:start w:val="1"/>
    </w:lvl>
  </w:abstractNum>
  <w:abstractNum w:abstractNumId="60">
    <w:nsid w:val="77DA4A57"/>
    <w:multiLevelType w:val="hybridMultilevel"/>
    <w:lvl w:ilvl="0">
      <w:lvlJc w:val="left"/>
      <w:lvlText w:val="(%1)"/>
      <w:numFmt w:val="decimal"/>
      <w:start w:val="1"/>
    </w:lvl>
  </w:abstractNum>
  <w:abstractNum w:abstractNumId="61">
    <w:nsid w:val="1230F102"/>
    <w:multiLevelType w:val="hybridMultilevel"/>
    <w:lvl w:ilvl="0">
      <w:lvlJc w:val="left"/>
      <w:lvlText w:val="•"/>
      <w:numFmt w:val="bullet"/>
      <w:start w:val="1"/>
    </w:lvl>
  </w:abstractNum>
  <w:abstractNum w:abstractNumId="62">
    <w:nsid w:val="25B57ED4"/>
    <w:multiLevelType w:val="hybridMultilevel"/>
    <w:lvl w:ilvl="0">
      <w:lvlJc w:val="left"/>
      <w:lvlText w:val="•"/>
      <w:numFmt w:val="bullet"/>
      <w:start w:val="1"/>
    </w:lvl>
  </w:abstractNum>
  <w:abstractNum w:abstractNumId="63">
    <w:nsid w:val="47CF16C4"/>
    <w:multiLevelType w:val="hybridMultilevel"/>
    <w:lvl w:ilvl="0">
      <w:lvlJc w:val="left"/>
      <w:lvlText w:val="(%1)"/>
      <w:numFmt w:val="lowerRoman"/>
      <w:start w:val="4"/>
    </w:lvl>
  </w:abstractNum>
  <w:abstractNum w:abstractNumId="64">
    <w:nsid w:val="527FA04C"/>
    <w:multiLevelType w:val="hybridMultilevel"/>
    <w:lvl w:ilvl="0">
      <w:lvlJc w:val="left"/>
      <w:lvlText w:val="•"/>
      <w:numFmt w:val="bullet"/>
      <w:start w:val="1"/>
    </w:lvl>
  </w:abstractNum>
  <w:abstractNum w:abstractNumId="65">
    <w:nsid w:val="6FCC0624"/>
    <w:multiLevelType w:val="hybridMultilevel"/>
    <w:lvl w:ilvl="0">
      <w:lvlJc w:val="left"/>
      <w:lvlText w:val="•"/>
      <w:numFmt w:val="bullet"/>
      <w:start w:val="1"/>
    </w:lvl>
  </w:abstractNum>
  <w:abstractNum w:abstractNumId="66">
    <w:nsid w:val="1DCDF795"/>
    <w:multiLevelType w:val="hybridMultilevel"/>
    <w:lvl w:ilvl="0">
      <w:lvlJc w:val="left"/>
      <w:lvlText w:val="%1"/>
      <w:numFmt w:val="upperLetter"/>
      <w:start w:val="27"/>
    </w:lvl>
  </w:abstractNum>
  <w:abstractNum w:abstractNumId="67">
    <w:nsid w:val="564580C8"/>
    <w:multiLevelType w:val="hybridMultilevel"/>
    <w:lvl w:ilvl="0">
      <w:lvlJc w:val="left"/>
      <w:lvlText w:val="•"/>
      <w:numFmt w:val="bullet"/>
      <w:start w:val="1"/>
    </w:lvl>
  </w:abstractNum>
  <w:abstractNum w:abstractNumId="68">
    <w:nsid w:val="508ED897"/>
    <w:multiLevelType w:val="hybridMultilevel"/>
    <w:lvl w:ilvl="0">
      <w:lvlJc w:val="left"/>
      <w:lvlText w:val="•"/>
      <w:numFmt w:val="bullet"/>
      <w:start w:val="1"/>
    </w:lvl>
  </w:abstractNum>
  <w:abstractNum w:abstractNumId="69">
    <w:nsid w:val="6A9126B5"/>
    <w:multiLevelType w:val="hybridMultilevel"/>
    <w:lvl w:ilvl="0">
      <w:lvlJc w:val="left"/>
      <w:lvlText w:val="•"/>
      <w:numFmt w:val="bullet"/>
      <w:start w:val="1"/>
    </w:lvl>
  </w:abstractNum>
  <w:abstractNum w:abstractNumId="70">
    <w:nsid w:val="68104812"/>
    <w:multiLevelType w:val="hybridMultilevel"/>
    <w:lvl w:ilvl="0">
      <w:lvlJc w:val="left"/>
      <w:lvlText w:val="•"/>
      <w:numFmt w:val="bullet"/>
      <w:start w:val="1"/>
    </w:lvl>
  </w:abstractNum>
  <w:abstractNum w:abstractNumId="71">
    <w:nsid w:val="62FB8680"/>
    <w:multiLevelType w:val="hybridMultilevel"/>
    <w:lvl w:ilvl="0">
      <w:lvlJc w:val="left"/>
      <w:lvlText w:val="•"/>
      <w:numFmt w:val="bullet"/>
      <w:start w:val="1"/>
    </w:lvl>
  </w:abstractNum>
  <w:abstractNum w:abstractNumId="72">
    <w:nsid w:val="3A45530"/>
    <w:multiLevelType w:val="hybridMultilevel"/>
    <w:lvl w:ilvl="0">
      <w:lvlJc w:val="left"/>
      <w:lvlText w:val="•"/>
      <w:numFmt w:val="bullet"/>
      <w:start w:val="1"/>
    </w:lvl>
  </w:abstractNum>
  <w:abstractNum w:abstractNumId="73">
    <w:nsid w:val="4B9275D2"/>
    <w:multiLevelType w:val="hybridMultilevel"/>
    <w:lvl w:ilvl="0">
      <w:lvlJc w:val="left"/>
      <w:lvlText w:val="•"/>
      <w:numFmt w:val="bullet"/>
      <w:start w:val="1"/>
    </w:lvl>
  </w:abstractNum>
  <w:abstractNum w:abstractNumId="74">
    <w:nsid w:val="4F0CEEDB"/>
    <w:multiLevelType w:val="hybridMultilevel"/>
    <w:lvl w:ilvl="0">
      <w:lvlJc w:val="left"/>
      <w:lvlText w:val="(%1)"/>
      <w:numFmt w:val="decimal"/>
      <w:start w:val="1"/>
    </w:lvl>
  </w:abstractNum>
  <w:abstractNum w:abstractNumId="75">
    <w:nsid w:val="61C30361"/>
    <w:multiLevelType w:val="hybridMultilevel"/>
    <w:lvl w:ilvl="0">
      <w:lvlJc w:val="left"/>
      <w:lvlText w:val="(%1)"/>
      <w:numFmt w:val="decimal"/>
      <w:start w:val="9"/>
    </w:lvl>
  </w:abstractNum>
  <w:abstractNum w:abstractNumId="76">
    <w:nsid w:val="632099E0"/>
    <w:multiLevelType w:val="hybridMultilevel"/>
    <w:lvl w:ilvl="0">
      <w:lvlJc w:val="left"/>
      <w:lvlText w:val="•"/>
      <w:numFmt w:val="bullet"/>
      <w:start w:val="1"/>
    </w:lvl>
  </w:abstractNum>
  <w:abstractNum w:abstractNumId="77">
    <w:nsid w:val="24639756"/>
    <w:multiLevelType w:val="hybridMultilevel"/>
    <w:lvl w:ilvl="0">
      <w:lvlJc w:val="left"/>
      <w:lvlText w:val="(%1)"/>
      <w:numFmt w:val="decimal"/>
      <w:start w:val="1"/>
    </w:lvl>
  </w:abstractNum>
  <w:abstractNum w:abstractNumId="78">
    <w:nsid w:val="9D30DFD"/>
    <w:multiLevelType w:val="hybridMultilevel"/>
    <w:lvl w:ilvl="0">
      <w:lvlJc w:val="left"/>
      <w:lvlText w:val="•"/>
      <w:numFmt w:val="bullet"/>
      <w:start w:val="1"/>
    </w:lvl>
  </w:abstractNum>
  <w:abstractNum w:abstractNumId="79">
    <w:nsid w:val="70A42016"/>
    <w:multiLevelType w:val="hybridMultilevel"/>
    <w:lvl w:ilvl="0">
      <w:lvlJc w:val="left"/>
      <w:lvlText w:val="•"/>
      <w:numFmt w:val="bullet"/>
      <w:start w:val="1"/>
    </w:lvl>
  </w:abstractNum>
  <w:abstractNum w:abstractNumId="80">
    <w:nsid w:val="161BC243"/>
    <w:multiLevelType w:val="hybridMultilevel"/>
    <w:lvl w:ilvl="0">
      <w:lvlJc w:val="left"/>
      <w:lvlText w:val="•"/>
      <w:numFmt w:val="bullet"/>
      <w:start w:val="1"/>
    </w:lvl>
  </w:abstractNum>
  <w:abstractNum w:abstractNumId="81">
    <w:nsid w:val="16E908C8"/>
    <w:multiLevelType w:val="hybridMultilevel"/>
    <w:lvl w:ilvl="0">
      <w:lvlJc w:val="left"/>
      <w:lvlText w:val="(%1)"/>
      <w:numFmt w:val="decimal"/>
      <w:start w:val="1"/>
    </w:lvl>
  </w:abstractNum>
  <w:abstractNum w:abstractNumId="82">
    <w:nsid w:val="2E0D7671"/>
    <w:multiLevelType w:val="hybridMultilevel"/>
    <w:lvl w:ilvl="0">
      <w:lvlJc w:val="left"/>
      <w:lvlText w:val="(%1)"/>
      <w:numFmt w:val="decimal"/>
      <w:start w:val="2"/>
    </w:lvl>
  </w:abstractNum>
  <w:abstractNum w:abstractNumId="83">
    <w:nsid w:val="38B59EFF"/>
    <w:multiLevelType w:val="hybridMultilevel"/>
    <w:lvl w:ilvl="0">
      <w:lvlJc w:val="left"/>
      <w:lvlText w:val="(%1)"/>
      <w:numFmt w:val="decimal"/>
      <w:start w:val="2"/>
    </w:lvl>
  </w:abstractNum>
  <w:abstractNum w:abstractNumId="84">
    <w:nsid w:val="307995CA"/>
    <w:multiLevelType w:val="hybridMultilevel"/>
    <w:lvl w:ilvl="0">
      <w:lvlJc w:val="left"/>
      <w:lvlText w:val="(%1)"/>
      <w:numFmt w:val="decimal"/>
      <w:start w:val="2"/>
    </w:lvl>
  </w:abstractNum>
  <w:abstractNum w:abstractNumId="85">
    <w:nsid w:val="52E2024D"/>
    <w:multiLevelType w:val="hybridMultilevel"/>
    <w:lvl w:ilvl="0">
      <w:lvlJc w:val="left"/>
      <w:lvlText w:val="(%1)"/>
      <w:numFmt w:val="decimal"/>
      <w:start w:val="4"/>
    </w:lvl>
  </w:abstractNum>
  <w:abstractNum w:abstractNumId="86">
    <w:nsid w:val="CE344B5"/>
    <w:multiLevelType w:val="hybridMultilevel"/>
    <w:lvl w:ilvl="0">
      <w:lvlJc w:val="left"/>
      <w:lvlText w:val="(%1)"/>
      <w:numFmt w:val="lowerLetter"/>
      <w:start w:val="25"/>
    </w:lvl>
  </w:abstractNum>
  <w:abstractNum w:abstractNumId="87">
    <w:nsid w:val="29B0E9A8"/>
    <w:multiLevelType w:val="hybridMultilevel"/>
    <w:lvl w:ilvl="0">
      <w:lvlJc w:val="left"/>
      <w:lvlText w:val="(%1)"/>
      <w:numFmt w:val="decimal"/>
      <w:start w:val="1"/>
    </w:lvl>
  </w:abstractNum>
  <w:abstractNum w:abstractNumId="88">
    <w:nsid w:val="6F49CD8A"/>
    <w:multiLevelType w:val="hybridMultilevel"/>
    <w:lvl w:ilvl="0">
      <w:lvlJc w:val="left"/>
      <w:lvlText w:val="•"/>
      <w:numFmt w:val="bullet"/>
      <w:start w:val="1"/>
    </w:lvl>
  </w:abstractNum>
  <w:abstractNum w:abstractNumId="89">
    <w:nsid w:val="4DC5D907"/>
    <w:multiLevelType w:val="hybridMultilevel"/>
    <w:lvl w:ilvl="0">
      <w:lvlJc w:val="left"/>
      <w:lvlText w:val="(%1)"/>
      <w:numFmt w:val="decimal"/>
      <w:start w:val="1"/>
    </w:lvl>
  </w:abstractNum>
  <w:abstractNum w:abstractNumId="90">
    <w:nsid w:val="D55945E"/>
    <w:multiLevelType w:val="hybridMultilevel"/>
    <w:lvl w:ilvl="0">
      <w:lvlJc w:val="left"/>
      <w:lvlText w:val="(%1)"/>
      <w:numFmt w:val="lowerLetter"/>
      <w:start w:val="1"/>
    </w:lvl>
  </w:abstractNum>
  <w:abstractNum w:abstractNumId="91">
    <w:nsid w:val="672417E1"/>
    <w:multiLevelType w:val="hybridMultilevel"/>
    <w:lvl w:ilvl="0">
      <w:lvlJc w:val="left"/>
      <w:lvlText w:val="•"/>
      <w:numFmt w:val="bullet"/>
      <w:start w:val="1"/>
    </w:lvl>
  </w:abstractNum>
  <w:abstractNum w:abstractNumId="92">
    <w:nsid w:val="5FF6CA09"/>
    <w:multiLevelType w:val="hybridMultilevel"/>
    <w:lvl w:ilvl="0">
      <w:lvlJc w:val="left"/>
      <w:lvlText w:val="*"/>
      <w:numFmt w:val="bullet"/>
      <w:start w:val="1"/>
    </w:lvl>
  </w:abstractNum>
  <w:abstractNum w:abstractNumId="93">
    <w:nsid w:val="330B1333"/>
    <w:multiLevelType w:val="hybridMultilevel"/>
    <w:lvl w:ilvl="0">
      <w:lvlJc w:val="left"/>
      <w:lvlText w:val="(%1)"/>
      <w:numFmt w:val="decimal"/>
      <w:start w:val="1"/>
    </w:lvl>
  </w:abstractNum>
  <w:abstractNum w:abstractNumId="94">
    <w:nsid w:val="2EF32EA6"/>
    <w:multiLevelType w:val="hybridMultilevel"/>
    <w:lvl w:ilvl="0">
      <w:lvlJc w:val="left"/>
      <w:lvlText w:val="(%1)"/>
      <w:numFmt w:val="decimal"/>
      <w:start w:val="4"/>
    </w:lvl>
  </w:abstractNum>
  <w:abstractNum w:abstractNumId="95">
    <w:nsid w:val="32766A55"/>
    <w:multiLevelType w:val="hybridMultilevel"/>
    <w:lvl w:ilvl="0">
      <w:lvlJc w:val="left"/>
      <w:lvlText w:val="(%1)"/>
      <w:numFmt w:val="decimal"/>
      <w:start w:val="2"/>
    </w:lvl>
  </w:abstractNum>
  <w:abstractNum w:abstractNumId="96">
    <w:nsid w:val="22D71957"/>
    <w:multiLevelType w:val="hybridMultilevel"/>
    <w:lvl w:ilvl="0">
      <w:lvlJc w:val="left"/>
      <w:lvlText w:val="•"/>
      <w:numFmt w:val="bullet"/>
      <w:start w:val="1"/>
    </w:lvl>
  </w:abstractNum>
  <w:abstractNum w:abstractNumId="97">
    <w:nsid w:val="4CC1263B"/>
    <w:multiLevelType w:val="hybridMultilevel"/>
    <w:lvl w:ilvl="0">
      <w:lvlJc w:val="left"/>
      <w:lvlText w:val="•"/>
      <w:numFmt w:val="bullet"/>
      <w:start w:val="1"/>
    </w:lvl>
  </w:abstractNum>
  <w:abstractNum w:abstractNumId="98">
    <w:nsid w:val="8BBEB1D"/>
    <w:multiLevelType w:val="hybridMultilevel"/>
    <w:lvl w:ilvl="0">
      <w:lvlJc w:val="left"/>
      <w:lvlText w:val="•"/>
      <w:numFmt w:val="bullet"/>
      <w:start w:val="1"/>
    </w:lvl>
  </w:abstractNum>
  <w:abstractNum w:abstractNumId="99">
    <w:nsid w:val="7365F1EE"/>
    <w:multiLevelType w:val="hybridMultilevel"/>
    <w:lvl w:ilvl="0">
      <w:lvlJc w:val="left"/>
      <w:lvlText w:val="•"/>
      <w:numFmt w:val="bullet"/>
      <w:start w:val="1"/>
    </w:lvl>
  </w:abstractNum>
  <w:abstractNum w:abstractNumId="100">
    <w:nsid w:val="37524CF0"/>
    <w:multiLevelType w:val="hybridMultilevel"/>
    <w:lvl w:ilvl="0">
      <w:lvlJc w:val="left"/>
      <w:lvlText w:val="(%1)"/>
      <w:numFmt w:val="decimal"/>
      <w:start w:val="1"/>
    </w:lvl>
  </w:abstractNum>
  <w:abstractNum w:abstractNumId="101">
    <w:nsid w:val="70CC332F"/>
    <w:multiLevelType w:val="hybridMultilevel"/>
    <w:lvl w:ilvl="0">
      <w:lvlJc w:val="left"/>
      <w:lvlText w:val="•"/>
      <w:numFmt w:val="bullet"/>
      <w:start w:val="1"/>
    </w:lvl>
  </w:abstractNum>
  <w:abstractNum w:abstractNumId="102">
    <w:nsid w:val="5661786E"/>
    <w:multiLevelType w:val="hybridMultilevel"/>
    <w:lvl w:ilvl="0">
      <w:lvlJc w:val="left"/>
      <w:lvlText w:val="•"/>
      <w:numFmt w:val="bullet"/>
      <w:start w:val="1"/>
    </w:lvl>
  </w:abstractNum>
  <w:abstractNum w:abstractNumId="103">
    <w:nsid w:val="3AF6A220"/>
    <w:multiLevelType w:val="hybridMultilevel"/>
    <w:lvl w:ilvl="0">
      <w:lvlJc w:val="left"/>
      <w:lvlText w:val="•"/>
      <w:numFmt w:val="bullet"/>
      <w:start w:val="1"/>
    </w:lvl>
  </w:abstractNum>
  <w:abstractNum w:abstractNumId="104">
    <w:nsid w:val="3C5EA902"/>
    <w:multiLevelType w:val="hybridMultilevel"/>
    <w:lvl w:ilvl="0">
      <w:lvlJc w:val="left"/>
      <w:lvlText w:val="•"/>
      <w:numFmt w:val="bullet"/>
      <w:start w:val="1"/>
    </w:lvl>
  </w:abstractNum>
  <w:abstractNum w:abstractNumId="105">
    <w:nsid w:val="256E6749"/>
    <w:multiLevelType w:val="hybridMultilevel"/>
    <w:lvl w:ilvl="0">
      <w:lvlJc w:val="left"/>
      <w:lvlText w:val="•"/>
      <w:numFmt w:val="bullet"/>
      <w:start w:val="1"/>
    </w:lvl>
  </w:abstractNum>
  <w:abstractNum w:abstractNumId="106">
    <w:nsid w:val="1CB9A581"/>
    <w:multiLevelType w:val="hybridMultilevel"/>
    <w:lvl w:ilvl="0">
      <w:lvlJc w:val="left"/>
      <w:lvlText w:val="•"/>
      <w:numFmt w:val="bullet"/>
      <w:start w:val="1"/>
    </w:lvl>
  </w:abstractNum>
  <w:abstractNum w:abstractNumId="107">
    <w:nsid w:val="1F7F42E2"/>
    <w:multiLevelType w:val="hybridMultilevel"/>
    <w:lvl w:ilvl="0">
      <w:lvlJc w:val="left"/>
      <w:lvlText w:val="(%1)"/>
      <w:numFmt w:val="lowerRoman"/>
      <w:start w:val="2"/>
    </w:lvl>
  </w:abstractNum>
  <w:abstractNum w:abstractNumId="108">
    <w:nsid w:val="49D1FEA0"/>
    <w:multiLevelType w:val="hybridMultilevel"/>
    <w:lvl w:ilvl="0">
      <w:lvlJc w:val="left"/>
      <w:lvlText w:val="*"/>
      <w:numFmt w:val="bullet"/>
      <w:start w:val="1"/>
    </w:lvl>
  </w:abstractNum>
  <w:abstractNum w:abstractNumId="109">
    <w:nsid w:val="268CB37F"/>
    <w:multiLevelType w:val="hybridMultilevel"/>
    <w:lvl w:ilvl="0">
      <w:lvlJc w:val="left"/>
      <w:lvlText w:val="(%1)"/>
      <w:numFmt w:val="lowerLetter"/>
      <w:start w:val="1"/>
    </w:lvl>
    <w:lvl w:ilvl="1">
      <w:lvlJc w:val="left"/>
      <w:lvlText w:val="%2."/>
      <w:numFmt w:val="decimal"/>
      <w:start w:val="1"/>
    </w:lvl>
  </w:abstractNum>
  <w:abstractNum w:abstractNumId="110">
    <w:nsid w:val="102362F8"/>
    <w:multiLevelType w:val="hybridMultilevel"/>
    <w:lvl w:ilvl="0">
      <w:lvlJc w:val="left"/>
      <w:lvlText w:val="%1."/>
      <w:numFmt w:val="decimal"/>
      <w:start w:val="3"/>
    </w:lvl>
  </w:abstractNum>
  <w:abstractNum w:abstractNumId="111">
    <w:nsid w:val="5FEDC0E3"/>
    <w:multiLevelType w:val="hybridMultilevel"/>
    <w:lvl w:ilvl="0">
      <w:lvlJc w:val="left"/>
      <w:lvlText w:val="(%1)"/>
      <w:numFmt w:val="lowerLetter"/>
      <w:start w:val="2"/>
    </w:lvl>
    <w:lvl w:ilvl="1">
      <w:lvlJc w:val="left"/>
      <w:lvlText w:val="%2."/>
      <w:numFmt w:val="decimal"/>
      <w:start w:val="1"/>
    </w:lvl>
  </w:abstractNum>
  <w:abstractNum w:abstractNumId="112">
    <w:nsid w:val="3D75BC47"/>
    <w:multiLevelType w:val="hybridMultilevel"/>
    <w:lvl w:ilvl="0">
      <w:lvlJc w:val="left"/>
      <w:lvlText w:val="(%1)"/>
      <w:numFmt w:val="lowerLetter"/>
      <w:start w:val="1"/>
    </w:lvl>
  </w:abstractNum>
  <w:abstractNum w:abstractNumId="113">
    <w:nsid w:val="3E30D969"/>
    <w:multiLevelType w:val="hybridMultilevel"/>
    <w:lvl w:ilvl="0">
      <w:lvlJc w:val="left"/>
      <w:lvlText w:val="(%1)"/>
      <w:numFmt w:val="decimal"/>
      <w:start w:val="1"/>
    </w:lvl>
  </w:abstractNum>
  <w:abstractNum w:abstractNumId="114">
    <w:nsid w:val="18A35FE3"/>
    <w:multiLevelType w:val="hybridMultilevel"/>
    <w:lvl w:ilvl="0">
      <w:lvlJc w:val="left"/>
      <w:lvlText w:val="*"/>
      <w:numFmt w:val="bullet"/>
      <w:start w:val="1"/>
    </w:lvl>
  </w:abstractNum>
  <w:abstractNum w:abstractNumId="115">
    <w:nsid w:val="6DEF5211"/>
    <w:multiLevelType w:val="hybridMultilevel"/>
    <w:lvl w:ilvl="0">
      <w:lvlJc w:val="left"/>
      <w:lvlText w:val="#"/>
      <w:numFmt w:val="bullet"/>
      <w:start w:val="1"/>
    </w:lvl>
  </w:abstractNum>
  <w:abstractNum w:abstractNumId="116">
    <w:nsid w:val="1112DBB6"/>
    <w:multiLevelType w:val="hybridMultilevel"/>
    <w:lvl w:ilvl="0">
      <w:lvlJc w:val="left"/>
      <w:lvlText w:val="†"/>
      <w:numFmt w:val="bullet"/>
      <w:start w:val="1"/>
    </w:lvl>
  </w:abstractNum>
  <w:abstractNum w:abstractNumId="117">
    <w:nsid w:val="2586A498"/>
    <w:multiLevelType w:val="hybridMultilevel"/>
    <w:lvl w:ilvl="0">
      <w:lvlJc w:val="left"/>
      <w:lvlText w:val="%1."/>
      <w:numFmt w:val="decimal"/>
      <w:start w:val="1"/>
    </w:lvl>
  </w:abstractNum>
  <w:abstractNum w:abstractNumId="118">
    <w:nsid w:val="17A03BB9"/>
    <w:multiLevelType w:val="hybridMultilevel"/>
    <w:lvl w:ilvl="0">
      <w:lvlJc w:val="left"/>
      <w:lvlText w:val="%1."/>
      <w:numFmt w:val="upperLetter"/>
      <w:start w:val="1"/>
    </w:lvl>
    <w:lvl w:ilvl="1">
      <w:lvlJc w:val="left"/>
      <w:lvlText w:val="%2."/>
      <w:numFmt w:val="decimal"/>
      <w:start w:val="1"/>
    </w:lvl>
  </w:abstractNum>
  <w:abstractNum w:abstractNumId="119">
    <w:nsid w:val="5CA941"/>
    <w:multiLevelType w:val="hybridMultilevel"/>
    <w:lvl w:ilvl="0">
      <w:lvlJc w:val="left"/>
      <w:lvlText w:val="%1"/>
      <w:numFmt w:val="upperLetter"/>
      <w:start w:val="1"/>
    </w:lvl>
    <w:lvl w:ilvl="1">
      <w:lvlJc w:val="left"/>
      <w:lvlText w:val="%2."/>
      <w:numFmt w:val="decimal"/>
      <w:start w:val="2"/>
    </w:lvl>
  </w:abstractNum>
  <w:abstractNum w:abstractNumId="120">
    <w:nsid w:val="734C7D9F"/>
    <w:multiLevelType w:val="hybridMultilevel"/>
    <w:lvl w:ilvl="0">
      <w:lvlJc w:val="left"/>
      <w:lvlText w:val="%1."/>
      <w:numFmt w:val="upperLetter"/>
      <w:start w:val="2"/>
    </w:lvl>
    <w:lvl w:ilvl="1">
      <w:lvlJc w:val="left"/>
      <w:lvlText w:val="%2"/>
      <w:numFmt w:val="decimal"/>
      <w:start w:val="1"/>
    </w:lvl>
  </w:abstractNum>
  <w:abstractNum w:abstractNumId="121">
    <w:nsid w:val="24F5D018"/>
    <w:multiLevelType w:val="hybridMultilevel"/>
    <w:lvl w:ilvl="0">
      <w:lvlJc w:val="left"/>
      <w:lvlText w:val="%1."/>
      <w:numFmt w:val="decimal"/>
      <w:start w:val="1"/>
    </w:lvl>
  </w:abstractNum>
  <w:abstractNum w:abstractNumId="122">
    <w:nsid w:val="6780C122"/>
    <w:multiLevelType w:val="hybridMultilevel"/>
    <w:lvl w:ilvl="0">
      <w:lvlJc w:val="left"/>
      <w:lvlText w:val="%1."/>
      <w:numFmt w:val="decimal"/>
      <w:start w:val="2"/>
    </w:lvl>
  </w:abstractNum>
  <w:abstractNum w:abstractNumId="123">
    <w:nsid w:val="534347A8"/>
    <w:multiLevelType w:val="hybridMultilevel"/>
    <w:lvl w:ilvl="0">
      <w:lvlJc w:val="left"/>
      <w:lvlText w:val="(%1)"/>
      <w:numFmt w:val="lowerLetter"/>
      <w:start w:val="1"/>
    </w:lvl>
    <w:lvl w:ilvl="1">
      <w:lvlJc w:val="left"/>
      <w:lvlText w:val="(%2)"/>
      <w:numFmt w:val="lowerRoman"/>
      <w:start w:val="1"/>
    </w:lvl>
  </w:abstractNum>
  <w:abstractNum w:abstractNumId="124">
    <w:nsid w:val="5800E34B"/>
    <w:multiLevelType w:val="hybridMultilevel"/>
    <w:lvl w:ilvl="0">
      <w:lvlJc w:val="left"/>
      <w:lvlText w:val="(%1)"/>
      <w:numFmt w:val="lowerLetter"/>
      <w:start w:val="2"/>
    </w:lvl>
  </w:abstractNum>
  <w:abstractNum w:abstractNumId="125">
    <w:nsid w:val="1673EFC8"/>
    <w:multiLevelType w:val="hybridMultilevel"/>
    <w:lvl w:ilvl="0">
      <w:lvlJc w:val="left"/>
      <w:lvlText w:val="%1"/>
      <w:numFmt w:val="lowerLetter"/>
      <w:start w:val="1"/>
    </w:lvl>
    <w:lvl w:ilvl="1">
      <w:lvlJc w:val="left"/>
      <w:lvlText w:val="(%2)"/>
      <w:numFmt w:val="lowerLetter"/>
      <w:start w:val="1"/>
    </w:lvl>
  </w:abstractNum>
  <w:abstractNum w:abstractNumId="126">
    <w:nsid w:val="5B9B1FD"/>
    <w:multiLevelType w:val="hybridMultilevel"/>
    <w:lvl w:ilvl="0">
      <w:lvlJc w:val="left"/>
      <w:lvlText w:val="(%1)"/>
      <w:numFmt w:val="lowerLetter"/>
      <w:start w:val="9"/>
    </w:lvl>
    <w:lvl w:ilvl="1">
      <w:lvlJc w:val="left"/>
      <w:lvlText w:val="(%2)"/>
      <w:numFmt w:val="lowerLetter"/>
      <w:start w:val="2"/>
    </w:lvl>
  </w:abstractNum>
  <w:abstractNum w:abstractNumId="127">
    <w:nsid w:val="7AD7FCA2"/>
    <w:multiLevelType w:val="hybridMultilevel"/>
    <w:lvl w:ilvl="0">
      <w:lvlJc w:val="left"/>
      <w:lvlText w:val="(%1)"/>
      <w:numFmt w:val="lowerLetter"/>
      <w:start w:val="9"/>
    </w:lvl>
    <w:lvl w:ilvl="1">
      <w:lvlJc w:val="left"/>
      <w:lvlText w:val="%2"/>
      <w:numFmt w:val="lowerLetter"/>
      <w:start w:val="1"/>
    </w:lvl>
  </w:abstractNum>
  <w:abstractNum w:abstractNumId="128">
    <w:nsid w:val="63351604"/>
    <w:multiLevelType w:val="hybridMultilevel"/>
    <w:lvl w:ilvl="0">
      <w:lvlJc w:val="left"/>
      <w:lvlText w:val="%1."/>
      <w:numFmt w:val="decimal"/>
      <w:start w:val="3"/>
    </w:lvl>
  </w:abstractNum>
  <w:abstractNum w:abstractNumId="129">
    <w:nsid w:val="E759D1A"/>
    <w:multiLevelType w:val="hybridMultilevel"/>
    <w:lvl w:ilvl="0">
      <w:lvlJc w:val="left"/>
      <w:lvlText w:val="%1."/>
      <w:numFmt w:val="decimal"/>
      <w:start w:val="4"/>
    </w:lvl>
  </w:abstractNum>
  <w:abstractNum w:abstractNumId="130">
    <w:nsid w:val="6E3DEE90"/>
    <w:multiLevelType w:val="hybridMultilevel"/>
    <w:lvl w:ilvl="0">
      <w:lvlJc w:val="left"/>
      <w:lvlText w:val="(%1)"/>
      <w:numFmt w:val="lowerLetter"/>
      <w:start w:val="1"/>
    </w:lvl>
  </w:abstractNum>
  <w:abstractNum w:abstractNumId="131">
    <w:nsid w:val="1A8762F4"/>
    <w:multiLevelType w:val="hybridMultilevel"/>
    <w:lvl w:ilvl="0">
      <w:lvlJc w:val="left"/>
      <w:lvlText w:val="(%1)"/>
      <w:numFmt w:val="lowerLetter"/>
      <w:start w:val="2"/>
    </w:lvl>
  </w:abstractNum>
  <w:abstractNum w:abstractNumId="132">
    <w:nsid w:val="7F41D049"/>
    <w:multiLevelType w:val="hybridMultilevel"/>
    <w:lvl w:ilvl="0">
      <w:lvlJc w:val="left"/>
      <w:lvlText w:val="(%1)"/>
      <w:numFmt w:val="lowerLetter"/>
      <w:start w:val="3"/>
    </w:lvl>
    <w:lvl w:ilvl="1">
      <w:lvlJc w:val="left"/>
      <w:lvlText w:val="(%2)"/>
      <w:numFmt w:val="lowerRoman"/>
      <w:start w:val="1"/>
    </w:lvl>
  </w:abstractNum>
  <w:abstractNum w:abstractNumId="133">
    <w:nsid w:val="449F66FE"/>
    <w:multiLevelType w:val="hybridMultilevel"/>
    <w:lvl w:ilvl="0">
      <w:lvlJc w:val="left"/>
      <w:lvlText w:val="(%1)"/>
      <w:numFmt w:val="lowerRoman"/>
      <w:start w:val="6"/>
    </w:lvl>
  </w:abstractNum>
  <w:abstractNum w:abstractNumId="134">
    <w:nsid w:val="557E0515"/>
    <w:multiLevelType w:val="hybridMultilevel"/>
    <w:lvl w:ilvl="0">
      <w:lvlJc w:val="left"/>
      <w:lvlText w:val="(%1)"/>
      <w:numFmt w:val="lowerLetter"/>
      <w:start w:val="1"/>
    </w:lvl>
  </w:abstractNum>
  <w:abstractNum w:abstractNumId="135">
    <w:nsid w:val="3BA0794B"/>
    <w:multiLevelType w:val="hybridMultilevel"/>
    <w:lvl w:ilvl="0">
      <w:lvlJc w:val="left"/>
      <w:lvlText w:val="(%1)"/>
      <w:numFmt w:val="lowerLetter"/>
      <w:start w:val="4"/>
    </w:lvl>
  </w:abstractNum>
  <w:abstractNum w:abstractNumId="136">
    <w:nsid w:val="6A0DCE48"/>
    <w:multiLevelType w:val="hybridMultilevel"/>
    <w:lvl w:ilvl="0">
      <w:lvlJc w:val="left"/>
      <w:lvlText w:val="(%1)"/>
      <w:numFmt w:val="lowerRoman"/>
      <w:start w:val="1"/>
    </w:lvl>
  </w:abstractNum>
  <w:abstractNum w:abstractNumId="137">
    <w:nsid w:val="7237AA96"/>
    <w:multiLevelType w:val="hybridMultilevel"/>
    <w:lvl w:ilvl="0">
      <w:lvlJc w:val="left"/>
      <w:lvlText w:val="(%1)"/>
      <w:numFmt w:val="lowerRoman"/>
      <w:start w:val="3"/>
    </w:lvl>
  </w:abstractNum>
  <w:abstractNum w:abstractNumId="138">
    <w:nsid w:val="5B1FBC2D"/>
    <w:multiLevelType w:val="hybridMultilevel"/>
    <w:lvl w:ilvl="0">
      <w:lvlJc w:val="left"/>
      <w:lvlText w:val="(%1)"/>
      <w:numFmt w:val="lowerLetter"/>
      <w:start w:val="1"/>
    </w:lvl>
    <w:lvl w:ilvl="1">
      <w:lvlJc w:val="left"/>
      <w:lvlText w:val="(%2)"/>
      <w:numFmt w:val="lowerRoman"/>
      <w:start w:val="1"/>
    </w:lvl>
  </w:abstractNum>
  <w:abstractNum w:abstractNumId="139">
    <w:nsid w:val="33DFCCE8"/>
    <w:multiLevelType w:val="hybridMultilevel"/>
    <w:lvl w:ilvl="0">
      <w:lvlJc w:val="left"/>
      <w:lvlText w:val="(%1)"/>
      <w:numFmt w:val="lowerRoman"/>
      <w:start w:val="1"/>
    </w:lvl>
  </w:abstractNum>
  <w:abstractNum w:abstractNumId="140">
    <w:nsid w:val="18C45E15"/>
    <w:multiLevelType w:val="hybridMultilevel"/>
    <w:lvl w:ilvl="0">
      <w:lvlJc w:val="left"/>
      <w:lvlText w:val="(%1)"/>
      <w:numFmt w:val="decimal"/>
      <w:start w:val="1"/>
    </w:lvl>
  </w:abstractNum>
  <w:abstractNum w:abstractNumId="141">
    <w:nsid w:val="6B431F25"/>
    <w:multiLevelType w:val="hybridMultilevel"/>
    <w:lvl w:ilvl="0">
      <w:lvlJc w:val="left"/>
      <w:lvlText w:val="(%1)"/>
      <w:numFmt w:val="lowerLetter"/>
      <w:start w:val="2"/>
    </w:lvl>
  </w:abstractNum>
  <w:abstractNum w:abstractNumId="142">
    <w:nsid w:val="13CD8DCB"/>
    <w:multiLevelType w:val="hybridMultilevel"/>
    <w:lvl w:ilvl="0">
      <w:lvlJc w:val="left"/>
      <w:lvlText w:val="(%1)"/>
      <w:numFmt w:val="lowerLetter"/>
      <w:start w:val="1"/>
    </w:lvl>
  </w:abstractNum>
  <w:abstractNum w:abstractNumId="143">
    <w:nsid w:val="563A1A5C"/>
    <w:multiLevelType w:val="hybridMultilevel"/>
    <w:lvl w:ilvl="0">
      <w:lvlJc w:val="left"/>
      <w:lvlText w:val="(%1)"/>
      <w:numFmt w:val="lowerRoman"/>
      <w:start w:val="1"/>
    </w:lvl>
  </w:abstractNum>
  <w:abstractNum w:abstractNumId="144">
    <w:nsid w:val="2973F88F"/>
    <w:multiLevelType w:val="hybridMultilevel"/>
    <w:lvl w:ilvl="0">
      <w:lvlJc w:val="left"/>
      <w:lvlText w:val="%1."/>
      <w:numFmt w:val="decimal"/>
      <w:start w:val="5"/>
    </w:lvl>
  </w:abstractNum>
  <w:abstractNum w:abstractNumId="145">
    <w:nsid w:val="2C70EDAE"/>
    <w:multiLevelType w:val="hybridMultilevel"/>
    <w:lvl w:ilvl="0">
      <w:lvlJc w:val="left"/>
      <w:lvlText w:val="(%1)"/>
      <w:numFmt w:val="lowerRoman"/>
      <w:start w:val="2"/>
    </w:lvl>
  </w:abstractNum>
  <w:abstractNum w:abstractNumId="146">
    <w:nsid w:val="44296C6D"/>
    <w:multiLevelType w:val="hybridMultilevel"/>
    <w:lvl w:ilvl="0">
      <w:lvlJc w:val="left"/>
      <w:lvlText w:val="%1."/>
      <w:numFmt w:val="decimal"/>
      <w:start w:val="6"/>
    </w:lvl>
  </w:abstractNum>
  <w:abstractNum w:abstractNumId="147">
    <w:nsid w:val="3A86D445"/>
    <w:multiLevelType w:val="hybridMultilevel"/>
    <w:lvl w:ilvl="0">
      <w:lvlJc w:val="left"/>
      <w:lvlText w:val="(%1)"/>
      <w:numFmt w:val="lowerLetter"/>
      <w:start w:val="1"/>
    </w:lvl>
  </w:abstractNum>
  <w:abstractNum w:abstractNumId="148">
    <w:nsid w:val="51F79246"/>
    <w:multiLevelType w:val="hybridMultilevel"/>
    <w:lvl w:ilvl="0">
      <w:lvlJc w:val="left"/>
      <w:lvlText w:val="%1."/>
      <w:numFmt w:val="decimal"/>
      <w:start w:val="7"/>
    </w:lvl>
  </w:abstractNum>
  <w:abstractNum w:abstractNumId="149">
    <w:nsid w:val="5BC9A827"/>
    <w:multiLevelType w:val="hybridMultilevel"/>
    <w:lvl w:ilvl="0">
      <w:lvlJc w:val="left"/>
      <w:lvlText w:val="(%1)"/>
      <w:numFmt w:val="lowerRoman"/>
      <w:start w:val="4"/>
    </w:lvl>
  </w:abstractNum>
  <w:abstractNum w:abstractNumId="150">
    <w:nsid w:val="3AE37D86"/>
    <w:multiLevelType w:val="hybridMultilevel"/>
    <w:lvl w:ilvl="0">
      <w:lvlJc w:val="left"/>
      <w:lvlText w:val="%1."/>
      <w:numFmt w:val="decimal"/>
      <w:start w:val="3"/>
    </w:lvl>
  </w:abstractNum>
  <w:abstractNum w:abstractNumId="151">
    <w:nsid w:val="45440FE5"/>
    <w:multiLevelType w:val="hybridMultilevel"/>
    <w:lvl w:ilvl="0">
      <w:lvlJc w:val="left"/>
      <w:lvlText w:val="%1."/>
      <w:numFmt w:val="decimal"/>
      <w:start w:val="1"/>
    </w:lvl>
  </w:abstractNum>
  <w:abstractNum w:abstractNumId="152">
    <w:nsid w:val="BF783F"/>
    <w:multiLevelType w:val="hybridMultilevel"/>
    <w:lvl w:ilvl="0">
      <w:lvlJc w:val="left"/>
      <w:lvlText w:val="%1."/>
      <w:numFmt w:val="decimal"/>
      <w:start w:val="2"/>
    </w:lvl>
  </w:abstractNum>
  <w:abstractNum w:abstractNumId="153">
    <w:nsid w:val="22643EA9"/>
    <w:multiLevelType w:val="hybridMultilevel"/>
    <w:lvl w:ilvl="0">
      <w:lvlJc w:val="left"/>
      <w:lvlText w:val="(%1)"/>
      <w:numFmt w:val="lowerLetter"/>
      <w:start w:val="1"/>
    </w:lvl>
  </w:abstractNum>
  <w:abstractNum w:abstractNumId="154">
    <w:nsid w:val="1887578D"/>
    <w:multiLevelType w:val="hybridMultilevel"/>
    <w:lvl w:ilvl="0">
      <w:lvlJc w:val="left"/>
      <w:lvlText w:val="%1"/>
      <w:numFmt w:val="lowerRoman"/>
      <w:start w:val="1"/>
    </w:lvl>
    <w:lvl w:ilvl="1">
      <w:lvlJc w:val="left"/>
      <w:lvlText w:val="(%2)"/>
      <w:numFmt w:val="lowerLetter"/>
      <w:start w:val="1"/>
    </w:lvl>
  </w:abstractNum>
  <w:abstractNum w:abstractNumId="155">
    <w:nsid w:val="58C05B8A"/>
    <w:multiLevelType w:val="hybridMultilevel"/>
    <w:lvl w:ilvl="0">
      <w:lvlJc w:val="left"/>
      <w:lvlText w:val="(%1)"/>
      <w:numFmt w:val="lowerRoman"/>
      <w:start w:val="4"/>
    </w:lvl>
    <w:lvl w:ilvl="1">
      <w:lvlJc w:val="left"/>
      <w:lvlText w:val="%2"/>
      <w:numFmt w:val="lowerLetter"/>
      <w:start w:val="1"/>
    </w:lvl>
  </w:abstractNum>
  <w:abstractNum w:abstractNumId="156">
    <w:nsid w:val="38D82E71"/>
    <w:multiLevelType w:val="hybridMultilevel"/>
    <w:lvl w:ilvl="0">
      <w:lvlJc w:val="left"/>
      <w:lvlText w:val="(%1)"/>
      <w:numFmt w:val="lowerLetter"/>
      <w:start w:val="1"/>
    </w:lvl>
  </w:abstractNum>
  <w:abstractNum w:abstractNumId="157">
    <w:nsid w:val="1E41098A"/>
    <w:multiLevelType w:val="hybridMultilevel"/>
    <w:lvl w:ilvl="0">
      <w:lvlJc w:val="left"/>
      <w:lvlText w:val="(%1)"/>
      <w:numFmt w:val="lowerLetter"/>
      <w:start w:val="3"/>
    </w:lvl>
  </w:abstractNum>
  <w:abstractNum w:abstractNumId="158">
    <w:nsid w:val="5398582C"/>
    <w:multiLevelType w:val="hybridMultilevel"/>
    <w:lvl w:ilvl="0">
      <w:lvlJc w:val="left"/>
      <w:lvlText w:val="(%1)"/>
      <w:numFmt w:val="lowerLetter"/>
      <w:start w:val="2"/>
    </w:lvl>
  </w:abstractNum>
  <w:abstractNum w:abstractNumId="159">
    <w:nsid w:val="1C0D4475"/>
    <w:multiLevelType w:val="hybridMultilevel"/>
    <w:lvl w:ilvl="0">
      <w:lvlJc w:val="left"/>
      <w:lvlText w:val="(%1)"/>
      <w:numFmt w:val="lowerRoman"/>
      <w:start w:val="1"/>
    </w:lvl>
  </w:abstractNum>
  <w:abstractNum w:abstractNumId="160">
    <w:nsid w:val="2CB6A6A4"/>
    <w:multiLevelType w:val="hybridMultilevel"/>
    <w:lvl w:ilvl="0">
      <w:lvlJc w:val="left"/>
      <w:lvlText w:val="(%1)"/>
      <w:numFmt w:val="decimal"/>
      <w:start w:val="6"/>
    </w:lvl>
  </w:abstractNum>
  <w:abstractNum w:abstractNumId="161">
    <w:nsid w:val="41D646BC"/>
    <w:multiLevelType w:val="hybridMultilevel"/>
    <w:lvl w:ilvl="0">
      <w:lvlJc w:val="left"/>
      <w:lvlText w:val="(%1)"/>
      <w:numFmt w:val="lowerLetter"/>
      <w:start w:val="1"/>
    </w:lvl>
  </w:abstractNum>
  <w:abstractNum w:abstractNumId="162">
    <w:nsid w:val="3694A76A"/>
    <w:multiLevelType w:val="hybridMultilevel"/>
    <w:lvl w:ilvl="0">
      <w:lvlJc w:val="left"/>
      <w:lvlText w:val="(%1)"/>
      <w:numFmt w:val="lowerRoman"/>
      <w:start w:val="3"/>
    </w:lvl>
  </w:abstractNum>
  <w:abstractNum w:abstractNumId="163">
    <w:nsid w:val="2BF876EE"/>
    <w:multiLevelType w:val="hybridMultilevel"/>
    <w:lvl w:ilvl="0">
      <w:lvlJc w:val="left"/>
      <w:lvlText w:val="(%1)"/>
      <w:numFmt w:val="lowerRoman"/>
      <w:start w:val="5"/>
    </w:lvl>
  </w:abstractNum>
  <w:abstractNum w:abstractNumId="164">
    <w:nsid w:val="675ADBA"/>
    <w:multiLevelType w:val="hybridMultilevel"/>
    <w:lvl w:ilvl="0">
      <w:lvlJc w:val="left"/>
      <w:lvlText w:val="(%1)"/>
      <w:numFmt w:val="lowerLetter"/>
      <w:start w:val="1"/>
    </w:lvl>
  </w:abstractNum>
  <w:abstractNum w:abstractNumId="165">
    <w:nsid w:val="C12AC7F"/>
    <w:multiLevelType w:val="hybridMultilevel"/>
    <w:lvl w:ilvl="0">
      <w:lvlJc w:val="left"/>
      <w:lvlText w:val="(%1)"/>
      <w:numFmt w:val="lowerLetter"/>
      <w:start w:val="3"/>
    </w:lvl>
  </w:abstractNum>
  <w:abstractNum w:abstractNumId="166">
    <w:nsid w:val="6798F039"/>
    <w:multiLevelType w:val="hybridMultilevel"/>
    <w:lvl w:ilvl="0">
      <w:lvlJc w:val="left"/>
      <w:lvlText w:val="(%1)"/>
      <w:numFmt w:val="lowerLetter"/>
      <w:start w:val="1"/>
    </w:lvl>
    <w:lvl w:ilvl="1">
      <w:lvlJc w:val="left"/>
      <w:lvlText w:val="(%2)"/>
      <w:numFmt w:val="upperLetter"/>
      <w:start w:val="1"/>
    </w:lvl>
  </w:abstractNum>
  <w:abstractNum w:abstractNumId="167">
    <w:nsid w:val="70837C02"/>
    <w:multiLevelType w:val="hybridMultilevel"/>
    <w:lvl w:ilvl="0">
      <w:lvlJc w:val="left"/>
      <w:lvlText w:val="%1"/>
      <w:numFmt w:val="lowerLetter"/>
      <w:start w:val="1"/>
    </w:lvl>
    <w:lvl w:ilvl="1">
      <w:lvlJc w:val="left"/>
      <w:lvlText w:val="(%2)"/>
      <w:numFmt w:val="upperLetter"/>
      <w:start w:val="6"/>
    </w:lvl>
  </w:abstractNum>
  <w:abstractNum w:abstractNumId="168">
    <w:nsid w:val="7E4A5715"/>
    <w:multiLevelType w:val="hybridMultilevel"/>
    <w:lvl w:ilvl="0">
      <w:lvlJc w:val="left"/>
      <w:lvlText w:val="(%1)"/>
      <w:numFmt w:val="lowerLetter"/>
      <w:start w:val="3"/>
    </w:lvl>
    <w:lvl w:ilvl="1">
      <w:lvlJc w:val="left"/>
      <w:lvlText w:val="%2"/>
      <w:numFmt w:val="upperLetter"/>
      <w:start w:val="1"/>
    </w:lvl>
  </w:abstractNum>
  <w:abstractNum w:abstractNumId="169">
    <w:nsid w:val="42B8AC67"/>
    <w:multiLevelType w:val="hybridMultilevel"/>
    <w:lvl w:ilvl="0">
      <w:lvlJc w:val="left"/>
      <w:lvlText w:val="(%1)"/>
      <w:numFmt w:val="lowerLetter"/>
      <w:start w:val="1"/>
    </w:lvl>
  </w:abstractNum>
  <w:abstractNum w:abstractNumId="170">
    <w:nsid w:val="246348EA"/>
    <w:multiLevelType w:val="hybridMultilevel"/>
    <w:lvl w:ilvl="0">
      <w:lvlJc w:val="left"/>
      <w:lvlText w:val="%1"/>
      <w:numFmt w:val="upperLetter"/>
      <w:start w:val="1"/>
    </w:lvl>
    <w:lvl w:ilvl="1">
      <w:lvlJc w:val="left"/>
      <w:lvlText w:val="(%2)"/>
      <w:numFmt w:val="lowerLetter"/>
      <w:start w:val="3"/>
    </w:lvl>
  </w:abstractNum>
  <w:abstractNum w:abstractNumId="171">
    <w:nsid w:val="170EB52B"/>
    <w:multiLevelType w:val="hybridMultilevel"/>
    <w:lvl w:ilvl="0">
      <w:lvlJc w:val="left"/>
      <w:lvlText w:val="(%1)"/>
      <w:numFmt w:val="upperLetter"/>
      <w:start w:val="1"/>
    </w:lvl>
    <w:lvl w:ilvl="1">
      <w:lvlJc w:val="left"/>
      <w:lvlText w:val="(%2)"/>
      <w:numFmt w:val="lowerLetter"/>
      <w:start w:val="6"/>
    </w:lvl>
  </w:abstractNum>
  <w:abstractNum w:abstractNumId="172">
    <w:nsid w:val="2DFBCB8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3">
    <w:nsid w:val="3830D6B6"/>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abstractNum>
  <w:abstractNum w:abstractNumId="174">
    <w:nsid w:val="6D48CF87"/>
    <w:multiLevelType w:val="hybridMultilevel"/>
    <w:lvl w:ilvl="0">
      <w:lvlJc w:val="left"/>
      <w:lvlText w:val="(%1)"/>
      <w:numFmt w:val="decimal"/>
      <w:start w:val="10"/>
    </w:lvl>
    <w:lvl w:ilvl="1">
      <w:lvlJc w:val="left"/>
      <w:lvlText w:val="(%2)"/>
      <w:numFmt w:val="lowerLetter"/>
      <w:start w:val="2"/>
    </w:lvl>
  </w:abstractNum>
  <w:abstractNum w:abstractNumId="175">
    <w:nsid w:val="576FC41B"/>
    <w:multiLevelType w:val="hybridMultilevel"/>
    <w:lvl w:ilvl="0">
      <w:lvlJc w:val="left"/>
      <w:lvlText w:val="(%1)"/>
      <w:numFmt w:val="decimal"/>
      <w:start w:val="60"/>
    </w:lvl>
    <w:lvl w:ilvl="1">
      <w:lvlJc w:val="left"/>
      <w:lvlText w:val="(%2)"/>
      <w:numFmt w:val="lowerLetter"/>
      <w:start w:val="4"/>
    </w:lvl>
  </w:abstractNum>
  <w:abstractNum w:abstractNumId="176">
    <w:nsid w:val="64A1C464"/>
    <w:multiLevelType w:val="hybridMultilevel"/>
    <w:lvl w:ilvl="0">
      <w:lvlJc w:val="left"/>
      <w:lvlText w:val="(%1)"/>
      <w:numFmt w:val="decimal"/>
      <w:start w:val="180"/>
    </w:lvl>
    <w:lvl w:ilvl="1">
      <w:lvlJc w:val="left"/>
      <w:lvlText w:val="%2"/>
      <w:numFmt w:val="lowerLetter"/>
      <w:start w:val="1"/>
    </w:lvl>
  </w:abstractNum>
  <w:abstractNum w:abstractNumId="177">
    <w:nsid w:val="31723BF5"/>
    <w:multiLevelType w:val="hybridMultilevel"/>
    <w:lvl w:ilvl="0">
      <w:lvlJc w:val="left"/>
      <w:lvlText w:val="(%1)"/>
      <w:numFmt w:val="lowerLetter"/>
      <w:start w:val="1"/>
    </w:lvl>
  </w:abstractNum>
  <w:abstractNum w:abstractNumId="178">
    <w:nsid w:val="11F69861"/>
    <w:multiLevelType w:val="hybridMultilevel"/>
    <w:lvl w:ilvl="0">
      <w:lvlJc w:val="left"/>
      <w:lvlText w:val="(%1)"/>
      <w:numFmt w:val="lowerLetter"/>
      <w:start w:val="3"/>
    </w:lvl>
  </w:abstractNum>
  <w:abstractNum w:abstractNumId="179">
    <w:nsid w:val="369956AB"/>
    <w:multiLevelType w:val="hybridMultilevel"/>
    <w:lvl w:ilvl="0">
      <w:lvlJc w:val="left"/>
      <w:lvlText w:val="(%1)"/>
      <w:numFmt w:val="lowerLetter"/>
      <w:start w:val="1"/>
    </w:lvl>
  </w:abstractNum>
  <w:abstractNum w:abstractNumId="180">
    <w:nsid w:val="D3BE41C"/>
    <w:multiLevelType w:val="hybridMultilevel"/>
    <w:lvl w:ilvl="0">
      <w:lvlJc w:val="left"/>
      <w:lvlText w:val="(%1)"/>
      <w:numFmt w:val="lowerLetter"/>
      <w:start w:val="3"/>
    </w:lvl>
  </w:abstractNum>
  <w:abstractNum w:abstractNumId="181">
    <w:nsid w:val="4CDA15E7"/>
    <w:multiLevelType w:val="hybridMultilevel"/>
    <w:lvl w:ilvl="0">
      <w:lvlJc w:val="left"/>
      <w:lvlText w:val="(%1)"/>
      <w:numFmt w:val="lowerLetter"/>
      <w:start w:val="1"/>
    </w:lvl>
  </w:abstractNum>
  <w:abstractNum w:abstractNumId="182">
    <w:nsid w:val="7BDD6690"/>
    <w:multiLevelType w:val="hybridMultilevel"/>
    <w:lvl w:ilvl="0">
      <w:lvlJc w:val="left"/>
      <w:lvlText w:val="%1"/>
      <w:numFmt w:val="lowerLetter"/>
      <w:start w:val="1"/>
    </w:lvl>
    <w:lvl w:ilvl="1">
      <w:lvlJc w:val="left"/>
      <w:lvlText w:val="(%2)"/>
      <w:numFmt w:val="lowerLetter"/>
      <w:start w:val="3"/>
    </w:lvl>
  </w:abstractNum>
  <w:abstractNum w:abstractNumId="183">
    <w:nsid w:val="DFB5C5B"/>
    <w:multiLevelType w:val="hybridMultilevel"/>
    <w:lvl w:ilvl="0">
      <w:lvlJc w:val="left"/>
      <w:lvlText w:val="(%1)"/>
      <w:numFmt w:val="lowerLetter"/>
      <w:start w:val="35"/>
    </w:lvl>
    <w:lvl w:ilvl="1">
      <w:lvlJc w:val="left"/>
      <w:lvlText w:val="%2"/>
      <w:numFmt w:val="lowerLetter"/>
      <w:start w:val="1"/>
    </w:lvl>
  </w:abstractNum>
  <w:abstractNum w:abstractNumId="184">
    <w:nsid w:val="6F3E5490"/>
    <w:multiLevelType w:val="hybridMultilevel"/>
    <w:lvl w:ilvl="0">
      <w:lvlJc w:val="left"/>
      <w:lvlText w:val="(%1)"/>
      <w:numFmt w:val="lowerLetter"/>
      <w:start w:val="5"/>
    </w:lvl>
  </w:abstractNum>
  <w:abstractNum w:abstractNumId="185">
    <w:nsid w:val="1464BE1E"/>
    <w:multiLevelType w:val="hybridMultilevel"/>
    <w:lvl w:ilvl="0">
      <w:lvlJc w:val="left"/>
      <w:lvlText w:val="(%1)"/>
      <w:numFmt w:val="lowerLetter"/>
      <w:start w:val="1"/>
    </w:lvl>
  </w:abstractNum>
  <w:abstractNum w:abstractNumId="186">
    <w:nsid w:val="66BBB7E5"/>
    <w:multiLevelType w:val="hybridMultilevel"/>
    <w:lvl w:ilvl="0">
      <w:lvlJc w:val="left"/>
      <w:lvlText w:val="(%1)"/>
      <w:numFmt w:val="lowerLetter"/>
      <w:start w:val="1"/>
    </w:lvl>
  </w:abstractNum>
  <w:abstractNum w:abstractNumId="187">
    <w:nsid w:val="28168302"/>
    <w:multiLevelType w:val="hybridMultilevel"/>
    <w:lvl w:ilvl="0">
      <w:lvlJc w:val="left"/>
      <w:lvlText w:val="%1"/>
      <w:numFmt w:val="lowerLetter"/>
      <w:start w:val="1"/>
    </w:lvl>
    <w:lvl w:ilvl="1">
      <w:lvlJc w:val="left"/>
      <w:lvlText w:val="(%2)"/>
      <w:numFmt w:val="lowerLetter"/>
      <w:start w:val="3"/>
    </w:lvl>
  </w:abstractNum>
  <w:abstractNum w:abstractNumId="188">
    <w:nsid w:val="32A5C7A8"/>
    <w:multiLevelType w:val="hybridMultilevel"/>
    <w:lvl w:ilvl="0">
      <w:lvlJc w:val="left"/>
      <w:lvlText w:val="(%1)"/>
      <w:numFmt w:val="lowerLetter"/>
      <w:start w:val="61"/>
    </w:lvl>
    <w:lvl w:ilvl="1">
      <w:lvlJc w:val="left"/>
      <w:lvlText w:val="%2"/>
      <w:numFmt w:val="lowerLetter"/>
      <w:start w:val="1"/>
    </w:lvl>
  </w:abstractNum>
  <w:abstractNum w:abstractNumId="189">
    <w:nsid w:val="3A541011"/>
    <w:multiLevelType w:val="hybridMultilevel"/>
    <w:lvl w:ilvl="0">
      <w:lvlJc w:val="left"/>
      <w:lvlText w:val="(%1)"/>
      <w:numFmt w:val="lowerLetter"/>
      <w:start w:val="26"/>
    </w:lvl>
  </w:abstractNum>
  <w:abstractNum w:abstractNumId="190">
    <w:nsid w:val="4423C777"/>
    <w:multiLevelType w:val="hybridMultilevel"/>
    <w:lvl w:ilvl="0">
      <w:lvlJc w:val="left"/>
      <w:lvlText w:val="(%1)"/>
      <w:numFmt w:val="lowerLetter"/>
      <w:start w:val="1"/>
    </w:lvl>
  </w:abstractNum>
  <w:abstractNum w:abstractNumId="191">
    <w:nsid w:val="5F5C6E4D"/>
    <w:multiLevelType w:val="hybridMultilevel"/>
    <w:lvl w:ilvl="0">
      <w:lvlJc w:val="left"/>
      <w:lvlText w:val="%1."/>
      <w:numFmt w:val="decimal"/>
      <w:start w:val="3"/>
    </w:lvl>
  </w:abstractNum>
  <w:abstractNum w:abstractNumId="192">
    <w:nsid w:val="7C2A56CD"/>
    <w:multiLevelType w:val="hybridMultilevel"/>
    <w:lvl w:ilvl="0">
      <w:lvlJc w:val="left"/>
      <w:lvlText w:val="%1"/>
      <w:numFmt w:val="lowerLetter"/>
      <w:start w:val="1"/>
    </w:lvl>
    <w:lvl w:ilvl="1">
      <w:lvlJc w:val="left"/>
      <w:lvlText w:val="(%2)"/>
      <w:numFmt w:val="lowerLetter"/>
      <w:start w:val="1"/>
    </w:lvl>
  </w:abstractNum>
  <w:abstractNum w:abstractNumId="193">
    <w:nsid w:val="7AB86EE1"/>
    <w:multiLevelType w:val="hybridMultilevel"/>
    <w:lvl w:ilvl="0">
      <w:lvlJc w:val="left"/>
      <w:lvlText w:val="(%1)"/>
      <w:numFmt w:val="lowerLetter"/>
      <w:start w:val="9"/>
    </w:lvl>
    <w:lvl w:ilvl="1">
      <w:lvlJc w:val="left"/>
      <w:lvlText w:val="%2"/>
      <w:numFmt w:val="lowerLetter"/>
      <w:start w:val="1"/>
    </w:lvl>
  </w:abstractNum>
  <w:abstractNum w:abstractNumId="194">
    <w:nsid w:val="B54E53B"/>
    <w:multiLevelType w:val="hybridMultilevel"/>
    <w:lvl w:ilvl="0">
      <w:lvlJc w:val="left"/>
      <w:lvlText w:val="(%1)"/>
      <w:numFmt w:val="lowerLetter"/>
      <w:start w:val="61"/>
    </w:lvl>
    <w:lvl w:ilvl="1">
      <w:lvlJc w:val="left"/>
      <w:lvlText w:val="(%2)"/>
      <w:numFmt w:val="lowerLetter"/>
      <w:start w:val="2"/>
    </w:lvl>
  </w:abstractNum>
  <w:abstractNum w:abstractNumId="195">
    <w:nsid w:val="2A00487"/>
    <w:multiLevelType w:val="hybridMultilevel"/>
    <w:lvl w:ilvl="0">
      <w:lvlJc w:val="left"/>
      <w:lvlText w:val="(%1)"/>
      <w:numFmt w:val="lowerLetter"/>
      <w:start w:val="3"/>
    </w:lvl>
  </w:abstractNum>
  <w:abstractNum w:abstractNumId="196">
    <w:nsid w:val="6CB1B60"/>
    <w:multiLevelType w:val="hybridMultilevel"/>
    <w:lvl w:ilvl="0">
      <w:lvlJc w:val="left"/>
      <w:lvlText w:val="%1"/>
      <w:numFmt w:val="lowerLetter"/>
      <w:start w:val="1"/>
    </w:lvl>
    <w:lvl w:ilvl="1">
      <w:lvlJc w:val="left"/>
      <w:lvlText w:val="(%2)"/>
      <w:numFmt w:val="lowerLetter"/>
      <w:start w:val="1"/>
    </w:lvl>
  </w:abstractNum>
  <w:abstractNum w:abstractNumId="197">
    <w:nsid w:val="72EDD574"/>
    <w:multiLevelType w:val="hybridMultilevel"/>
    <w:lvl w:ilvl="0">
      <w:lvlJc w:val="left"/>
      <w:lvlText w:val="(%1)"/>
      <w:numFmt w:val="lowerLetter"/>
      <w:start w:val="9"/>
    </w:lvl>
    <w:lvl w:ilvl="1">
      <w:lvlJc w:val="left"/>
      <w:lvlText w:val="%2"/>
      <w:numFmt w:val="lowerLetter"/>
      <w:start w:val="1"/>
    </w:lvl>
  </w:abstractNum>
  <w:abstractNum w:abstractNumId="198">
    <w:nsid w:val="7323808A"/>
    <w:multiLevelType w:val="hybridMultilevel"/>
    <w:lvl w:ilvl="0">
      <w:lvlJc w:val="left"/>
      <w:lvlText w:val="(%1)"/>
      <w:numFmt w:val="lowerLetter"/>
      <w:start w:val="61"/>
    </w:lvl>
    <w:lvl w:ilvl="1">
      <w:lvlJc w:val="left"/>
      <w:lvlText w:val="%2"/>
      <w:numFmt w:val="lowerLetter"/>
      <w:start w:val="1"/>
    </w:lvl>
  </w:abstractNum>
  <w:abstractNum w:abstractNumId="199">
    <w:nsid w:val="5157276"/>
    <w:multiLevelType w:val="hybridMultilevel"/>
    <w:lvl w:ilvl="0">
      <w:lvlJc w:val="left"/>
      <w:lvlText w:val="(%1)"/>
      <w:numFmt w:val="lowerLetter"/>
      <w:start w:val="2"/>
    </w:lvl>
  </w:abstractNum>
  <w:abstractNum w:abstractNumId="200">
    <w:nsid w:val="35A681DB"/>
    <w:multiLevelType w:val="hybridMultilevel"/>
    <w:lvl w:ilvl="0">
      <w:lvlJc w:val="left"/>
      <w:lvlText w:val="%1."/>
      <w:numFmt w:val="decimal"/>
      <w:start w:val="4"/>
    </w:lvl>
    <w:lvl w:ilvl="1">
      <w:lvlJc w:val="left"/>
      <w:lvlText w:val="(%2)"/>
      <w:numFmt w:val="lowerLetter"/>
      <w:start w:val="1"/>
    </w:lvl>
  </w:abstractNum>
  <w:abstractNum w:abstractNumId="201">
    <w:nsid w:val="1786C974"/>
    <w:multiLevelType w:val="hybridMultilevel"/>
    <w:lvl w:ilvl="0">
      <w:lvlJc w:val="left"/>
      <w:lvlText w:val="(%1)"/>
      <w:numFmt w:val="lowerLetter"/>
      <w:start w:val="4"/>
    </w:lvl>
  </w:abstractNum>
  <w:abstractNum w:abstractNumId="202">
    <w:nsid w:val="1C2427A1"/>
    <w:multiLevelType w:val="hybridMultilevel"/>
    <w:lvl w:ilvl="0">
      <w:lvlJc w:val="left"/>
      <w:lvlText w:val="%1."/>
      <w:numFmt w:val="decimal"/>
      <w:start w:val="5"/>
    </w:lvl>
  </w:abstractNum>
  <w:abstractNum w:abstractNumId="203">
    <w:nsid w:val="63A24D68"/>
    <w:multiLevelType w:val="hybridMultilevel"/>
    <w:lvl w:ilvl="0">
      <w:lvlJc w:val="left"/>
      <w:lvlText w:val="(%1)"/>
      <w:numFmt w:val="lowerLetter"/>
      <w:start w:val="1"/>
    </w:lvl>
  </w:abstractNum>
  <w:abstractNum w:abstractNumId="204">
    <w:nsid w:val="4FB7A02A"/>
    <w:multiLevelType w:val="hybridMultilevel"/>
    <w:lvl w:ilvl="0">
      <w:lvlJc w:val="left"/>
      <w:lvlText w:val="(%1)"/>
      <w:numFmt w:val="lowerLetter"/>
      <w:start w:val="3"/>
    </w:lvl>
  </w:abstractNum>
  <w:abstractNum w:abstractNumId="205">
    <w:nsid w:val="96CF728"/>
    <w:multiLevelType w:val="hybridMultilevel"/>
    <w:lvl w:ilvl="0">
      <w:lvlJc w:val="left"/>
      <w:lvlText w:val="(%1)"/>
      <w:numFmt w:val="lowerLetter"/>
      <w:start w:val="16"/>
    </w:lvl>
  </w:abstractNum>
  <w:abstractNum w:abstractNumId="206">
    <w:nsid w:val="3B121183"/>
    <w:multiLevelType w:val="hybridMultilevel"/>
    <w:lvl w:ilvl="0">
      <w:lvlJc w:val="left"/>
      <w:lvlText w:val="%1."/>
      <w:numFmt w:val="decimal"/>
      <w:start w:val="6"/>
    </w:lvl>
  </w:abstractNum>
  <w:abstractNum w:abstractNumId="207">
    <w:nsid w:val="3459648F"/>
    <w:multiLevelType w:val="hybridMultilevel"/>
    <w:lvl w:ilvl="0">
      <w:lvlJc w:val="left"/>
      <w:lvlText w:val="(%1)"/>
      <w:numFmt w:val="lowerLetter"/>
      <w:start w:val="1"/>
    </w:lvl>
  </w:abstractNum>
  <w:abstractNum w:abstractNumId="208">
    <w:nsid w:val="3ADF331D"/>
    <w:multiLevelType w:val="hybridMultilevel"/>
    <w:lvl w:ilvl="0">
      <w:lvlJc w:val="left"/>
      <w:lvlText w:val="(%1)"/>
      <w:numFmt w:val="lowerLetter"/>
      <w:start w:val="3"/>
    </w:lvl>
  </w:abstractNum>
  <w:abstractNum w:abstractNumId="209">
    <w:nsid w:val="4D08A9E4"/>
    <w:multiLevelType w:val="hybridMultilevel"/>
    <w:lvl w:ilvl="0">
      <w:lvlJc w:val="left"/>
      <w:lvlText w:val="%1"/>
      <w:numFmt w:val="upperLetter"/>
      <w:start w:val="34"/>
    </w:lvl>
  </w:abstractNum>
  <w:abstractNum w:abstractNumId="210">
    <w:nsid w:val="6AF2BB3A"/>
    <w:multiLevelType w:val="hybridMultilevel"/>
    <w:lvl w:ilvl="0">
      <w:lvlJc w:val="left"/>
      <w:lvlText w:val="%1."/>
      <w:numFmt w:val="decimal"/>
      <w:start w:val="1"/>
    </w:lvl>
  </w:abstractNum>
  <w:abstractNum w:abstractNumId="211">
    <w:nsid w:val="481B1739"/>
    <w:multiLevelType w:val="hybridMultilevel"/>
    <w:lvl w:ilvl="0">
      <w:lvlJc w:val="left"/>
      <w:lvlText w:val="%1."/>
      <w:numFmt w:val="decimal"/>
      <w:start w:val="2"/>
    </w:lvl>
  </w:abstractNum>
  <w:abstractNum w:abstractNumId="212">
    <w:nsid w:val="19E2BFCC"/>
    <w:multiLevelType w:val="hybridMultilevel"/>
    <w:lvl w:ilvl="0">
      <w:lvlJc w:val="left"/>
      <w:lvlText w:val="%1."/>
      <w:numFmt w:val="decimal"/>
      <w:start w:val="3"/>
    </w:lvl>
    <w:lvl w:ilvl="1">
      <w:lvlJc w:val="left"/>
      <w:lvlText w:val="(%2)"/>
      <w:numFmt w:val="lowerLetter"/>
      <w:start w:val="1"/>
    </w:lvl>
  </w:abstractNum>
  <w:abstractNum w:abstractNumId="213">
    <w:nsid w:val="66D021CA"/>
    <w:multiLevelType w:val="hybridMultilevel"/>
    <w:lvl w:ilvl="0">
      <w:lvlJc w:val="left"/>
      <w:lvlText w:val="%1"/>
      <w:numFmt w:val="decimal"/>
      <w:start w:val="1"/>
    </w:lvl>
    <w:lvl w:ilvl="1">
      <w:lvlJc w:val="left"/>
      <w:lvlText w:val="(%2)"/>
      <w:numFmt w:val="lowerLetter"/>
      <w:start w:val="2"/>
    </w:lvl>
  </w:abstractNum>
  <w:abstractNum w:abstractNumId="214">
    <w:nsid w:val="56167394"/>
    <w:multiLevelType w:val="hybridMultilevel"/>
    <w:lvl w:ilvl="0">
      <w:lvlJc w:val="left"/>
      <w:lvlText w:val="%1."/>
      <w:numFmt w:val="decimal"/>
      <w:start w:val="5"/>
    </w:lvl>
    <w:lvl w:ilvl="1">
      <w:lvlJc w:val="left"/>
      <w:lvlText w:val="(%2)"/>
      <w:numFmt w:val="lowerLetter"/>
      <w:start w:val="1"/>
    </w:lvl>
  </w:abstractNum>
  <w:abstractNum w:abstractNumId="215">
    <w:nsid w:val="921145C"/>
    <w:multiLevelType w:val="hybridMultilevel"/>
    <w:lvl w:ilvl="0">
      <w:lvlJc w:val="left"/>
      <w:lvlText w:val="(%1)"/>
      <w:numFmt w:val="lowerLetter"/>
      <w:start w:val="5"/>
    </w:lvl>
    <w:lvl w:ilvl="1">
      <w:lvlJc w:val="left"/>
      <w:lvlText w:val="(%2)"/>
      <w:numFmt w:val="lowerRoman"/>
      <w:start w:val="1"/>
    </w:lvl>
  </w:abstractNum>
  <w:abstractNum w:abstractNumId="216">
    <w:nsid w:val="7B34DFE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7">
    <w:nsid w:val="3CD22B79"/>
    <w:multiLevelType w:val="hybridMultilevel"/>
    <w:lvl w:ilvl="0">
      <w:lvlJc w:val="left"/>
      <w:lvlText w:val="%1"/>
      <w:numFmt w:val="decimal"/>
      <w:start w:val="1"/>
    </w:lvl>
    <w:lvl w:ilvl="1">
      <w:lvlJc w:val="left"/>
      <w:lvlText w:val="(%2)"/>
      <w:numFmt w:val="lowerRoman"/>
      <w:start w:val="2"/>
    </w:lvl>
  </w:abstractNum>
  <w:abstractNum w:abstractNumId="218">
    <w:nsid w:val="3137975E"/>
    <w:multiLevelType w:val="hybridMultilevel"/>
    <w:lvl w:ilvl="0">
      <w:lvlJc w:val="left"/>
      <w:lvlText w:val="%1."/>
      <w:numFmt w:val="decimal"/>
      <w:start w:val="7"/>
    </w:lvl>
    <w:lvl w:ilvl="1">
      <w:lvlJc w:val="left"/>
      <w:lvlText w:val="%2"/>
      <w:numFmt w:val="lowerRoman"/>
      <w:start w:val="1"/>
    </w:lvl>
  </w:abstractNum>
  <w:abstractNum w:abstractNumId="219">
    <w:nsid w:val="2DDAA79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0">
    <w:nsid w:val="77263B8A"/>
    <w:multiLevelType w:val="hybridMultilevel"/>
    <w:lvl w:ilvl="0">
      <w:lvlJc w:val="left"/>
      <w:lvlText w:val="%1"/>
      <w:numFmt w:val="lowerLetter"/>
      <w:start w:val="1"/>
    </w:lvl>
    <w:lvl w:ilvl="1">
      <w:lvlJc w:val="left"/>
      <w:lvlText w:val="(%2)"/>
      <w:numFmt w:val="lowerRoman"/>
      <w:start w:val="1"/>
    </w:lvl>
  </w:abstractNum>
  <w:abstractNum w:abstractNumId="221">
    <w:nsid w:val="755B5ED6"/>
    <w:multiLevelType w:val="hybridMultilevel"/>
    <w:lvl w:ilvl="0">
      <w:lvlJc w:val="left"/>
      <w:lvlText w:val="(%1)"/>
      <w:numFmt w:val="lowerLetter"/>
      <w:start w:val="3"/>
    </w:lvl>
    <w:lvl w:ilvl="1">
      <w:lvlJc w:val="left"/>
      <w:lvlText w:val="%2"/>
      <w:numFmt w:val="lowerRoman"/>
      <w:start w:val="1"/>
    </w:lvl>
  </w:abstractNum>
  <w:abstractNum w:abstractNumId="222">
    <w:nsid w:val="D3715DE"/>
    <w:multiLevelType w:val="hybridMultilevel"/>
    <w:lvl w:ilvl="0">
      <w:lvlJc w:val="left"/>
      <w:lvlText w:val="%1"/>
      <w:numFmt w:val="decimal"/>
      <w:start w:val="1"/>
    </w:lvl>
    <w:lvl w:ilvl="1">
      <w:lvlJc w:val="left"/>
      <w:lvlText w:val="(%2)"/>
      <w:numFmt w:val="lowerLetter"/>
      <w:start w:val="4"/>
    </w:lvl>
  </w:abstractNum>
  <w:abstractNum w:abstractNumId="223">
    <w:nsid w:val="73509257"/>
    <w:multiLevelType w:val="hybridMultilevel"/>
    <w:lvl w:ilvl="0">
      <w:lvlJc w:val="left"/>
      <w:lvlText w:val="%1."/>
      <w:numFmt w:val="decimal"/>
      <w:start w:val="9"/>
    </w:lvl>
    <w:lvl w:ilvl="1">
      <w:lvlJc w:val="left"/>
      <w:lvlText w:val="(%2)"/>
      <w:numFmt w:val="lowerLetter"/>
      <w:start w:val="1"/>
    </w:lvl>
  </w:abstractNum>
  <w:abstractNum w:abstractNumId="224">
    <w:nsid w:val="7013CDB7"/>
    <w:multiLevelType w:val="hybridMultilevel"/>
    <w:lvl w:ilvl="0">
      <w:lvlJc w:val="left"/>
      <w:lvlText w:val="%1"/>
      <w:numFmt w:val="upperLetter"/>
      <w:start w:val="1"/>
    </w:lvl>
    <w:lvl w:ilvl="1">
      <w:lvlJc w:val="left"/>
      <w:lvlText w:val="(%2)"/>
      <w:numFmt w:val="lowerLetter"/>
      <w:start w:val="2"/>
    </w:lvl>
  </w:abstractNum>
  <w:abstractNum w:abstractNumId="225">
    <w:nsid w:val="188BFB19"/>
    <w:multiLevelType w:val="hybridMultilevel"/>
    <w:lvl w:ilvl="0">
      <w:lvlJc w:val="left"/>
      <w:lvlText w:val="(%1)"/>
      <w:numFmt w:val="upperLetter"/>
      <w:start w:val="2"/>
    </w:lvl>
    <w:lvl w:ilvl="1">
      <w:lvlJc w:val="left"/>
      <w:lvlText w:val="(%2)"/>
      <w:numFmt w:val="lowerLetter"/>
      <w:start w:val="6"/>
    </w:lvl>
  </w:abstractNum>
  <w:abstractNum w:abstractNumId="226">
    <w:nsid w:val="75F096DF"/>
    <w:multiLevelType w:val="hybridMultilevel"/>
    <w:lvl w:ilvl="0">
      <w:lvlJc w:val="left"/>
      <w:lvlText w:val="%1"/>
      <w:numFmt w:val="decimal"/>
      <w:start w:val="1"/>
    </w:lvl>
    <w:lvl w:ilvl="1">
      <w:lvlJc w:val="left"/>
      <w:lvlText w:val="(%2)"/>
      <w:numFmt w:val="lowerLetter"/>
      <w:start w:val="8"/>
    </w:lvl>
  </w:abstractNum>
  <w:abstractNum w:abstractNumId="227">
    <w:nsid w:val="76DEE918"/>
    <w:multiLevelType w:val="hybridMultilevel"/>
    <w:lvl w:ilvl="0">
      <w:lvlJc w:val="left"/>
      <w:lvlText w:val="%1."/>
      <w:numFmt w:val="decimal"/>
      <w:start w:val="10"/>
    </w:lvl>
    <w:lvl w:ilvl="1">
      <w:lvlJc w:val="left"/>
      <w:lvlText w:val="(%2)"/>
      <w:numFmt w:val="lowerLetter"/>
      <w:start w:val="1"/>
    </w:lvl>
  </w:abstractNum>
  <w:abstractNum w:abstractNumId="228">
    <w:nsid w:val="B79D08D"/>
    <w:multiLevelType w:val="hybridMultilevel"/>
    <w:lvl w:ilvl="0">
      <w:lvlJc w:val="left"/>
      <w:lvlText w:val="(%1)"/>
      <w:numFmt w:val="lowerLetter"/>
      <w:start w:val="6"/>
    </w:lvl>
    <w:lvl w:ilvl="1">
      <w:lvlJc w:val="left"/>
      <w:lvlText w:val="(%2)"/>
      <w:numFmt w:val="lowerRoman"/>
      <w:start w:val="1"/>
    </w:lvl>
  </w:abstractNum>
  <w:abstractNum w:abstractNumId="229">
    <w:nsid w:val="69141769"/>
    <w:multiLevelType w:val="hybridMultilevel"/>
    <w:lvl w:ilvl="0">
      <w:lvlJc w:val="left"/>
      <w:lvlText w:val="(%1)"/>
      <w:numFmt w:val="lowerLetter"/>
      <w:start w:val="8"/>
    </w:lvl>
    <w:lvl w:ilvl="1">
      <w:lvlJc w:val="left"/>
      <w:lvlText w:val="(%2)"/>
      <w:numFmt w:val="lowerRoman"/>
      <w:start w:val="1"/>
    </w:lvl>
  </w:abstractNum>
  <w:abstractNum w:abstractNumId="230">
    <w:nsid w:val="7BF45B8E"/>
    <w:multiLevelType w:val="hybridMultilevel"/>
    <w:lvl w:ilvl="0">
      <w:lvlJc w:val="left"/>
      <w:lvlText w:val="%1"/>
      <w:numFmt w:val="lowerLetter"/>
      <w:start w:val="1"/>
    </w:lvl>
    <w:lvl w:ilvl="1">
      <w:lvlJc w:val="left"/>
      <w:lvlText w:val="(%2)"/>
      <w:numFmt w:val="lowerRoman"/>
      <w:start w:val="5"/>
    </w:lvl>
  </w:abstractNum>
  <w:abstractNum w:abstractNumId="231">
    <w:nsid w:val="41205269"/>
    <w:multiLevelType w:val="hybridMultilevel"/>
    <w:lvl w:ilvl="0">
      <w:lvlJc w:val="left"/>
      <w:lvlText w:val="(%1)"/>
      <w:numFmt w:val="lowerLetter"/>
      <w:start w:val="10"/>
    </w:lvl>
    <w:lvl w:ilvl="1">
      <w:lvlJc w:val="left"/>
      <w:lvlText w:val="%2"/>
      <w:numFmt w:val="lowerRoman"/>
      <w:start w:val="1"/>
    </w:lvl>
  </w:abstractNum>
  <w:abstractNum w:abstractNumId="232">
    <w:nsid w:val="9AE0DD"/>
    <w:multiLevelType w:val="hybridMultilevel"/>
    <w:lvl w:ilvl="0">
      <w:lvlJc w:val="left"/>
      <w:lvlText w:val="(%1)"/>
      <w:numFmt w:val="lowerLetter"/>
      <w:start w:val="11"/>
    </w:lvl>
  </w:abstractNum>
  <w:abstractNum w:abstractNumId="233">
    <w:nsid w:val="1818832F"/>
    <w:multiLevelType w:val="hybridMultilevel"/>
    <w:lvl w:ilvl="0">
      <w:lvlJc w:val="left"/>
      <w:lvlText w:val="%1"/>
      <w:numFmt w:val="decimal"/>
      <w:start w:val="1"/>
    </w:lvl>
    <w:lvl w:ilvl="1">
      <w:lvlJc w:val="left"/>
      <w:lvlText w:val="(%2)"/>
      <w:numFmt w:val="lowerLetter"/>
      <w:start w:val="16"/>
    </w:lvl>
  </w:abstractNum>
  <w:abstractNum w:abstractNumId="234">
    <w:nsid w:val="24C29FD1"/>
    <w:multiLevelType w:val="hybridMultilevel"/>
    <w:lvl w:ilvl="0">
      <w:lvlJc w:val="left"/>
      <w:lvlText w:val="%1."/>
      <w:numFmt w:val="decimal"/>
      <w:start w:val="11"/>
    </w:lvl>
    <w:lvl w:ilvl="1">
      <w:lvlJc w:val="left"/>
      <w:lvlText w:val="(%2)"/>
      <w:numFmt w:val="lowerLetter"/>
      <w:start w:val="1"/>
    </w:lvl>
  </w:abstractNum>
  <w:abstractNum w:abstractNumId="235">
    <w:nsid w:val="50528108"/>
    <w:multiLevelType w:val="hybridMultilevel"/>
    <w:lvl w:ilvl="0">
      <w:lvlJc w:val="left"/>
      <w:lvlText w:val="%1"/>
      <w:numFmt w:val="lowerRoman"/>
      <w:start w:val="1"/>
    </w:lvl>
    <w:lvl w:ilvl="1">
      <w:lvlJc w:val="left"/>
      <w:lvlText w:val="(%2)"/>
      <w:numFmt w:val="lowerLetter"/>
      <w:start w:val="6"/>
    </w:lvl>
  </w:abstractNum>
  <w:abstractNum w:abstractNumId="236">
    <w:nsid w:val="21857A57"/>
    <w:multiLevelType w:val="hybridMultilevel"/>
    <w:lvl w:ilvl="0">
      <w:lvlJc w:val="left"/>
      <w:lvlText w:val="(%1)"/>
      <w:numFmt w:val="lowerRoman"/>
      <w:start w:val="2"/>
    </w:lvl>
    <w:lvl w:ilvl="1">
      <w:lvlJc w:val="left"/>
      <w:lvlText w:val="(%2)"/>
      <w:numFmt w:val="lowerLetter"/>
      <w:start w:val="8"/>
    </w:lvl>
  </w:abstractNum>
  <w:abstractNum w:abstractNumId="237">
    <w:nsid w:val="5FD4B154"/>
    <w:multiLevelType w:val="hybridMultilevel"/>
    <w:lvl w:ilvl="0">
      <w:lvlJc w:val="left"/>
      <w:lvlText w:val="(%1)"/>
      <w:numFmt w:val="lowerLetter"/>
      <w:start w:val="11"/>
    </w:lvl>
  </w:abstractNum>
  <w:abstractNum w:abstractNumId="238">
    <w:nsid w:val="4ABE597"/>
    <w:multiLevelType w:val="hybridMultilevel"/>
    <w:lvl w:ilvl="0">
      <w:lvlJc w:val="left"/>
      <w:lvlText w:val="(%1)"/>
      <w:numFmt w:val="lowerLetter"/>
      <w:start w:val="14"/>
    </w:lvl>
  </w:abstractNum>
  <w:abstractNum w:abstractNumId="239">
    <w:nsid w:val="5C64AD75"/>
    <w:multiLevelType w:val="hybridMultilevel"/>
    <w:lvl w:ilvl="0">
      <w:lvlJc w:val="left"/>
      <w:lvlText w:val="(%1)"/>
      <w:numFmt w:val="lowerLetter"/>
      <w:start w:val="23"/>
    </w:lvl>
  </w:abstractNum>
  <w:abstractNum w:abstractNumId="240">
    <w:nsid w:val="2CDD5B39"/>
    <w:multiLevelType w:val="hybridMultilevel"/>
    <w:lvl w:ilvl="0">
      <w:lvlJc w:val="left"/>
      <w:lvlText w:val="(%1)"/>
      <w:numFmt w:val="lowerLetter"/>
      <w:start w:val="27"/>
    </w:lvl>
  </w:abstractNum>
  <w:abstractNum w:abstractNumId="241">
    <w:nsid w:val="6F9EA0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2">
    <w:nsid w:val="247FC4AE"/>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243">
    <w:nsid w:val="46C01B05"/>
    <w:multiLevelType w:val="hybridMultilevel"/>
    <w:lvl w:ilvl="0">
      <w:lvlJc w:val="left"/>
      <w:lvlText w:val="%1."/>
      <w:numFmt w:val="decimal"/>
      <w:start w:val="6"/>
    </w:lvl>
  </w:abstractNum>
  <w:abstractNum w:abstractNumId="244">
    <w:nsid w:val="566EC29B"/>
    <w:multiLevelType w:val="hybridMultilevel"/>
    <w:lvl w:ilvl="0">
      <w:lvlJc w:val="left"/>
      <w:lvlText w:val="%1."/>
      <w:numFmt w:val="decimal"/>
      <w:start w:val="2"/>
    </w:lvl>
  </w:abstractNum>
  <w:abstractNum w:abstractNumId="245">
    <w:nsid w:val="7A963843"/>
    <w:multiLevelType w:val="hybridMultilevel"/>
    <w:lvl w:ilvl="0">
      <w:lvlJc w:val="left"/>
      <w:lvlText w:val="%1."/>
      <w:numFmt w:val="decimal"/>
      <w:start w:val="2"/>
    </w:lvl>
  </w:abstractNum>
  <w:abstractNum w:abstractNumId="246">
    <w:nsid w:val="4FE12F61"/>
    <w:multiLevelType w:val="hybridMultilevel"/>
    <w:lvl w:ilvl="0">
      <w:lvlJc w:val="left"/>
      <w:lvlText w:val="%1."/>
      <w:numFmt w:val="decimal"/>
      <w:start w:val="2"/>
    </w:lvl>
  </w:abstractNum>
  <w:abstractNum w:abstractNumId="247">
    <w:nsid w:val="51A3A284"/>
    <w:multiLevelType w:val="hybridMultilevel"/>
    <w:lvl w:ilvl="0">
      <w:lvlJc w:val="left"/>
      <w:lvlText w:val="%1."/>
      <w:numFmt w:val="decimal"/>
      <w:start w:val="2"/>
    </w:lvl>
  </w:abstractNum>
  <w:abstractNum w:abstractNumId="248">
    <w:nsid w:val="376863BC"/>
    <w:multiLevelType w:val="hybridMultilevel"/>
    <w:lvl w:ilvl="0">
      <w:lvlJc w:val="left"/>
      <w:lvlText w:val="%1."/>
      <w:numFmt w:val="decimal"/>
      <w:start w:val="2"/>
    </w:lvl>
  </w:abstractNum>
  <w:abstractNum w:abstractNumId="249">
    <w:nsid w:val="118C6C0"/>
    <w:multiLevelType w:val="hybridMultilevel"/>
    <w:lvl w:ilvl="0">
      <w:lvlJc w:val="left"/>
      <w:lvlText w:val="%1."/>
      <w:numFmt w:val="decimal"/>
      <w:start w:val="2"/>
    </w:lvl>
  </w:abstractNum>
  <w:abstractNum w:abstractNumId="250">
    <w:nsid w:val="7F7E4A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1">
    <w:nsid w:val="2E8E9F47"/>
    <w:multiLevelType w:val="hybridMultilevel"/>
    <w:lvl w:ilvl="0">
      <w:lvlJc w:val="left"/>
      <w:lvlText w:val="(%1)"/>
      <w:numFmt w:val="lowerRoman"/>
      <w:start w:val="2"/>
    </w:lvl>
  </w:abstractNum>
  <w:abstractNum w:abstractNumId="252">
    <w:nsid w:val="767425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3">
    <w:nsid w:val="CB55FF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54">
    <w:nsid w:val="21DF319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5">
    <w:nsid w:val="6687F34D"/>
    <w:multiLevelType w:val="hybridMultilevel"/>
    <w:lvl w:ilvl="0">
      <w:lvlJc w:val="left"/>
      <w:lvlText w:val="%1."/>
      <w:numFmt w:val="decimal"/>
      <w:start w:val="4"/>
    </w:lvl>
    <w:lvl w:ilvl="1">
      <w:lvlJc w:val="left"/>
      <w:lvlText w:val="(%2)"/>
      <w:numFmt w:val="lowerLetter"/>
      <w:start w:val="1"/>
    </w:lvl>
  </w:abstractNum>
  <w:abstractNum w:abstractNumId="256">
    <w:nsid w:val="25415B0C"/>
    <w:multiLevelType w:val="hybridMultilevel"/>
    <w:lvl w:ilvl="0">
      <w:lvlJc w:val="left"/>
      <w:lvlText w:val="%1."/>
      <w:numFmt w:val="decimal"/>
      <w:start w:val="5"/>
    </w:lvl>
    <w:lvl w:ilvl="1">
      <w:lvlJc w:val="left"/>
      <w:lvlText w:val="(%2)"/>
      <w:numFmt w:val="lowerLetter"/>
      <w:start w:val="1"/>
    </w:lvl>
  </w:abstractNum>
  <w:abstractNum w:abstractNumId="257">
    <w:nsid w:val="17CFC87D"/>
    <w:multiLevelType w:val="hybridMultilevel"/>
    <w:lvl w:ilvl="0">
      <w:lvlJc w:val="left"/>
      <w:lvlText w:val="%1"/>
      <w:numFmt w:val="decimal"/>
      <w:start w:val="1"/>
    </w:lvl>
    <w:lvl w:ilvl="1">
      <w:lvlJc w:val="left"/>
      <w:lvlText w:val="(%2)"/>
      <w:numFmt w:val="lowerLetter"/>
      <w:start w:val="2"/>
    </w:lvl>
  </w:abstractNum>
  <w:abstractNum w:abstractNumId="258">
    <w:nsid w:val="5D66DC65"/>
    <w:multiLevelType w:val="hybridMultilevel"/>
    <w:lvl w:ilvl="0">
      <w:lvlJc w:val="left"/>
      <w:lvlText w:val="%1."/>
      <w:numFmt w:val="decimal"/>
      <w:start w:val="7"/>
    </w:lvl>
    <w:lvl w:ilvl="1">
      <w:lvlJc w:val="left"/>
      <w:lvlText w:val="(%2)"/>
      <w:numFmt w:val="lowerLetter"/>
      <w:start w:val="1"/>
    </w:lvl>
  </w:abstractNum>
  <w:abstractNum w:abstractNumId="259">
    <w:nsid w:val="30BB2B99"/>
    <w:multiLevelType w:val="hybridMultilevel"/>
    <w:lvl w:ilvl="0">
      <w:lvlJc w:val="left"/>
      <w:lvlText w:val="(%1)"/>
      <w:numFmt w:val="lowerLetter"/>
      <w:start w:val="4"/>
    </w:lvl>
  </w:abstractNum>
  <w:abstractNum w:abstractNumId="260">
    <w:nsid w:val="E3DFE6"/>
    <w:multiLevelType w:val="hybridMultilevel"/>
    <w:lvl w:ilvl="0">
      <w:lvlJc w:val="left"/>
      <w:lvlText w:val="%1."/>
      <w:numFmt w:val="decimal"/>
      <w:start w:val="1"/>
    </w:lvl>
    <w:lvl w:ilvl="1">
      <w:lvlJc w:val="left"/>
      <w:lvlText w:val="(%2)"/>
      <w:numFmt w:val="lowerLetter"/>
      <w:start w:val="1"/>
    </w:lvl>
  </w:abstractNum>
  <w:abstractNum w:abstractNumId="261">
    <w:nsid w:val="595B37F3"/>
    <w:multiLevelType w:val="hybridMultilevel"/>
    <w:lvl w:ilvl="0">
      <w:lvlJc w:val="left"/>
      <w:lvlText w:val="%1"/>
      <w:numFmt w:val="decimal"/>
      <w:start w:val="1"/>
    </w:lvl>
    <w:lvl w:ilvl="1">
      <w:lvlJc w:val="left"/>
      <w:lvlText w:val="(%2)"/>
      <w:numFmt w:val="lowerLetter"/>
      <w:start w:val="3"/>
    </w:lvl>
  </w:abstractNum>
  <w:abstractNum w:abstractNumId="262">
    <w:nsid w:val="71DB7E02"/>
    <w:multiLevelType w:val="hybridMultilevel"/>
    <w:lvl w:ilvl="0">
      <w:lvlJc w:val="left"/>
      <w:lvlText w:val="%1."/>
      <w:numFmt w:val="decimal"/>
      <w:start w:val="4"/>
    </w:lvl>
    <w:lvl w:ilvl="1">
      <w:lvlJc w:val="left"/>
      <w:lvlText w:val="%2"/>
      <w:numFmt w:val="lowerLetter"/>
      <w:start w:val="1"/>
    </w:lvl>
  </w:abstractNum>
  <w:abstractNum w:abstractNumId="263">
    <w:nsid w:val="17EC0C4"/>
    <w:multiLevelType w:val="hybridMultilevel"/>
    <w:lvl w:ilvl="0">
      <w:lvlJc w:val="left"/>
      <w:lvlText w:val="%1."/>
      <w:numFmt w:val="decimal"/>
      <w:start w:val="1"/>
    </w:lvl>
    <w:lvl w:ilvl="1">
      <w:lvlJc w:val="left"/>
      <w:lvlText w:val="(%2)"/>
      <w:numFmt w:val="lowerLetter"/>
      <w:start w:val="1"/>
    </w:lvl>
  </w:abstractNum>
  <w:abstractNum w:abstractNumId="264">
    <w:nsid w:val="7173BB22"/>
    <w:multiLevelType w:val="hybridMultilevel"/>
    <w:lvl w:ilvl="0">
      <w:lvlJc w:val="left"/>
      <w:lvlText w:val="%1."/>
      <w:numFmt w:val="decimal"/>
      <w:start w:val="2"/>
    </w:lvl>
    <w:lvl w:ilvl="1">
      <w:lvlJc w:val="left"/>
      <w:lvlText w:val="(%2)"/>
      <w:numFmt w:val="lowerLetter"/>
      <w:start w:val="1"/>
    </w:lvl>
  </w:abstractNum>
  <w:abstractNum w:abstractNumId="265">
    <w:nsid w:val="169E1DD3"/>
    <w:multiLevelType w:val="hybridMultilevel"/>
    <w:lvl w:ilvl="0">
      <w:lvlJc w:val="left"/>
      <w:lvlText w:val="(%1)"/>
      <w:numFmt w:val="lowerLetter"/>
      <w:start w:val="1"/>
    </w:lvl>
  </w:abstractNum>
  <w:abstractNum w:abstractNumId="266">
    <w:nsid w:val="51D141CC"/>
    <w:multiLevelType w:val="hybridMultilevel"/>
    <w:lvl w:ilvl="0">
      <w:lvlJc w:val="left"/>
      <w:lvlText w:val="%1"/>
      <w:numFmt w:val="decimal"/>
      <w:start w:val="1"/>
    </w:lvl>
    <w:lvl w:ilvl="1">
      <w:lvlJc w:val="left"/>
      <w:lvlText w:val="(%2)"/>
      <w:numFmt w:val="lowerLetter"/>
      <w:start w:val="2"/>
    </w:lvl>
  </w:abstractNum>
  <w:abstractNum w:abstractNumId="267">
    <w:nsid w:val="12F9357A"/>
    <w:multiLevelType w:val="hybridMultilevel"/>
    <w:lvl w:ilvl="0">
      <w:lvlJc w:val="left"/>
      <w:lvlText w:val="%1."/>
      <w:numFmt w:val="decimal"/>
      <w:start w:val="5"/>
    </w:lvl>
    <w:lvl w:ilvl="1">
      <w:lvlJc w:val="left"/>
      <w:lvlText w:val="(%2)"/>
      <w:numFmt w:val="lowerLetter"/>
      <w:start w:val="1"/>
    </w:lvl>
  </w:abstractNum>
  <w:abstractNum w:abstractNumId="268">
    <w:nsid w:val="7672CF28"/>
    <w:multiLevelType w:val="hybridMultilevel"/>
    <w:lvl w:ilvl="0">
      <w:lvlJc w:val="left"/>
      <w:lvlText w:val="%1"/>
      <w:numFmt w:val="decimal"/>
      <w:start w:val="1"/>
    </w:lvl>
    <w:lvl w:ilvl="1">
      <w:lvlJc w:val="left"/>
      <w:lvlText w:val="(%2)"/>
      <w:numFmt w:val="lowerLetter"/>
      <w:start w:val="2"/>
    </w:lvl>
  </w:abstractNum>
  <w:abstractNum w:abstractNumId="269">
    <w:nsid w:val="567D2763"/>
    <w:multiLevelType w:val="hybridMultilevel"/>
    <w:lvl w:ilvl="0">
      <w:lvlJc w:val="left"/>
      <w:lvlText w:val="%1."/>
      <w:numFmt w:val="decimal"/>
      <w:start w:val="6"/>
    </w:lvl>
    <w:lvl w:ilvl="1">
      <w:lvlJc w:val="left"/>
      <w:lvlText w:val="(%2)"/>
      <w:numFmt w:val="lowerLetter"/>
      <w:start w:val="1"/>
    </w:lvl>
  </w:abstractNum>
  <w:abstractNum w:abstractNumId="270">
    <w:nsid w:val="6F5DE2EF"/>
    <w:multiLevelType w:val="hybridMultilevel"/>
    <w:lvl w:ilvl="0">
      <w:lvlJc w:val="left"/>
      <w:lvlText w:val="%1"/>
      <w:numFmt w:val="decimal"/>
      <w:start w:val="1"/>
    </w:lvl>
    <w:lvl w:ilvl="1">
      <w:lvlJc w:val="left"/>
      <w:lvlText w:val="(%2)"/>
      <w:numFmt w:val="lowerLetter"/>
      <w:start w:val="4"/>
    </w:lvl>
  </w:abstractNum>
  <w:abstractNum w:abstractNumId="271">
    <w:nsid w:val="23502A61"/>
    <w:multiLevelType w:val="hybridMultilevel"/>
    <w:lvl w:ilvl="0">
      <w:lvlJc w:val="left"/>
      <w:lvlText w:val="%1."/>
      <w:numFmt w:val="decimal"/>
      <w:start w:val="7"/>
    </w:lvl>
    <w:lvl w:ilvl="1">
      <w:lvlJc w:val="left"/>
      <w:lvlText w:val="(%2)"/>
      <w:numFmt w:val="lowerLetter"/>
      <w:start w:val="1"/>
    </w:lvl>
  </w:abstractNum>
  <w:abstractNum w:abstractNumId="272">
    <w:nsid w:val="461BC834"/>
    <w:multiLevelType w:val="hybridMultilevel"/>
    <w:lvl w:ilvl="0">
      <w:lvlJc w:val="left"/>
      <w:lvlText w:val="(%1)"/>
      <w:numFmt w:val="lowerLetter"/>
      <w:start w:val="6"/>
    </w:lvl>
  </w:abstractNum>
  <w:abstractNum w:abstractNumId="273">
    <w:nsid w:val="13DDA79D"/>
    <w:multiLevelType w:val="hybridMultilevel"/>
    <w:lvl w:ilvl="0">
      <w:lvlJc w:val="left"/>
      <w:lvlText w:val="("/>
      <w:numFmt w:val="bullet"/>
      <w:start w:val="1"/>
    </w:lvl>
  </w:abstractNum>
  <w:abstractNum w:abstractNumId="274">
    <w:nsid w:val="6A104566"/>
    <w:multiLevelType w:val="hybridMultilevel"/>
    <w:lvl w:ilvl="0">
      <w:lvlJc w:val="left"/>
      <w:lvlText w:val="%1."/>
      <w:numFmt w:val="decimal"/>
      <w:start w:val="1"/>
    </w:lvl>
    <w:lvl w:ilvl="1">
      <w:lvlJc w:val="left"/>
      <w:lvlText w:val="(%2)"/>
      <w:numFmt w:val="lowerLetter"/>
      <w:start w:val="1"/>
    </w:lvl>
  </w:abstractNum>
  <w:abstractNum w:abstractNumId="275">
    <w:nsid w:val="1C8A8ACF"/>
    <w:multiLevelType w:val="hybridMultilevel"/>
    <w:lvl w:ilvl="0">
      <w:lvlJc w:val="left"/>
      <w:lvlText w:val="%1."/>
      <w:numFmt w:val="decimal"/>
      <w:start w:val="2"/>
    </w:lvl>
    <w:lvl w:ilvl="1">
      <w:lvlJc w:val="left"/>
      <w:lvlText w:val="(%2)"/>
      <w:numFmt w:val="lowerLetter"/>
      <w:start w:val="1"/>
    </w:lvl>
  </w:abstractNum>
  <w:abstractNum w:abstractNumId="276">
    <w:nsid w:val="E73DFE0"/>
    <w:multiLevelType w:val="hybridMultilevel"/>
    <w:lvl w:ilvl="0">
      <w:lvlJc w:val="left"/>
      <w:lvlText w:val="(%1)"/>
      <w:numFmt w:val="lowerLetter"/>
      <w:start w:val="4"/>
    </w:lvl>
  </w:abstractNum>
  <w:abstractNum w:abstractNumId="277">
    <w:nsid w:val="39F174C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78">
    <w:nsid w:val="6E2E2D53"/>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7"/>
    </w:lvl>
  </w:abstractNum>
  <w:abstractNum w:abstractNumId="279">
    <w:nsid w:val="45DC439D"/>
    <w:multiLevelType w:val="hybridMultilevel"/>
    <w:lvl w:ilvl="0">
      <w:lvlJc w:val="left"/>
      <w:lvlText w:val="(%1)"/>
      <w:numFmt w:val="lowerLetter"/>
      <w:start w:val="1"/>
    </w:lvl>
  </w:abstractNum>
  <w:abstractNum w:abstractNumId="280">
    <w:nsid w:val="3B0A3B87"/>
    <w:multiLevelType w:val="hybridMultilevel"/>
    <w:lvl w:ilvl="0">
      <w:lvlJc w:val="left"/>
      <w:lvlText w:val="%1"/>
      <w:numFmt w:val="decimal"/>
      <w:start w:val="1"/>
    </w:lvl>
    <w:lvl w:ilvl="1">
      <w:lvlJc w:val="left"/>
      <w:lvlText w:val="(%2)"/>
      <w:numFmt w:val="lowerLetter"/>
      <w:start w:val="2"/>
    </w:lvl>
  </w:abstractNum>
  <w:abstractNum w:abstractNumId="281">
    <w:nsid w:val="6DAC7768"/>
    <w:multiLevelType w:val="hybridMultilevel"/>
    <w:lvl w:ilvl="0">
      <w:lvlJc w:val="left"/>
      <w:lvlText w:val="%1."/>
      <w:numFmt w:val="decimal"/>
      <w:start w:val="5"/>
    </w:lvl>
    <w:lvl w:ilvl="1">
      <w:lvlJc w:val="left"/>
      <w:lvlText w:val="(%2)"/>
      <w:numFmt w:val="lowerLetter"/>
      <w:start w:val="1"/>
    </w:lvl>
  </w:abstractNum>
  <w:abstractNum w:abstractNumId="282">
    <w:nsid w:val="746AE2E4"/>
    <w:multiLevelType w:val="hybridMultilevel"/>
    <w:lvl w:ilvl="0">
      <w:lvlJc w:val="left"/>
      <w:lvlText w:val="%1"/>
      <w:numFmt w:val="decimal"/>
      <w:start w:val="1"/>
    </w:lvl>
    <w:lvl w:ilvl="1">
      <w:lvlJc w:val="left"/>
      <w:lvlText w:val="(%2)"/>
      <w:numFmt w:val="lowerLetter"/>
      <w:start w:val="2"/>
    </w:lvl>
  </w:abstractNum>
  <w:abstractNum w:abstractNumId="283">
    <w:nsid w:val="317E611D"/>
    <w:multiLevelType w:val="hybridMultilevel"/>
    <w:lvl w:ilvl="0">
      <w:lvlJc w:val="left"/>
      <w:lvlText w:val="%1."/>
      <w:numFmt w:val="decimal"/>
      <w:start w:val="6"/>
    </w:lvl>
    <w:lvl w:ilvl="1">
      <w:lvlJc w:val="left"/>
      <w:lvlText w:val="(%2)"/>
      <w:numFmt w:val="lowerLetter"/>
      <w:start w:val="1"/>
    </w:lvl>
  </w:abstractNum>
  <w:abstractNum w:abstractNumId="284">
    <w:nsid w:val="7A61D75B"/>
    <w:multiLevelType w:val="hybridMultilevel"/>
    <w:lvl w:ilvl="0">
      <w:lvlJc w:val="left"/>
      <w:lvlText w:val="%1"/>
      <w:numFmt w:val="decimal"/>
      <w:start w:val="1"/>
    </w:lvl>
    <w:lvl w:ilvl="1">
      <w:lvlJc w:val="left"/>
      <w:lvlText w:val="(%2)"/>
      <w:numFmt w:val="lowerLetter"/>
      <w:start w:val="5"/>
    </w:lvl>
  </w:abstractNum>
  <w:abstractNum w:abstractNumId="285">
    <w:nsid w:val="164A1482"/>
    <w:multiLevelType w:val="hybridMultilevel"/>
    <w:lvl w:ilvl="0">
      <w:lvlJc w:val="left"/>
      <w:lvlText w:val="%1."/>
      <w:numFmt w:val="decimal"/>
      <w:start w:val="7"/>
    </w:lvl>
    <w:lvl w:ilvl="1">
      <w:lvlJc w:val="left"/>
      <w:lvlText w:val="(%2)"/>
      <w:numFmt w:val="lowerLetter"/>
      <w:start w:val="1"/>
    </w:lvl>
  </w:abstractNum>
  <w:abstractNum w:abstractNumId="286">
    <w:nsid w:val="1806546B"/>
    <w:multiLevelType w:val="hybridMultilevel"/>
    <w:lvl w:ilvl="0">
      <w:lvlJc w:val="left"/>
      <w:lvlText w:val="(%1)"/>
      <w:numFmt w:val="lowerLetter"/>
      <w:start w:val="7"/>
    </w:lvl>
  </w:abstractNum>
  <w:abstractNum w:abstractNumId="287">
    <w:nsid w:val="1FA33267"/>
    <w:multiLevelType w:val="hybridMultilevel"/>
    <w:lvl w:ilvl="0">
      <w:lvlJc w:val="left"/>
      <w:lvlText w:val=","/>
      <w:numFmt w:val="bullet"/>
      <w:start w:val="1"/>
    </w:lvl>
  </w:abstractNum>
  <w:abstractNum w:abstractNumId="288">
    <w:nsid w:val="2E19DD00"/>
    <w:multiLevelType w:val="hybridMultilevel"/>
    <w:lvl w:ilvl="0">
      <w:lvlJc w:val="left"/>
      <w:lvlText w:val="(%1)"/>
      <w:numFmt w:val="lowerLetter"/>
      <w:start w:val="1"/>
    </w:lvl>
  </w:abstractNum>
  <w:abstractNum w:abstractNumId="289">
    <w:nsid w:val="756D30D0"/>
    <w:multiLevelType w:val="hybridMultilevel"/>
    <w:lvl w:ilvl="0">
      <w:lvlJc w:val="left"/>
      <w:lvlText w:val="(%1)"/>
      <w:numFmt w:val="lowerLetter"/>
      <w:start w:val="1"/>
    </w:lvl>
  </w:abstractNum>
  <w:abstractNum w:abstractNumId="290">
    <w:nsid w:val="505E5E01"/>
    <w:multiLevelType w:val="hybridMultilevel"/>
    <w:lvl w:ilvl="0">
      <w:lvlJc w:val="left"/>
      <w:lvlText w:val="(%1)"/>
      <w:numFmt w:val="lowerLetter"/>
      <w:start w:val="2"/>
    </w:lvl>
  </w:abstractNum>
  <w:abstractNum w:abstractNumId="291">
    <w:nsid w:val="2EFDBCE6"/>
    <w:multiLevelType w:val="hybridMultilevel"/>
    <w:lvl w:ilvl="0">
      <w:lvlJc w:val="left"/>
      <w:lvlText w:val="(%1)"/>
      <w:numFmt w:val="lowerLetter"/>
      <w:start w:val="1"/>
    </w:lvl>
  </w:abstractNum>
  <w:abstractNum w:abstractNumId="292">
    <w:nsid w:val="4EC868C4"/>
    <w:multiLevelType w:val="hybridMultilevel"/>
    <w:lvl w:ilvl="0">
      <w:lvlJc w:val="left"/>
      <w:lvlText w:val="(%1)"/>
      <w:numFmt w:val="lowerLetter"/>
      <w:start w:val="1"/>
    </w:lvl>
  </w:abstractNum>
  <w:abstractNum w:abstractNumId="293">
    <w:nsid w:val="4239DC03"/>
    <w:multiLevelType w:val="hybridMultilevel"/>
    <w:lvl w:ilvl="0">
      <w:lvlJc w:val="left"/>
      <w:lvlText w:val="(%1)"/>
      <w:numFmt w:val="lowerRoman"/>
      <w:start w:val="2"/>
    </w:lvl>
  </w:abstractNum>
  <w:abstractNum w:abstractNumId="294">
    <w:nsid w:val="307C7DAA"/>
    <w:multiLevelType w:val="hybridMultilevel"/>
    <w:lvl w:ilvl="0">
      <w:lvlJc w:val="left"/>
      <w:lvlText w:val="(%1)"/>
      <w:numFmt w:val="lowerLetter"/>
      <w:start w:val="1"/>
    </w:lvl>
  </w:abstractNum>
  <w:abstractNum w:abstractNumId="295">
    <w:nsid w:val="403C23E6"/>
    <w:multiLevelType w:val="hybridMultilevel"/>
    <w:lvl w:ilvl="0">
      <w:lvlJc w:val="left"/>
      <w:lvlText w:val="(%1)"/>
      <w:numFmt w:val="lowerLetter"/>
      <w:start w:val="2"/>
    </w:lvl>
  </w:abstractNum>
  <w:abstractNum w:abstractNumId="296">
    <w:nsid w:val="58D7F9D7"/>
    <w:multiLevelType w:val="hybridMultilevel"/>
    <w:lvl w:ilvl="0">
      <w:lvlJc w:val="left"/>
      <w:lvlText w:val="(%1)"/>
      <w:numFmt w:val="lowerLetter"/>
      <w:start w:val="1"/>
    </w:lvl>
    <w:lvl w:ilvl="1">
      <w:lvlJc w:val="left"/>
      <w:lvlText w:val="(%2)"/>
      <w:numFmt w:val="lowerRoman"/>
      <w:start w:val="1"/>
    </w:lvl>
  </w:abstractNum>
  <w:abstractNum w:abstractNumId="297">
    <w:nsid w:val="24DBF76"/>
    <w:multiLevelType w:val="hybridMultilevel"/>
    <w:lvl w:ilvl="0">
      <w:lvlJc w:val="left"/>
      <w:lvlText w:val="(%1)"/>
      <w:numFmt w:val="lowerLetter"/>
      <w:start w:val="1"/>
    </w:lvl>
  </w:abstractNum>
  <w:abstractNum w:abstractNumId="298">
    <w:nsid w:val="53355960"/>
    <w:multiLevelType w:val="hybridMultilevel"/>
    <w:lvl w:ilvl="0">
      <w:lvlJc w:val="left"/>
      <w:lvlText w:val="(%1)"/>
      <w:numFmt w:val="lowerLetter"/>
      <w:start w:val="1"/>
    </w:lvl>
  </w:abstractNum>
  <w:abstractNum w:abstractNumId="299">
    <w:nsid w:val="4F4AC8FF"/>
    <w:multiLevelType w:val="hybridMultilevel"/>
    <w:lvl w:ilvl="0">
      <w:lvlJc w:val="left"/>
      <w:lvlText w:val="(%1)"/>
      <w:numFmt w:val="lowerLetter"/>
      <w:start w:val="1"/>
    </w:lvl>
  </w:abstractNum>
  <w:abstractNum w:abstractNumId="300">
    <w:nsid w:val="58CAE6D9"/>
    <w:multiLevelType w:val="hybridMultilevel"/>
    <w:lvl w:ilvl="0">
      <w:lvlJc w:val="left"/>
      <w:lvlText w:val="(%1)"/>
      <w:numFmt w:val="lowerLetter"/>
      <w:start w:val="2"/>
    </w:lvl>
  </w:abstractNum>
  <w:abstractNum w:abstractNumId="301">
    <w:nsid w:val="42933C4F"/>
    <w:multiLevelType w:val="hybridMultilevel"/>
    <w:lvl w:ilvl="0">
      <w:lvlJc w:val="left"/>
      <w:lvlText w:val="(%1)"/>
      <w:numFmt w:val="lowerLetter"/>
      <w:start w:val="1"/>
    </w:lvl>
  </w:abstractNum>
  <w:abstractNum w:abstractNumId="302">
    <w:nsid w:val="729AF360"/>
    <w:multiLevelType w:val="hybridMultilevel"/>
    <w:lvl w:ilvl="0">
      <w:lvlJc w:val="left"/>
      <w:lvlText w:val="(%1)"/>
      <w:numFmt w:val="lowerLetter"/>
      <w:start w:val="3"/>
    </w:lvl>
    <w:lvl w:ilvl="1">
      <w:lvlJc w:val="left"/>
      <w:lvlText w:val="(%2)"/>
      <w:numFmt w:val="lowerRoman"/>
      <w:start w:val="1"/>
    </w:lvl>
  </w:abstractNum>
  <w:abstractNum w:abstractNumId="303">
    <w:nsid w:val="1EE6AF0D"/>
    <w:multiLevelType w:val="hybridMultilevel"/>
    <w:lvl w:ilvl="0">
      <w:lvlJc w:val="left"/>
      <w:lvlText w:val="(%1)"/>
      <w:numFmt w:val="lowerLetter"/>
      <w:start w:val="1"/>
    </w:lvl>
  </w:abstractNum>
  <w:abstractNum w:abstractNumId="304">
    <w:nsid w:val="5670E3ED"/>
    <w:multiLevelType w:val="hybridMultilevel"/>
    <w:lvl w:ilvl="0">
      <w:lvlJc w:val="left"/>
      <w:lvlText w:val="(%1)"/>
      <w:numFmt w:val="lowerLetter"/>
      <w:start w:val="4"/>
    </w:lvl>
  </w:abstractNum>
  <w:abstractNum w:abstractNumId="305">
    <w:nsid w:val="5CAB38C6"/>
    <w:multiLevelType w:val="hybridMultilevel"/>
    <w:lvl w:ilvl="0">
      <w:lvlJc w:val="left"/>
      <w:lvlText w:val="(%1)"/>
      <w:numFmt w:val="lowerLetter"/>
      <w:start w:val="1"/>
    </w:lvl>
  </w:abstractNum>
  <w:abstractNum w:abstractNumId="306">
    <w:nsid w:val="3B7139DD"/>
    <w:multiLevelType w:val="hybridMultilevel"/>
    <w:lvl w:ilvl="0">
      <w:lvlJc w:val="left"/>
      <w:lvlText w:val="(%1)"/>
      <w:numFmt w:val="lowerLetter"/>
      <w:start w:val="4"/>
    </w:lvl>
  </w:abstractNum>
  <w:abstractNum w:abstractNumId="307">
    <w:nsid w:val="64E4C3CD"/>
    <w:multiLevelType w:val="hybridMultilevel"/>
    <w:lvl w:ilvl="0">
      <w:lvlJc w:val="left"/>
      <w:lvlText w:val="(%1)"/>
      <w:numFmt w:val="lowerLetter"/>
      <w:start w:val="1"/>
    </w:lvl>
  </w:abstractNum>
  <w:abstractNum w:abstractNumId="308">
    <w:nsid w:val="169CAD8D"/>
    <w:multiLevelType w:val="hybridMultilevel"/>
    <w:lvl w:ilvl="0">
      <w:lvlJc w:val="left"/>
      <w:lvlText w:val="(%1)"/>
      <w:numFmt w:val="lowerLetter"/>
      <w:start w:val="1"/>
    </w:lvl>
  </w:abstractNum>
  <w:abstractNum w:abstractNumId="309">
    <w:nsid w:val="299F6730"/>
    <w:multiLevelType w:val="hybridMultilevel"/>
    <w:lvl w:ilvl="0">
      <w:lvlJc w:val="left"/>
      <w:lvlText w:val="(%1)"/>
      <w:numFmt w:val="lowerLetter"/>
      <w:start w:val="2"/>
    </w:lvl>
  </w:abstractNum>
  <w:abstractNum w:abstractNumId="310">
    <w:nsid w:val="2AC1076A"/>
    <w:multiLevelType w:val="hybridMultilevel"/>
    <w:lvl w:ilvl="0">
      <w:lvlJc w:val="left"/>
      <w:lvlText w:val="(%1)"/>
      <w:numFmt w:val="lowerLetter"/>
      <w:start w:val="1"/>
    </w:lvl>
  </w:abstractNum>
  <w:abstractNum w:abstractNumId="311">
    <w:nsid w:val="51A6E915"/>
    <w:multiLevelType w:val="hybridMultilevel"/>
    <w:lvl w:ilvl="0">
      <w:lvlJc w:val="left"/>
      <w:lvlText w:val="(%1)"/>
      <w:numFmt w:val="lowerLetter"/>
      <w:start w:val="2"/>
    </w:lvl>
  </w:abstractNum>
  <w:abstractNum w:abstractNumId="312">
    <w:nsid w:val="174BDE99"/>
    <w:multiLevelType w:val="hybridMultilevel"/>
    <w:lvl w:ilvl="0">
      <w:lvlJc w:val="left"/>
      <w:lvlText w:val="(%1)"/>
      <w:numFmt w:val="lowerLetter"/>
      <w:start w:val="1"/>
    </w:lvl>
  </w:abstractNum>
  <w:abstractNum w:abstractNumId="313">
    <w:nsid w:val="1F2BEA4E"/>
    <w:multiLevelType w:val="hybridMultilevel"/>
    <w:lvl w:ilvl="0">
      <w:lvlJc w:val="left"/>
      <w:lvlText w:val="(%1)"/>
      <w:numFmt w:val="lowerLetter"/>
      <w:start w:val="4"/>
    </w:lvl>
  </w:abstractNum>
  <w:abstractNum w:abstractNumId="314">
    <w:nsid w:val="3254A32"/>
    <w:multiLevelType w:val="hybridMultilevel"/>
    <w:lvl w:ilvl="0">
      <w:lvlJc w:val="left"/>
      <w:lvlText w:val="(%1)"/>
      <w:numFmt w:val="lowerLetter"/>
      <w:start w:val="1"/>
    </w:lvl>
  </w:abstractNum>
  <w:abstractNum w:abstractNumId="315">
    <w:nsid w:val="11ADB5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6">
    <w:nsid w:val="3575FED1"/>
    <w:multiLevelType w:val="hybridMultilevel"/>
    <w:lvl w:ilvl="0">
      <w:lvlJc w:val="left"/>
      <w:lvlText w:val="%1."/>
      <w:numFmt w:val="decimal"/>
      <w:start w:val="2"/>
    </w:lvl>
  </w:abstractNum>
  <w:abstractNum w:abstractNumId="317">
    <w:nsid w:val="1B2B9E9D"/>
    <w:multiLevelType w:val="hybridMultilevel"/>
    <w:lvl w:ilvl="0">
      <w:lvlJc w:val="left"/>
      <w:lvlText w:val="%1"/>
      <w:numFmt w:val="lowerLetter"/>
      <w:start w:val="1"/>
    </w:lvl>
    <w:lvl w:ilvl="1">
      <w:lvlJc w:val="left"/>
      <w:lvlText w:val="(%2)"/>
      <w:numFmt w:val="lowerLetter"/>
      <w:start w:val="2"/>
    </w:lvl>
  </w:abstractNum>
  <w:abstractNum w:abstractNumId="318">
    <w:nsid w:val="3150E85C"/>
    <w:multiLevelType w:val="hybridMultilevel"/>
    <w:lvl w:ilvl="0">
      <w:lvlJc w:val="left"/>
      <w:lvlText w:val="(%1)"/>
      <w:numFmt w:val="lowerLetter"/>
      <w:start w:val="35"/>
    </w:lvl>
    <w:lvl w:ilvl="1">
      <w:lvlJc w:val="left"/>
      <w:lvlText w:val="%2"/>
      <w:numFmt w:val="lowerLetter"/>
      <w:start w:val="1"/>
    </w:lvl>
  </w:abstractNum>
  <w:abstractNum w:abstractNumId="319">
    <w:nsid w:val="638FDBD1"/>
    <w:multiLevelType w:val="hybridMultilevel"/>
    <w:lvl w:ilvl="0">
      <w:lvlJc w:val="left"/>
      <w:lvlText w:val="(%1)"/>
      <w:numFmt w:val="lowerLetter"/>
      <w:start w:val="3"/>
    </w:lvl>
    <w:lvl w:ilvl="1">
      <w:lvlJc w:val="left"/>
      <w:lvlText w:val="(%2)"/>
      <w:numFmt w:val="lowerRoman"/>
      <w:start w:val="1"/>
    </w:lvl>
  </w:abstractNum>
  <w:abstractNum w:abstractNumId="320">
    <w:nsid w:val="1098CF6E"/>
    <w:multiLevelType w:val="hybridMultilevel"/>
    <w:lvl w:ilvl="0">
      <w:lvlJc w:val="left"/>
      <w:lvlText w:val="%1."/>
      <w:numFmt w:val="decimal"/>
      <w:start w:val="3"/>
    </w:lvl>
  </w:abstractNum>
  <w:abstractNum w:abstractNumId="321">
    <w:nsid w:val="1AF465D"/>
    <w:multiLevelType w:val="hybridMultilevel"/>
    <w:lvl w:ilvl="0">
      <w:lvlJc w:val="left"/>
      <w:lvlText w:val="(%1)"/>
      <w:numFmt w:val="lowerRoman"/>
      <w:start w:val="4"/>
    </w:lvl>
  </w:abstractNum>
  <w:abstractNum w:abstractNumId="322">
    <w:nsid w:val="128D98B7"/>
    <w:multiLevelType w:val="hybridMultilevel"/>
    <w:lvl w:ilvl="0">
      <w:lvlJc w:val="left"/>
      <w:lvlText w:val="(%1)"/>
      <w:numFmt w:val="decimal"/>
      <w:start w:val="18"/>
    </w:lvl>
  </w:abstractNum>
  <w:abstractNum w:abstractNumId="323">
    <w:nsid w:val="5F613832"/>
    <w:multiLevelType w:val="hybridMultilevel"/>
    <w:lvl w:ilvl="0">
      <w:lvlJc w:val="left"/>
      <w:lvlText w:val="(%1)"/>
      <w:numFmt w:val="lowerRoman"/>
      <w:start w:val="1"/>
    </w:lvl>
  </w:abstractNum>
  <w:abstractNum w:abstractNumId="324">
    <w:nsid w:val="43E92260"/>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25">
    <w:nsid w:val="430A1662"/>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326">
    <w:nsid w:val="1F9D5C18"/>
    <w:multiLevelType w:val="hybridMultilevel"/>
    <w:lvl w:ilvl="0">
      <w:lvlJc w:val="left"/>
      <w:lvlText w:val="(%1)"/>
      <w:numFmt w:val="lowerRoman"/>
      <w:start w:val="6"/>
    </w:lvl>
  </w:abstractNum>
  <w:abstractNum w:abstractNumId="327">
    <w:nsid w:val="1CC11C37"/>
    <w:multiLevelType w:val="hybridMultilevel"/>
    <w:lvl w:ilvl="0">
      <w:lvlJc w:val="left"/>
      <w:lvlText w:val="(%1)"/>
      <w:numFmt w:val="lowerRoman"/>
      <w:start w:val="3"/>
    </w:lvl>
  </w:abstractNum>
  <w:abstractNum w:abstractNumId="328">
    <w:nsid w:val="4557D5D8"/>
    <w:multiLevelType w:val="hybridMultilevel"/>
    <w:lvl w:ilvl="0">
      <w:lvlJc w:val="left"/>
      <w:lvlText w:val="%1"/>
      <w:numFmt w:val="lowerLetter"/>
      <w:start w:val="1"/>
    </w:lvl>
    <w:lvl w:ilvl="1">
      <w:lvlJc w:val="left"/>
      <w:lvlText w:val="%2."/>
      <w:numFmt w:val="decimal"/>
      <w:start w:val="1"/>
    </w:lvl>
  </w:abstractNum>
  <w:abstractNum w:abstractNumId="329">
    <w:nsid w:val="72D2B579"/>
    <w:multiLevelType w:val="hybridMultilevel"/>
    <w:lvl w:ilvl="0">
      <w:lvlJc w:val="left"/>
      <w:lvlText w:val="(%1)"/>
      <w:numFmt w:val="lowerLetter"/>
      <w:start w:val="35"/>
    </w:lvl>
    <w:lvl w:ilvl="1">
      <w:lvlJc w:val="left"/>
      <w:lvlText w:val="%2."/>
      <w:numFmt w:val="decimal"/>
      <w:start w:val="3"/>
    </w:lvl>
  </w:abstractNum>
  <w:abstractNum w:abstractNumId="330">
    <w:nsid w:val="6C0BE536"/>
    <w:multiLevelType w:val="hybridMultilevel"/>
    <w:lvl w:ilvl="0">
      <w:lvlJc w:val="left"/>
      <w:lvlText w:val="(%1)"/>
      <w:numFmt w:val="lowerLetter"/>
      <w:start w:val="1"/>
    </w:lvl>
    <w:lvl w:ilvl="1">
      <w:lvlJc w:val="left"/>
      <w:lvlText w:val="%2"/>
      <w:numFmt w:val="decimal"/>
      <w:start w:val="1"/>
    </w:lvl>
  </w:abstractNum>
  <w:abstractNum w:abstractNumId="331">
    <w:nsid w:val="1E22BCB2"/>
    <w:multiLevelType w:val="hybridMultilevel"/>
    <w:lvl w:ilvl="0">
      <w:lvlJc w:val="left"/>
      <w:lvlText w:val="%1."/>
      <w:numFmt w:val="decimal"/>
      <w:start w:val="4"/>
    </w:lvl>
  </w:abstractNum>
  <w:abstractNum w:abstractNumId="332">
    <w:nsid w:val="3565F1C8"/>
    <w:multiLevelType w:val="hybridMultilevel"/>
    <w:lvl w:ilvl="0">
      <w:lvlJc w:val="left"/>
      <w:lvlText w:val="%1."/>
      <w:numFmt w:val="decimal"/>
      <w:start w:val="10"/>
    </w:lvl>
  </w:abstractNum>
  <w:abstractNum w:abstractNumId="333">
    <w:nsid w:val="5EA6D896"/>
    <w:multiLevelType w:val="hybridMultilevel"/>
    <w:lvl w:ilvl="0">
      <w:lvlJc w:val="left"/>
      <w:lvlText w:val="%1."/>
      <w:numFmt w:val="decimal"/>
      <w:start w:val="15"/>
    </w:lvl>
  </w:abstractNum>
  <w:abstractNum w:abstractNumId="334">
    <w:nsid w:val="3D096BBF"/>
    <w:multiLevelType w:val="hybridMultilevel"/>
    <w:lvl w:ilvl="0">
      <w:lvlJc w:val="left"/>
      <w:lvlText w:val="(%1)"/>
      <w:numFmt w:val="lowerLetter"/>
      <w:start w:val="1"/>
    </w:lvl>
  </w:abstractNum>
  <w:abstractNum w:abstractNumId="335">
    <w:nsid w:val="BD6D5B5"/>
    <w:multiLevelType w:val="hybridMultilevel"/>
    <w:lvl w:ilvl="0">
      <w:lvlJc w:val="left"/>
      <w:lvlText w:val="%1"/>
      <w:numFmt w:val="decimal"/>
      <w:start w:val="1"/>
    </w:lvl>
    <w:lvl w:ilvl="1">
      <w:lvlJc w:val="left"/>
      <w:lvlText w:val="(%2)"/>
      <w:numFmt w:val="lowerLetter"/>
      <w:start w:val="1"/>
    </w:lvl>
  </w:abstractNum>
  <w:abstractNum w:abstractNumId="336">
    <w:nsid w:val="3B52115C"/>
    <w:multiLevelType w:val="hybridMultilevel"/>
    <w:lvl w:ilvl="0">
      <w:lvlJc w:val="left"/>
      <w:lvlText w:val="(%1)"/>
      <w:numFmt w:val="decimal"/>
      <w:start w:val="2"/>
    </w:lvl>
    <w:lvl w:ilvl="1">
      <w:lvlJc w:val="left"/>
      <w:lvlText w:val="(%2)"/>
      <w:numFmt w:val="lowerLetter"/>
      <w:start w:val="2"/>
    </w:lvl>
  </w:abstractNum>
  <w:abstractNum w:abstractNumId="337">
    <w:nsid w:val="787AA59C"/>
    <w:multiLevelType w:val="hybridMultilevel"/>
    <w:lvl w:ilvl="0">
      <w:lvlJc w:val="left"/>
      <w:lvlText w:val="%1."/>
      <w:numFmt w:val="decimal"/>
      <w:start w:val="1"/>
    </w:lvl>
  </w:abstractNum>
  <w:abstractNum w:abstractNumId="338">
    <w:nsid w:val="70BB9983"/>
    <w:multiLevelType w:val="hybridMultilevel"/>
    <w:lvl w:ilvl="0">
      <w:lvlJc w:val="left"/>
      <w:lvlText w:val="X"/>
      <w:numFmt w:val="bullet"/>
      <w:start w:val="1"/>
    </w:lvl>
  </w:abstractNum>
  <w:abstractNum w:abstractNumId="339">
    <w:nsid w:val="51EEBEEA"/>
    <w:multiLevelType w:val="hybridMultilevel"/>
    <w:lvl w:ilvl="0">
      <w:lvlJc w:val="left"/>
      <w:lvlText w:val="%1."/>
      <w:numFmt w:val="decimal"/>
      <w:start w:val="2"/>
    </w:lvl>
  </w:abstractNum>
  <w:abstractNum w:abstractNumId="340">
    <w:nsid w:val="221A0CCD"/>
    <w:multiLevelType w:val="hybridMultilevel"/>
    <w:lvl w:ilvl="0">
      <w:lvlJc w:val="left"/>
      <w:lvlText w:val="X"/>
      <w:numFmt w:val="bullet"/>
      <w:start w:val="1"/>
    </w:lvl>
  </w:abstractNum>
  <w:abstractNum w:abstractNumId="341">
    <w:nsid w:val="1B7CA0ED"/>
    <w:multiLevelType w:val="hybridMultilevel"/>
    <w:lvl w:ilvl="0">
      <w:lvlJc w:val="left"/>
      <w:lvlText w:val="(%1)"/>
      <w:numFmt w:val="lowerRoman"/>
      <w:start w:val="3"/>
    </w:lvl>
  </w:abstractNum>
  <w:abstractNum w:abstractNumId="342">
    <w:nsid w:val="2395A7FF"/>
    <w:multiLevelType w:val="hybridMultilevel"/>
    <w:lvl w:ilvl="0">
      <w:lvlJc w:val="left"/>
      <w:lvlText w:val="(%1)"/>
      <w:numFmt w:val="lowerRoman"/>
      <w:start w:val="4"/>
    </w:lvl>
  </w:abstractNum>
  <w:abstractNum w:abstractNumId="343">
    <w:nsid w:val="3965EB66"/>
    <w:multiLevelType w:val="hybridMultilevel"/>
    <w:lvl w:ilvl="0">
      <w:lvlJc w:val="left"/>
      <w:lvlText w:val="(%1)"/>
      <w:numFmt w:val="lowerRoman"/>
      <w:start w:val="2"/>
    </w:lvl>
  </w:abstractNum>
  <w:abstractNum w:abstractNumId="344">
    <w:nsid w:val="3AA88B3C"/>
    <w:multiLevelType w:val="hybridMultilevel"/>
    <w:lvl w:ilvl="0">
      <w:lvlJc w:val="left"/>
      <w:lvlText w:val="(%1)"/>
      <w:numFmt w:val="lowerRoman"/>
      <w:start w:val="1"/>
    </w:lvl>
  </w:abstractNum>
  <w:abstractNum w:abstractNumId="345">
    <w:nsid w:val="26BAF231"/>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46">
    <w:nsid w:val="4B13A15A"/>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347">
    <w:nsid w:val="701E8A0D"/>
    <w:multiLevelType w:val="hybridMultilevel"/>
    <w:lvl w:ilvl="0">
      <w:lvlJc w:val="left"/>
      <w:lvlText w:val="(%1)"/>
      <w:numFmt w:val="lowerRoman"/>
      <w:start w:val="6"/>
    </w:lvl>
  </w:abstractNum>
  <w:abstractNum w:abstractNumId="348">
    <w:nsid w:val="41E690CF"/>
    <w:multiLevelType w:val="hybridMultilevel"/>
    <w:lvl w:ilvl="0">
      <w:lvlJc w:val="left"/>
      <w:lvlText w:val="(%1)"/>
      <w:numFmt w:val="lowerRoman"/>
      <w:start w:val="3"/>
    </w:lvl>
  </w:abstractNum>
  <w:abstractNum w:abstractNumId="349">
    <w:nsid w:val="7C6489B6"/>
    <w:multiLevelType w:val="hybridMultilevel"/>
    <w:lvl w:ilvl="0">
      <w:lvlJc w:val="left"/>
      <w:lvlText w:val="%1"/>
      <w:numFmt w:val="lowerLetter"/>
      <w:start w:val="1"/>
    </w:lvl>
    <w:lvl w:ilvl="1">
      <w:lvlJc w:val="left"/>
      <w:lvlText w:val="%2."/>
      <w:numFmt w:val="decimal"/>
      <w:start w:val="1"/>
    </w:lvl>
  </w:abstractNum>
  <w:abstractNum w:abstractNumId="350">
    <w:nsid w:val="53AE65DE"/>
    <w:multiLevelType w:val="hybridMultilevel"/>
    <w:lvl w:ilvl="0">
      <w:lvlJc w:val="left"/>
      <w:lvlText w:val="(%1)"/>
      <w:numFmt w:val="lowerLetter"/>
      <w:start w:val="35"/>
    </w:lvl>
    <w:lvl w:ilvl="1">
      <w:lvlJc w:val="left"/>
      <w:lvlText w:val="%2."/>
      <w:numFmt w:val="decimal"/>
      <w:start w:val="3"/>
    </w:lvl>
  </w:abstractNum>
  <w:abstractNum w:abstractNumId="351">
    <w:nsid w:val="527F603D"/>
    <w:multiLevelType w:val="hybridMultilevel"/>
    <w:lvl w:ilvl="0">
      <w:lvlJc w:val="left"/>
      <w:lvlText w:val="(%1)"/>
      <w:numFmt w:val="lowerLetter"/>
      <w:start w:val="1"/>
    </w:lvl>
    <w:lvl w:ilvl="1">
      <w:lvlJc w:val="left"/>
      <w:lvlText w:val="%2"/>
      <w:numFmt w:val="decimal"/>
      <w:start w:val="1"/>
    </w:lvl>
  </w:abstractNum>
  <w:abstractNum w:abstractNumId="352">
    <w:nsid w:val="7E13D013"/>
    <w:multiLevelType w:val="hybridMultilevel"/>
    <w:lvl w:ilvl="0">
      <w:lvlJc w:val="left"/>
      <w:lvlText w:val="%1."/>
      <w:numFmt w:val="decimal"/>
      <w:start w:val="4"/>
    </w:lvl>
  </w:abstractNum>
  <w:abstractNum w:abstractNumId="353">
    <w:nsid w:val="663BFE95"/>
    <w:multiLevelType w:val="hybridMultilevel"/>
    <w:lvl w:ilvl="0">
      <w:lvlJc w:val="left"/>
      <w:lvlText w:val="%1."/>
      <w:numFmt w:val="decimal"/>
      <w:start w:val="10"/>
    </w:lvl>
  </w:abstractNum>
  <w:abstractNum w:abstractNumId="354">
    <w:nsid w:val="31E0986F"/>
    <w:multiLevelType w:val="hybridMultilevel"/>
    <w:lvl w:ilvl="0">
      <w:lvlJc w:val="left"/>
      <w:lvlText w:val="%1."/>
      <w:numFmt w:val="decimal"/>
      <w:start w:val="15"/>
    </w:lvl>
  </w:abstractNum>
  <w:abstractNum w:abstractNumId="355">
    <w:nsid w:val="41FCF274"/>
    <w:multiLevelType w:val="hybridMultilevel"/>
    <w:lvl w:ilvl="0">
      <w:lvlJc w:val="left"/>
      <w:lvlText w:val="(%1)"/>
      <w:numFmt w:val="lowerLetter"/>
      <w:start w:val="1"/>
    </w:lvl>
  </w:abstractNum>
  <w:abstractNum w:abstractNumId="356">
    <w:nsid w:val="294614F7"/>
    <w:multiLevelType w:val="hybridMultilevel"/>
    <w:lvl w:ilvl="0">
      <w:lvlJc w:val="left"/>
      <w:lvlText w:val="%1"/>
      <w:numFmt w:val="decimal"/>
      <w:start w:val="1"/>
    </w:lvl>
    <w:lvl w:ilvl="1">
      <w:lvlJc w:val="left"/>
      <w:lvlText w:val="(%2)"/>
      <w:numFmt w:val="lowerLetter"/>
      <w:start w:val="1"/>
    </w:lvl>
  </w:abstractNum>
  <w:abstractNum w:abstractNumId="357">
    <w:nsid w:val="517DF487"/>
    <w:multiLevelType w:val="hybridMultilevel"/>
    <w:lvl w:ilvl="0">
      <w:lvlJc w:val="left"/>
      <w:lvlText w:val="(%1)"/>
      <w:numFmt w:val="decimal"/>
      <w:start w:val="2"/>
    </w:lvl>
    <w:lvl w:ilvl="1">
      <w:lvlJc w:val="left"/>
      <w:lvlText w:val="(%2)"/>
      <w:numFmt w:val="lowerLetter"/>
      <w:start w:val="2"/>
    </w:lvl>
  </w:abstractNum>
  <w:abstractNum w:abstractNumId="358">
    <w:nsid w:val="5EBE0EAB"/>
    <w:multiLevelType w:val="hybridMultilevel"/>
    <w:lvl w:ilvl="0">
      <w:lvlJc w:val="left"/>
      <w:lvlText w:val="☒"/>
      <w:numFmt w:val="bullet"/>
      <w:start w:val="1"/>
    </w:lvl>
    <w:lvl w:ilvl="1">
      <w:lvlJc w:val="left"/>
      <w:lvlText w:val="%2."/>
      <w:numFmt w:val="decimal"/>
      <w:start w:val="1"/>
    </w:lvl>
  </w:abstractNum>
  <w:abstractNum w:abstractNumId="359">
    <w:nsid w:val="6E9DEAD0"/>
    <w:multiLevelType w:val="hybridMultilevel"/>
    <w:lvl w:ilvl="0">
      <w:lvlJc w:val="left"/>
      <w:lvlText w:val="☐"/>
      <w:numFmt w:val="bullet"/>
      <w:start w:val="1"/>
    </w:lvl>
  </w:abstractNum>
  <w:abstractNum w:abstractNumId="360">
    <w:nsid w:val="4450AA00"/>
    <w:multiLevelType w:val="hybridMultilevel"/>
    <w:lvl w:ilvl="0">
      <w:lvlJc w:val="left"/>
      <w:lvlText w:val="☐"/>
      <w:numFmt w:val="bullet"/>
      <w:start w:val="1"/>
    </w:lvl>
    <w:lvl w:ilvl="1">
      <w:lvlJc w:val="left"/>
      <w:lvlText w:val="%2."/>
      <w:numFmt w:val="decimal"/>
      <w:start w:val="2"/>
    </w:lvl>
  </w:abstractNum>
  <w:abstractNum w:abstractNumId="361">
    <w:nsid w:val="4AC9F3E2"/>
    <w:multiLevelType w:val="hybridMultilevel"/>
    <w:lvl w:ilvl="0">
      <w:lvlJc w:val="left"/>
      <w:lvlText w:val="☒"/>
      <w:numFmt w:val="bullet"/>
      <w:start w:val="1"/>
    </w:lvl>
  </w:abstractNum>
  <w:abstractNum w:abstractNumId="362">
    <w:nsid w:val="CC0A782"/>
    <w:multiLevelType w:val="hybridMultilevel"/>
    <w:lvl w:ilvl="0">
      <w:lvlJc w:val="left"/>
      <w:lvlText w:val="%1."/>
      <w:numFmt w:val="decimal"/>
      <w:start w:val="1"/>
    </w:lvl>
    <w:lvl w:ilvl="1">
      <w:lvlJc w:val="left"/>
      <w:lvlText w:val="(%2)"/>
      <w:numFmt w:val="lowerLetter"/>
      <w:start w:val="1"/>
    </w:lvl>
  </w:abstractNum>
  <w:abstractNum w:abstractNumId="363">
    <w:nsid w:val="79B69BC9"/>
    <w:multiLevelType w:val="hybridMultilevel"/>
    <w:lvl w:ilvl="0">
      <w:lvlJc w:val="left"/>
      <w:lvlText w:val="%1."/>
      <w:numFmt w:val="decimal"/>
      <w:start w:val="2"/>
    </w:lvl>
    <w:lvl w:ilvl="1">
      <w:lvlJc w:val="left"/>
      <w:lvlText w:val="(%2)"/>
      <w:numFmt w:val="lowerLetter"/>
      <w:start w:val="1"/>
    </w:lvl>
  </w:abstractNum>
  <w:abstractNum w:abstractNumId="364">
    <w:nsid w:val="2970CC78"/>
    <w:multiLevelType w:val="hybridMultilevel"/>
    <w:lvl w:ilvl="0">
      <w:lvlJc w:val="left"/>
      <w:lvlText w:val="%1."/>
      <w:numFmt w:val="decimal"/>
      <w:start w:val="3"/>
    </w:lvl>
    <w:lvl w:ilvl="1">
      <w:lvlJc w:val="left"/>
      <w:lvlText w:val="(%2)"/>
      <w:numFmt w:val="lowerLetter"/>
      <w:start w:val="1"/>
    </w:lvl>
  </w:abstractNum>
  <w:abstractNum w:abstractNumId="365">
    <w:nsid w:val="49CA1341"/>
    <w:multiLevelType w:val="hybridMultilevel"/>
    <w:lvl w:ilvl="0">
      <w:lvlJc w:val="left"/>
      <w:lvlText w:val="(%1)"/>
      <w:numFmt w:val="lowerLetter"/>
      <w:start w:val="24"/>
    </w:lvl>
    <w:lvl w:ilvl="1">
      <w:lvlJc w:val="left"/>
      <w:lvlText w:val="(%2)"/>
      <w:numFmt w:val="lowerLetter"/>
      <w:start w:val="5"/>
    </w:lvl>
    <w:lvl w:ilvl="2">
      <w:lvlJc w:val="left"/>
      <w:lvlText w:val="(%3)"/>
      <w:numFmt w:val="lowerLetter"/>
      <w:start w:val="9"/>
    </w:lvl>
  </w:abstractNum>
  <w:abstractNum w:abstractNumId="366">
    <w:nsid w:val="58D717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367">
    <w:nsid w:val="64C2DDD5"/>
    <w:multiLevelType w:val="hybridMultilevel"/>
    <w:lvl w:ilvl="0">
      <w:lvlJc w:val="left"/>
      <w:lvlText w:val="(%1)"/>
      <w:numFmt w:val="upperLetter"/>
      <w:start w:val="4"/>
    </w:lvl>
    <w:lvl w:ilvl="1">
      <w:lvlJc w:val="left"/>
      <w:lvlText w:val="(%2)"/>
      <w:numFmt w:val="lowerRoman"/>
    </w:lvl>
    <w:lvl w:ilvl="2">
      <w:lvlJc w:val="left"/>
      <w:lvlText w:val="(%3)"/>
      <w:numFmt w:val="lowerRoman"/>
      <w:start w:val="4"/>
    </w:lvl>
  </w:abstractNum>
  <w:abstractNum w:abstractNumId="368">
    <w:nsid w:val="4244B8D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369">
    <w:nsid w:val="76490B01"/>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70">
    <w:nsid w:val="36B19CBF"/>
    <w:multiLevelType w:val="hybridMultilevel"/>
    <w:lvl w:ilvl="0">
      <w:lvlJc w:val="left"/>
      <w:lvlText w:val="(%1)"/>
      <w:numFmt w:val="decimal"/>
      <w:start w:val="6"/>
    </w:lvl>
    <w:lvl w:ilvl="1">
      <w:lvlJc w:val="left"/>
      <w:lvlText w:val="(%2)"/>
      <w:numFmt w:val="lowerRoman"/>
      <w:start w:val="4"/>
    </w:lvl>
    <w:lvl w:ilvl="2">
      <w:lvlJc w:val="left"/>
      <w:lvlText w:val="%3"/>
      <w:numFmt w:val="upperLetter"/>
      <w:start w:val="1"/>
    </w:lvl>
  </w:abstractNum>
  <w:abstractNum w:abstractNumId="371">
    <w:nsid w:val="645EC5A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6"/>
    </w:lvl>
  </w:abstractNum>
  <w:abstractNum w:abstractNumId="372">
    <w:nsid w:val="11C5ABEF"/>
    <w:multiLevelType w:val="hybridMultilevel"/>
    <w:lvl w:ilvl="0">
      <w:lvlJc w:val="left"/>
      <w:lvlText w:val="%1"/>
      <w:numFmt w:val="decimal"/>
      <w:start w:val="1"/>
    </w:lvl>
    <w:lvl w:ilvl="1">
      <w:lvlJc w:val="left"/>
      <w:lvlText w:val="(%2)"/>
      <w:numFmt w:val="lowerRoman"/>
      <w:start w:val="7"/>
    </w:lvl>
    <w:lvl w:ilvl="2">
      <w:lvlJc w:val="left"/>
      <w:lvlText w:val="%3"/>
      <w:numFmt w:val="lowerRoman"/>
      <w:start w:val="1"/>
    </w:lvl>
  </w:abstractNum>
  <w:abstractNum w:abstractNumId="373">
    <w:nsid w:val="5A4744BE"/>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374">
    <w:nsid w:val="1DC4B111"/>
    <w:multiLevelType w:val="hybridMultilevel"/>
    <w:lvl w:ilvl="0">
      <w:lvlJc w:val="left"/>
      <w:lvlText w:val="(%1)"/>
      <w:numFmt w:val="lowerLetter"/>
      <w:start w:val="1"/>
    </w:lvl>
  </w:abstractNum>
  <w:abstractNum w:abstractNumId="375">
    <w:nsid w:val="4C6E372B"/>
    <w:multiLevelType w:val="hybridMultilevel"/>
    <w:lvl w:ilvl="0">
      <w:lvlJc w:val="left"/>
      <w:lvlText w:val="%1"/>
      <w:numFmt w:val="decimal"/>
      <w:start w:val="1"/>
    </w:lvl>
    <w:lvl w:ilvl="1">
      <w:lvlJc w:val="left"/>
      <w:lvlText w:val="(%2)"/>
      <w:numFmt w:val="lowerLetter"/>
      <w:start w:val="2"/>
    </w:lvl>
  </w:abstractNum>
  <w:abstractNum w:abstractNumId="376">
    <w:nsid w:val="10236EF"/>
    <w:multiLevelType w:val="hybridMultilevel"/>
    <w:lvl w:ilvl="0">
      <w:lvlJc w:val="left"/>
      <w:lvlText w:val="%1."/>
      <w:numFmt w:val="decimal"/>
      <w:start w:val="5"/>
    </w:lvl>
    <w:lvl w:ilvl="1">
      <w:lvlJc w:val="left"/>
      <w:lvlText w:val="(%2)"/>
      <w:numFmt w:val="lowerLetter"/>
      <w:start w:val="1"/>
    </w:lvl>
  </w:abstractNum>
  <w:abstractNum w:abstractNumId="377">
    <w:nsid w:val="68D8526B"/>
    <w:multiLevelType w:val="hybridMultilevel"/>
    <w:lvl w:ilvl="0">
      <w:lvlJc w:val="left"/>
      <w:lvlText w:val="%1"/>
      <w:numFmt w:val="decimal"/>
      <w:start w:val="1"/>
    </w:lvl>
    <w:lvl w:ilvl="1">
      <w:lvlJc w:val="left"/>
      <w:lvlText w:val="(%2)"/>
      <w:numFmt w:val="lowerLetter"/>
      <w:start w:val="2"/>
    </w:lvl>
  </w:abstractNum>
  <w:abstractNum w:abstractNumId="378">
    <w:nsid w:val="3C8CC138"/>
    <w:multiLevelType w:val="hybridMultilevel"/>
    <w:lvl w:ilvl="0">
      <w:lvlJc w:val="left"/>
      <w:lvlText w:val="%1."/>
      <w:numFmt w:val="decimal"/>
      <w:start w:val="6"/>
    </w:lvl>
    <w:lvl w:ilvl="1">
      <w:lvlJc w:val="left"/>
      <w:lvlText w:val="%2"/>
      <w:numFmt w:val="lowerLetter"/>
      <w:start w:val="1"/>
    </w:lvl>
  </w:abstractNum>
  <w:abstractNum w:abstractNumId="379">
    <w:nsid w:val="42E8C7BE"/>
    <w:multiLevelType w:val="hybridMultilevel"/>
    <w:lvl w:ilvl="0">
      <w:lvlJc w:val="left"/>
      <w:lvlText w:val="%1."/>
      <w:numFmt w:val="decimal"/>
      <w:start w:val="8"/>
    </w:lvl>
  </w:abstractNum>
  <w:abstractNum w:abstractNumId="380">
    <w:nsid w:val="653CDC22"/>
    <w:multiLevelType w:val="hybridMultilevel"/>
    <w:lvl w:ilvl="0">
      <w:lvlJc w:val="left"/>
      <w:lvlText w:val="☒"/>
      <w:numFmt w:val="bullet"/>
      <w:start w:val="1"/>
    </w:lvl>
  </w:abstractNum>
  <w:abstractNum w:abstractNumId="381">
    <w:nsid w:val="103B2716"/>
    <w:multiLevelType w:val="hybridMultilevel"/>
    <w:lvl w:ilvl="0">
      <w:lvlJc w:val="left"/>
      <w:lvlText w:val="☐"/>
      <w:numFmt w:val="bullet"/>
      <w:start w:val="1"/>
    </w:lvl>
  </w:abstractNum>
  <w:abstractNum w:abstractNumId="382">
    <w:nsid w:val="156827FB"/>
    <w:multiLevelType w:val="hybridMultilevel"/>
    <w:lvl w:ilvl="0">
      <w:lvlJc w:val="left"/>
      <w:lvlText w:val="%1."/>
      <w:numFmt w:val="decimal"/>
      <w:start w:val="1"/>
    </w:lvl>
  </w:abstractNum>
  <w:abstractNum w:abstractNumId="383">
    <w:nsid w:val="6350AC35"/>
    <w:multiLevelType w:val="hybridMultilevel"/>
    <w:lvl w:ilvl="0">
      <w:lvlJc w:val="left"/>
      <w:lvlText w:val="%1."/>
      <w:numFmt w:val="decimal"/>
      <w:start w:val="3"/>
    </w:lvl>
  </w:abstractNum>
  <w:abstractNum w:abstractNumId="384">
    <w:nsid w:val="767725AB"/>
    <w:multiLevelType w:val="hybridMultilevel"/>
    <w:lvl w:ilvl="0">
      <w:lvlJc w:val="left"/>
      <w:lvlText w:val="%1."/>
      <w:numFmt w:val="decimal"/>
      <w:start w:val="8"/>
    </w:lvl>
    <w:lvl w:ilvl="1">
      <w:lvlJc w:val="left"/>
      <w:lvlText w:val="(%2)"/>
      <w:numFmt w:val="lowerLetter"/>
      <w:start w:val="1"/>
    </w:lvl>
  </w:abstractNum>
  <w:abstractNum w:abstractNumId="385">
    <w:nsid w:val="4748C06A"/>
    <w:multiLevelType w:val="hybridMultilevel"/>
    <w:lvl w:ilvl="0">
      <w:lvlJc w:val="left"/>
      <w:lvlText w:val="%1"/>
      <w:numFmt w:val="decimal"/>
      <w:start w:val="1"/>
    </w:lvl>
    <w:lvl w:ilvl="1">
      <w:lvlJc w:val="left"/>
      <w:lvlText w:val="(%2)"/>
      <w:numFmt w:val="lowerLetter"/>
      <w:start w:val="4"/>
    </w:lvl>
  </w:abstractNum>
  <w:abstractNum w:abstractNumId="386">
    <w:nsid w:val="254D9EA9"/>
    <w:multiLevelType w:val="hybridMultilevel"/>
    <w:lvl w:ilvl="0">
      <w:lvlJc w:val="left"/>
      <w:lvlText w:val="%1."/>
      <w:numFmt w:val="decimal"/>
      <w:start w:val="13"/>
    </w:lvl>
    <w:lvl w:ilvl="1">
      <w:lvlJc w:val="left"/>
      <w:lvlText w:val="%2"/>
      <w:numFmt w:val="lowerLetter"/>
      <w:start w:val="1"/>
    </w:lvl>
  </w:abstractNum>
  <w:abstractNum w:abstractNumId="387">
    <w:nsid w:val="1FBD3AA3"/>
    <w:multiLevelType w:val="hybridMultilevel"/>
    <w:lvl w:ilvl="0">
      <w:lvlJc w:val="left"/>
      <w:lvlText w:val="%1."/>
      <w:numFmt w:val="decimal"/>
      <w:start w:val="1"/>
    </w:lvl>
    <w:lvl w:ilvl="1">
      <w:lvlJc w:val="left"/>
      <w:lvlText w:val="(%2)"/>
      <w:numFmt w:val="lowerLetter"/>
      <w:start w:val="1"/>
    </w:lvl>
  </w:abstractNum>
  <w:abstractNum w:abstractNumId="388">
    <w:nsid w:val="18C6B4F2"/>
    <w:multiLevelType w:val="hybridMultilevel"/>
    <w:lvl w:ilvl="0">
      <w:lvlJc w:val="left"/>
      <w:lvlText w:val="%1"/>
      <w:numFmt w:val="lowerLetter"/>
      <w:start w:val="1"/>
    </w:lvl>
    <w:lvl w:ilvl="1">
      <w:lvlJc w:val="left"/>
      <w:lvlText w:val="(%2)"/>
      <w:numFmt w:val="lowerLetter"/>
      <w:start w:val="3"/>
    </w:lvl>
  </w:abstractNum>
  <w:abstractNum w:abstractNumId="389">
    <w:nsid w:val="40BAD55"/>
    <w:multiLevelType w:val="hybridMultilevel"/>
    <w:lvl w:ilvl="0">
      <w:lvlJc w:val="left"/>
      <w:lvlText w:val="(%1)"/>
      <w:numFmt w:val="lowerLetter"/>
      <w:start w:val="1"/>
    </w:lvl>
    <w:lvl w:ilvl="1">
      <w:lvlJc w:val="left"/>
      <w:lvlText w:val="(%2)"/>
      <w:numFmt w:val="lowerLetter"/>
      <w:start w:val="6"/>
    </w:lvl>
  </w:abstractNum>
  <w:abstractNum w:abstractNumId="390">
    <w:nsid w:val="E5B2573"/>
    <w:multiLevelType w:val="hybridMultilevel"/>
    <w:lvl w:ilvl="0">
      <w:lvlJc w:val="left"/>
      <w:lvlText w:val="(%1)"/>
      <w:numFmt w:val="lowerLetter"/>
      <w:start w:val="8"/>
    </w:lvl>
  </w:abstractNum>
  <w:abstractNum w:abstractNumId="391">
    <w:nsid w:val="5D175EF2"/>
    <w:multiLevelType w:val="hybridMultilevel"/>
    <w:lvl w:ilvl="0">
      <w:lvlJc w:val="left"/>
      <w:lvlText w:val="%1"/>
      <w:numFmt w:val="decimal"/>
      <w:start w:val="1"/>
    </w:lvl>
    <w:lvl w:ilvl="1">
      <w:lvlJc w:val="left"/>
      <w:lvlText w:val="(%2)"/>
      <w:numFmt w:val="lowerLetter"/>
      <w:start w:val="13"/>
    </w:lvl>
  </w:abstractNum>
  <w:abstractNum w:abstractNumId="392">
    <w:nsid w:val="4ED5A137"/>
    <w:multiLevelType w:val="hybridMultilevel"/>
    <w:lvl w:ilvl="0">
      <w:lvlJc w:val="left"/>
      <w:lvlText w:val="%1."/>
      <w:numFmt w:val="decimal"/>
      <w:start w:val="3"/>
    </w:lvl>
    <w:lvl w:ilvl="1">
      <w:lvlJc w:val="left"/>
      <w:lvlText w:val="(%2)"/>
      <w:numFmt w:val="lowerLetter"/>
      <w:start w:val="1"/>
    </w:lvl>
  </w:abstractNum>
  <w:abstractNum w:abstractNumId="393">
    <w:nsid w:val="1B1BCCF5"/>
    <w:multiLevelType w:val="hybridMultilevel"/>
    <w:lvl w:ilvl="0">
      <w:lvlJc w:val="left"/>
      <w:lvlText w:val="(%1)"/>
      <w:numFmt w:val="lowerLetter"/>
      <w:start w:val="7"/>
    </w:lvl>
  </w:abstractNum>
  <w:abstractNum w:abstractNumId="394">
    <w:nsid w:val="56CDFABB"/>
    <w:multiLevelType w:val="hybridMultilevel"/>
    <w:lvl w:ilvl="0">
      <w:lvlJc w:val="left"/>
      <w:lvlText w:val="%1"/>
      <w:numFmt w:val="decimal"/>
      <w:start w:val="1"/>
    </w:lvl>
    <w:lvl w:ilvl="1">
      <w:lvlJc w:val="left"/>
      <w:lvlText w:val="(%2)"/>
      <w:numFmt w:val="lowerLetter"/>
      <w:start w:val="1"/>
    </w:lvl>
  </w:abstractNum>
  <w:abstractNum w:abstractNumId="395">
    <w:nsid w:val="78466DAF"/>
    <w:multiLevelType w:val="hybridMultilevel"/>
    <w:lvl w:ilvl="0">
      <w:lvlJc w:val="left"/>
      <w:lvlText w:val="(%1)"/>
      <w:numFmt w:val="decimal"/>
      <w:start w:val="2"/>
    </w:lvl>
    <w:lvl w:ilvl="1">
      <w:lvlJc w:val="left"/>
      <w:lvlText w:val="(%2)"/>
      <w:numFmt w:val="lowerLetter"/>
      <w:start w:val="2"/>
    </w:lvl>
  </w:abstractNum>
  <w:abstractNum w:abstractNumId="396">
    <w:nsid w:val="64E5E036"/>
    <w:multiLevelType w:val="hybridMultilevel"/>
    <w:lvl w:ilvl="0">
      <w:lvlJc w:val="left"/>
      <w:lvlText w:val="☒"/>
      <w:numFmt w:val="bullet"/>
      <w:start w:val="1"/>
    </w:lvl>
    <w:lvl w:ilvl="1">
      <w:lvlJc w:val="left"/>
      <w:lvlText w:val="%2."/>
      <w:numFmt w:val="decimal"/>
      <w:start w:val="1"/>
    </w:lvl>
  </w:abstractNum>
  <w:abstractNum w:abstractNumId="397">
    <w:nsid w:val="5C5B6C3A"/>
    <w:multiLevelType w:val="hybridMultilevel"/>
    <w:lvl w:ilvl="0">
      <w:lvlJc w:val="left"/>
      <w:lvlText w:val="☐"/>
      <w:numFmt w:val="bullet"/>
      <w:start w:val="1"/>
    </w:lvl>
  </w:abstractNum>
  <w:abstractNum w:abstractNumId="398">
    <w:nsid w:val="5D094B84"/>
    <w:multiLevelType w:val="hybridMultilevel"/>
    <w:lvl w:ilvl="0">
      <w:lvlJc w:val="left"/>
      <w:lvlText w:val="☐"/>
      <w:numFmt w:val="bullet"/>
      <w:start w:val="1"/>
    </w:lvl>
    <w:lvl w:ilvl="1">
      <w:lvlJc w:val="left"/>
      <w:lvlText w:val="%2."/>
      <w:numFmt w:val="decimal"/>
      <w:start w:val="2"/>
    </w:lvl>
  </w:abstractNum>
  <w:abstractNum w:abstractNumId="399">
    <w:nsid w:val="272A9914"/>
    <w:multiLevelType w:val="hybridMultilevel"/>
    <w:lvl w:ilvl="0">
      <w:lvlJc w:val="left"/>
      <w:lvlText w:val="☒"/>
      <w:numFmt w:val="bullet"/>
      <w:start w:val="1"/>
    </w:lvl>
  </w:abstractNum>
  <w:abstractNum w:abstractNumId="400">
    <w:nsid w:val="52A4773B"/>
    <w:multiLevelType w:val="hybridMultilevel"/>
    <w:lvl w:ilvl="0">
      <w:lvlJc w:val="left"/>
      <w:lvlText w:val="%1."/>
      <w:numFmt w:val="decimal"/>
      <w:start w:val="1"/>
    </w:lvl>
    <w:lvl w:ilvl="1">
      <w:lvlJc w:val="left"/>
      <w:lvlText w:val="(%2)"/>
      <w:numFmt w:val="lowerLetter"/>
      <w:start w:val="1"/>
    </w:lvl>
  </w:abstractNum>
  <w:abstractNum w:abstractNumId="401">
    <w:nsid w:val="13BAE843"/>
    <w:multiLevelType w:val="hybridMultilevel"/>
    <w:lvl w:ilvl="0">
      <w:lvlJc w:val="left"/>
      <w:lvlText w:val="%1."/>
      <w:numFmt w:val="decimal"/>
      <w:start w:val="2"/>
    </w:lvl>
    <w:lvl w:ilvl="1">
      <w:lvlJc w:val="left"/>
      <w:lvlText w:val="(%2)"/>
      <w:numFmt w:val="lowerLetter"/>
      <w:start w:val="1"/>
    </w:lvl>
  </w:abstractNum>
  <w:abstractNum w:abstractNumId="402">
    <w:nsid w:val="B895EBF"/>
    <w:multiLevelType w:val="hybridMultilevel"/>
    <w:lvl w:ilvl="0">
      <w:lvlJc w:val="left"/>
      <w:lvlText w:val="%1."/>
      <w:numFmt w:val="decimal"/>
      <w:start w:val="3"/>
    </w:lvl>
    <w:lvl w:ilvl="1">
      <w:lvlJc w:val="left"/>
      <w:lvlText w:val="(%2)"/>
      <w:numFmt w:val="lowerLetter"/>
      <w:start w:val="1"/>
    </w:lvl>
  </w:abstractNum>
  <w:abstractNum w:abstractNumId="403">
    <w:nsid w:val="646A232A"/>
    <w:multiLevelType w:val="hybridMultilevel"/>
    <w:lvl w:ilvl="0">
      <w:lvlJc w:val="left"/>
      <w:lvlText w:val="(%1)"/>
      <w:numFmt w:val="lowerLetter"/>
      <w:start w:val="24"/>
    </w:lvl>
    <w:lvl w:ilvl="1">
      <w:lvlJc w:val="left"/>
      <w:lvlText w:val="(%2)"/>
      <w:numFmt w:val="lowerLetter"/>
      <w:start w:val="5"/>
    </w:lvl>
    <w:lvl w:ilvl="2">
      <w:lvlJc w:val="left"/>
      <w:lvlText w:val="(%3)"/>
      <w:numFmt w:val="lowerLetter"/>
      <w:start w:val="9"/>
    </w:lvl>
  </w:abstractNum>
  <w:abstractNum w:abstractNumId="404">
    <w:nsid w:val="6E022D01"/>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405">
    <w:nsid w:val="294E0FD0"/>
    <w:multiLevelType w:val="hybridMultilevel"/>
    <w:lvl w:ilvl="0">
      <w:lvlJc w:val="left"/>
      <w:lvlText w:val="(%1)"/>
      <w:numFmt w:val="upperLetter"/>
      <w:start w:val="4"/>
    </w:lvl>
    <w:lvl w:ilvl="1">
      <w:lvlJc w:val="left"/>
      <w:lvlText w:val="(%2)"/>
      <w:numFmt w:val="lowerRoman"/>
    </w:lvl>
    <w:lvl w:ilvl="2">
      <w:lvlJc w:val="left"/>
      <w:lvlText w:val="(%3)"/>
      <w:numFmt w:val="lowerRoman"/>
      <w:start w:val="4"/>
    </w:lvl>
  </w:abstractNum>
  <w:abstractNum w:abstractNumId="406">
    <w:nsid w:val="30D85A5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407">
    <w:nsid w:val="6F0463F1"/>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408">
    <w:nsid w:val="1226623C"/>
    <w:multiLevelType w:val="hybridMultilevel"/>
    <w:lvl w:ilvl="0">
      <w:lvlJc w:val="left"/>
      <w:lvlText w:val="(%1)"/>
      <w:numFmt w:val="decimal"/>
      <w:start w:val="6"/>
    </w:lvl>
    <w:lvl w:ilvl="1">
      <w:lvlJc w:val="left"/>
      <w:lvlText w:val="(%2)"/>
      <w:numFmt w:val="lowerRoman"/>
      <w:start w:val="4"/>
    </w:lvl>
    <w:lvl w:ilvl="2">
      <w:lvlJc w:val="left"/>
      <w:lvlText w:val="%3"/>
      <w:numFmt w:val="upperLetter"/>
      <w:start w:val="1"/>
    </w:lvl>
  </w:abstractNum>
  <w:abstractNum w:abstractNumId="409">
    <w:nsid w:val="6D651B8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6"/>
    </w:lvl>
  </w:abstractNum>
  <w:abstractNum w:abstractNumId="410">
    <w:nsid w:val="31ED2BAF"/>
    <w:multiLevelType w:val="hybridMultilevel"/>
    <w:lvl w:ilvl="0">
      <w:lvlJc w:val="left"/>
      <w:lvlText w:val="%1"/>
      <w:numFmt w:val="decimal"/>
      <w:start w:val="1"/>
    </w:lvl>
    <w:lvl w:ilvl="1">
      <w:lvlJc w:val="left"/>
      <w:lvlText w:val="(%2)"/>
      <w:numFmt w:val="lowerRoman"/>
      <w:start w:val="7"/>
    </w:lvl>
    <w:lvl w:ilvl="2">
      <w:lvlJc w:val="left"/>
      <w:lvlText w:val="%3"/>
      <w:numFmt w:val="lowerRoman"/>
      <w:start w:val="1"/>
    </w:lvl>
  </w:abstractNum>
  <w:abstractNum w:abstractNumId="411">
    <w:nsid w:val="77633E5E"/>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412">
    <w:nsid w:val="7DA042A3"/>
    <w:multiLevelType w:val="hybridMultilevel"/>
    <w:lvl w:ilvl="0">
      <w:lvlJc w:val="left"/>
      <w:lvlText w:val="(%1)"/>
      <w:numFmt w:val="lowerLetter"/>
      <w:start w:val="1"/>
    </w:lvl>
  </w:abstractNum>
  <w:abstractNum w:abstractNumId="413">
    <w:nsid w:val="475553AB"/>
    <w:multiLevelType w:val="hybridMultilevel"/>
    <w:lvl w:ilvl="0">
      <w:lvlJc w:val="left"/>
      <w:lvlText w:val="%1"/>
      <w:numFmt w:val="decimal"/>
      <w:start w:val="1"/>
    </w:lvl>
    <w:lvl w:ilvl="1">
      <w:lvlJc w:val="left"/>
      <w:lvlText w:val="(%2)"/>
      <w:numFmt w:val="lowerLetter"/>
      <w:start w:val="2"/>
    </w:lvl>
  </w:abstractNum>
  <w:abstractNum w:abstractNumId="414">
    <w:nsid w:val="5AB3EA93"/>
    <w:multiLevelType w:val="hybridMultilevel"/>
    <w:lvl w:ilvl="0">
      <w:lvlJc w:val="left"/>
      <w:lvlText w:val="%1."/>
      <w:numFmt w:val="decimal"/>
      <w:start w:val="5"/>
    </w:lvl>
    <w:lvl w:ilvl="1">
      <w:lvlJc w:val="left"/>
      <w:lvlText w:val="(%2)"/>
      <w:numFmt w:val="lowerLetter"/>
      <w:start w:val="1"/>
    </w:lvl>
  </w:abstractNum>
  <w:abstractNum w:abstractNumId="415">
    <w:nsid w:val="7417684F"/>
    <w:multiLevelType w:val="hybridMultilevel"/>
    <w:lvl w:ilvl="0">
      <w:lvlJc w:val="left"/>
      <w:lvlText w:val="%1"/>
      <w:numFmt w:val="decimal"/>
      <w:start w:val="1"/>
    </w:lvl>
    <w:lvl w:ilvl="1">
      <w:lvlJc w:val="left"/>
      <w:lvlText w:val="(%2)"/>
      <w:numFmt w:val="lowerLetter"/>
      <w:start w:val="2"/>
    </w:lvl>
  </w:abstractNum>
  <w:abstractNum w:abstractNumId="416">
    <w:nsid w:val="E9E1415"/>
    <w:multiLevelType w:val="hybridMultilevel"/>
    <w:lvl w:ilvl="0">
      <w:lvlJc w:val="left"/>
      <w:lvlText w:val="%1."/>
      <w:numFmt w:val="decimal"/>
      <w:start w:val="6"/>
    </w:lvl>
    <w:lvl w:ilvl="1">
      <w:lvlJc w:val="left"/>
      <w:lvlText w:val="%2"/>
      <w:numFmt w:val="lowerLetter"/>
      <w:start w:val="1"/>
    </w:lvl>
  </w:abstractNum>
  <w:abstractNum w:abstractNumId="417">
    <w:nsid w:val="1893D"/>
    <w:multiLevelType w:val="hybridMultilevel"/>
    <w:lvl w:ilvl="0">
      <w:lvlJc w:val="left"/>
      <w:lvlText w:val="%1."/>
      <w:numFmt w:val="decimal"/>
      <w:start w:val="8"/>
    </w:lvl>
  </w:abstractNum>
  <w:abstractNum w:abstractNumId="418">
    <w:nsid w:val="13D4A2F2"/>
    <w:multiLevelType w:val="hybridMultilevel"/>
    <w:lvl w:ilvl="0">
      <w:lvlJc w:val="left"/>
      <w:lvlText w:val="☒"/>
      <w:numFmt w:val="bullet"/>
      <w:start w:val="1"/>
    </w:lvl>
  </w:abstractNum>
  <w:abstractNum w:abstractNumId="419">
    <w:nsid w:val="2764C907"/>
    <w:multiLevelType w:val="hybridMultilevel"/>
    <w:lvl w:ilvl="0">
      <w:lvlJc w:val="left"/>
      <w:lvlText w:val="☐"/>
      <w:numFmt w:val="bullet"/>
      <w:start w:val="1"/>
    </w:lvl>
  </w:abstractNum>
  <w:abstractNum w:abstractNumId="420">
    <w:nsid w:val="40D3692"/>
    <w:multiLevelType w:val="hybridMultilevel"/>
    <w:lvl w:ilvl="0">
      <w:lvlJc w:val="left"/>
      <w:lvlText w:val="%1."/>
      <w:numFmt w:val="decimal"/>
      <w:start w:val="1"/>
    </w:lvl>
  </w:abstractNum>
  <w:abstractNum w:abstractNumId="421">
    <w:nsid w:val="222FC865"/>
    <w:multiLevelType w:val="hybridMultilevel"/>
    <w:lvl w:ilvl="0">
      <w:lvlJc w:val="left"/>
      <w:lvlText w:val="%1."/>
      <w:numFmt w:val="decimal"/>
      <w:start w:val="3"/>
    </w:lvl>
  </w:abstractNum>
  <w:abstractNum w:abstractNumId="422">
    <w:nsid w:val="47C27FA"/>
    <w:multiLevelType w:val="hybridMultilevel"/>
    <w:lvl w:ilvl="0">
      <w:lvlJc w:val="left"/>
      <w:lvlText w:val="%1."/>
      <w:numFmt w:val="decimal"/>
      <w:start w:val="8"/>
    </w:lvl>
    <w:lvl w:ilvl="1">
      <w:lvlJc w:val="left"/>
      <w:lvlText w:val="(%2)"/>
      <w:numFmt w:val="lowerLetter"/>
      <w:start w:val="1"/>
    </w:lvl>
  </w:abstractNum>
  <w:abstractNum w:abstractNumId="423">
    <w:nsid w:val="52E2D7C9"/>
    <w:multiLevelType w:val="hybridMultilevel"/>
    <w:lvl w:ilvl="0">
      <w:lvlJc w:val="left"/>
      <w:lvlText w:val="%1"/>
      <w:numFmt w:val="decimal"/>
      <w:start w:val="1"/>
    </w:lvl>
    <w:lvl w:ilvl="1">
      <w:lvlJc w:val="left"/>
      <w:lvlText w:val="(%2)"/>
      <w:numFmt w:val="lowerLetter"/>
      <w:start w:val="4"/>
    </w:lvl>
  </w:abstractNum>
  <w:abstractNum w:abstractNumId="424">
    <w:nsid w:val="3D4B955A"/>
    <w:multiLevelType w:val="hybridMultilevel"/>
    <w:lvl w:ilvl="0">
      <w:lvlJc w:val="left"/>
      <w:lvlText w:val="%1."/>
      <w:numFmt w:val="decimal"/>
      <w:start w:val="13"/>
    </w:lvl>
    <w:lvl w:ilvl="1">
      <w:lvlJc w:val="left"/>
      <w:lvlText w:val="%2"/>
      <w:numFmt w:val="lowerLetter"/>
      <w:start w:val="1"/>
    </w:lvl>
  </w:abstractNum>
  <w:abstractNum w:abstractNumId="425">
    <w:nsid w:val="5B4A22B5"/>
    <w:multiLevelType w:val="hybridMultilevel"/>
    <w:lvl w:ilvl="0">
      <w:lvlJc w:val="left"/>
      <w:lvlText w:val="%1."/>
      <w:numFmt w:val="decimal"/>
      <w:start w:val="1"/>
    </w:lvl>
    <w:lvl w:ilvl="1">
      <w:lvlJc w:val="left"/>
      <w:lvlText w:val="(%2)"/>
      <w:numFmt w:val="lowerLetter"/>
      <w:start w:val="1"/>
    </w:lvl>
  </w:abstractNum>
  <w:abstractNum w:abstractNumId="426">
    <w:nsid w:val="4B294578"/>
    <w:multiLevelType w:val="hybridMultilevel"/>
    <w:lvl w:ilvl="0">
      <w:lvlJc w:val="left"/>
      <w:lvlText w:val="%1"/>
      <w:numFmt w:val="lowerLetter"/>
      <w:start w:val="1"/>
    </w:lvl>
    <w:lvl w:ilvl="1">
      <w:lvlJc w:val="left"/>
      <w:lvlText w:val="(%2)"/>
      <w:numFmt w:val="lowerLetter"/>
      <w:start w:val="3"/>
    </w:lvl>
  </w:abstractNum>
  <w:abstractNum w:abstractNumId="427">
    <w:nsid w:val="22317590"/>
    <w:multiLevelType w:val="hybridMultilevel"/>
    <w:lvl w:ilvl="0">
      <w:lvlJc w:val="left"/>
      <w:lvlText w:val="(%1)"/>
      <w:numFmt w:val="lowerLetter"/>
      <w:start w:val="1"/>
    </w:lvl>
    <w:lvl w:ilvl="1">
      <w:lvlJc w:val="left"/>
      <w:lvlText w:val="(%2)"/>
      <w:numFmt w:val="lowerLetter"/>
      <w:start w:val="6"/>
    </w:lvl>
  </w:abstractNum>
  <w:abstractNum w:abstractNumId="428">
    <w:nsid w:val="37A58EEF"/>
    <w:multiLevelType w:val="hybridMultilevel"/>
    <w:lvl w:ilvl="0">
      <w:lvlJc w:val="left"/>
      <w:lvlText w:val="(%1)"/>
      <w:numFmt w:val="lowerLetter"/>
      <w:start w:val="8"/>
    </w:lvl>
  </w:abstractNum>
  <w:abstractNum w:abstractNumId="429">
    <w:nsid w:val="283290FD"/>
    <w:multiLevelType w:val="hybridMultilevel"/>
    <w:lvl w:ilvl="0">
      <w:lvlJc w:val="left"/>
      <w:lvlText w:val="%1"/>
      <w:numFmt w:val="decimal"/>
      <w:start w:val="1"/>
    </w:lvl>
    <w:lvl w:ilvl="1">
      <w:lvlJc w:val="left"/>
      <w:lvlText w:val="(%2)"/>
      <w:numFmt w:val="lowerLetter"/>
      <w:start w:val="13"/>
    </w:lvl>
  </w:abstractNum>
  <w:abstractNum w:abstractNumId="430">
    <w:nsid w:val="495C0EA5"/>
    <w:multiLevelType w:val="hybridMultilevel"/>
    <w:lvl w:ilvl="0">
      <w:lvlJc w:val="left"/>
      <w:lvlText w:val="%1."/>
      <w:numFmt w:val="decimal"/>
      <w:start w:val="3"/>
    </w:lvl>
    <w:lvl w:ilvl="1">
      <w:lvlJc w:val="left"/>
      <w:lvlText w:val="(%2)"/>
      <w:numFmt w:val="lowerLetter"/>
      <w:start w:val="1"/>
    </w:lvl>
  </w:abstractNum>
  <w:abstractNum w:abstractNumId="431">
    <w:nsid w:val="A4A062B"/>
    <w:multiLevelType w:val="hybridMultilevel"/>
    <w:lvl w:ilvl="0">
      <w:lvlJc w:val="left"/>
      <w:lvlText w:val="(%1)"/>
      <w:numFmt w:val="lowerLetter"/>
      <w:start w:val="7"/>
    </w:lvl>
  </w:abstractNum>
  <w:abstractNum w:abstractNumId="432">
    <w:nsid w:val="3BED7940"/>
    <w:multiLevelType w:val="hybridMultilevel"/>
    <w:lvl w:ilvl="0">
      <w:lvlJc w:val="left"/>
      <w:lvlText w:val="%1"/>
      <w:numFmt w:val="decimal"/>
      <w:start w:val="1"/>
    </w:lvl>
    <w:lvl w:ilvl="1">
      <w:lvlJc w:val="left"/>
      <w:lvlText w:val="(%2)"/>
      <w:numFmt w:val="lowerLetter"/>
      <w:start w:val="1"/>
    </w:lvl>
  </w:abstractNum>
  <w:abstractNum w:abstractNumId="433">
    <w:nsid w:val="54E56D64"/>
    <w:multiLevelType w:val="hybridMultilevel"/>
    <w:lvl w:ilvl="0">
      <w:lvlJc w:val="left"/>
      <w:lvlText w:val="(%1)"/>
      <w:numFmt w:val="decimal"/>
      <w:start w:val="2"/>
    </w:lvl>
    <w:lvl w:ilvl="1">
      <w:lvlJc w:val="left"/>
      <w:lvlText w:val="(%2)"/>
      <w:numFmt w:val="lowerLetter"/>
      <w:start w:val="2"/>
    </w:lvl>
  </w:abstractNum>
  <w:abstractNum w:abstractNumId="434">
    <w:nsid w:val="6EB42955"/>
    <w:multiLevelType w:val="hybridMultilevel"/>
    <w:lvl w:ilvl="0">
      <w:lvlJc w:val="left"/>
      <w:lvlText w:val="☐"/>
      <w:numFmt w:val="bullet"/>
      <w:start w:val="1"/>
    </w:lvl>
    <w:lvl w:ilvl="1">
      <w:lvlJc w:val="left"/>
      <w:lvlText w:val="%2."/>
      <w:numFmt w:val="decimal"/>
      <w:start w:val="1"/>
    </w:lvl>
  </w:abstractNum>
  <w:abstractNum w:abstractNumId="435">
    <w:nsid w:val="29EFA642"/>
    <w:multiLevelType w:val="hybridMultilevel"/>
    <w:lvl w:ilvl="0">
      <w:lvlJc w:val="left"/>
      <w:lvlText w:val="☐"/>
      <w:numFmt w:val="bullet"/>
      <w:start w:val="1"/>
    </w:lvl>
    <w:lvl w:ilvl="1">
      <w:lvlJc w:val="left"/>
      <w:lvlText w:val="%2."/>
      <w:numFmt w:val="decimal"/>
      <w:start w:val="2"/>
    </w:lvl>
  </w:abstractNum>
  <w:abstractNum w:abstractNumId="436">
    <w:nsid w:val="7E337D35"/>
    <w:multiLevelType w:val="hybridMultilevel"/>
    <w:lvl w:ilvl="0">
      <w:lvlJc w:val="left"/>
      <w:lvlText w:val="☒"/>
      <w:numFmt w:val="bullet"/>
      <w:start w:val="1"/>
    </w:lvl>
  </w:abstractNum>
  <w:abstractNum w:abstractNumId="437">
    <w:nsid w:val="1F8C83AB"/>
    <w:multiLevelType w:val="hybridMultilevel"/>
    <w:lvl w:ilvl="0">
      <w:lvlJc w:val="left"/>
      <w:lvlText w:val="%1."/>
      <w:numFmt w:val="decimal"/>
      <w:start w:val="1"/>
    </w:lvl>
    <w:lvl w:ilvl="1">
      <w:lvlJc w:val="left"/>
      <w:lvlText w:val="(%2)"/>
      <w:numFmt w:val="lowerLetter"/>
      <w:start w:val="1"/>
    </w:lvl>
  </w:abstractNum>
  <w:abstractNum w:abstractNumId="438">
    <w:nsid w:val="18F40A33"/>
    <w:multiLevelType w:val="hybridMultilevel"/>
    <w:lvl w:ilvl="0">
      <w:lvlJc w:val="left"/>
      <w:lvlText w:val="%1."/>
      <w:numFmt w:val="decimal"/>
      <w:start w:val="2"/>
    </w:lvl>
    <w:lvl w:ilvl="1">
      <w:lvlJc w:val="left"/>
      <w:lvlText w:val="(%2)"/>
      <w:numFmt w:val="lowerLetter"/>
      <w:start w:val="1"/>
    </w:lvl>
  </w:abstractNum>
  <w:abstractNum w:abstractNumId="439">
    <w:nsid w:val="1059DF71"/>
    <w:multiLevelType w:val="hybridMultilevel"/>
    <w:lvl w:ilvl="0">
      <w:lvlJc w:val="left"/>
      <w:lvlText w:val="%1"/>
      <w:numFmt w:val="decimal"/>
      <w:start w:val="1"/>
    </w:lvl>
    <w:lvl w:ilvl="1">
      <w:lvlJc w:val="left"/>
      <w:lvlText w:val="(%2)"/>
      <w:numFmt w:val="lowerLetter"/>
      <w:start w:val="6"/>
    </w:lvl>
  </w:abstractNum>
  <w:abstractNum w:abstractNumId="440">
    <w:nsid w:val="CF19F38"/>
    <w:multiLevelType w:val="hybridMultilevel"/>
    <w:lvl w:ilvl="0">
      <w:lvlJc w:val="left"/>
      <w:lvlText w:val="%1."/>
      <w:numFmt w:val="decimal"/>
      <w:start w:val="3"/>
    </w:lvl>
    <w:lvl w:ilvl="1">
      <w:lvlJc w:val="left"/>
      <w:lvlText w:val="(%2)"/>
      <w:numFmt w:val="lowerLetter"/>
      <w:start w:val="1"/>
    </w:lvl>
  </w:abstractNum>
  <w:abstractNum w:abstractNumId="441">
    <w:nsid w:val="4AE135E2"/>
    <w:multiLevelType w:val="hybridMultilevel"/>
    <w:lvl w:ilvl="0">
      <w:lvlJc w:val="left"/>
      <w:lvlText w:val="(%1)"/>
      <w:numFmt w:val="lowerLetter"/>
      <w:start w:val="2"/>
    </w:lvl>
  </w:abstractNum>
  <w:abstractNum w:abstractNumId="442">
    <w:nsid w:val="7BD1DC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3">
    <w:nsid w:val="A91E1DC"/>
    <w:multiLevelType w:val="hybridMultilevel"/>
    <w:lvl w:ilvl="0">
      <w:lvlJc w:val="left"/>
      <w:lvlText w:val="(%1)"/>
      <w:numFmt w:val="decimal"/>
      <w:start w:val="60"/>
    </w:lvl>
    <w:lvl w:ilvl="1">
      <w:lvlJc w:val="left"/>
      <w:lvlText w:val="(%2)"/>
      <w:numFmt w:val="lowerLetter"/>
      <w:start w:val="7"/>
    </w:lvl>
    <w:lvl w:ilvl="2">
      <w:lvlJc w:val="left"/>
      <w:lvlText w:val="(%3)"/>
      <w:numFmt w:val="lowerRoman"/>
      <w:start w:val="1"/>
    </w:lvl>
  </w:abstractNum>
  <w:abstractNum w:abstractNumId="444">
    <w:nsid w:val="1236898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445">
    <w:nsid w:val="62710862"/>
    <w:multiLevelType w:val="hybridMultilevel"/>
    <w:lvl w:ilvl="0">
      <w:lvlJc w:val="left"/>
      <w:lvlText w:val="(%1)"/>
      <w:numFmt w:val="upperLetter"/>
      <w:start w:val="4"/>
    </w:lvl>
    <w:lvl w:ilvl="1">
      <w:lvlJc w:val="left"/>
      <w:lvlText w:val="(%2)"/>
      <w:numFmt w:val="lowerRoman"/>
    </w:lvl>
    <w:lvl w:ilvl="2">
      <w:lvlJc w:val="left"/>
      <w:lvlText w:val="(%3)"/>
      <w:numFmt w:val="lowerRoman"/>
      <w:start w:val="4"/>
    </w:lvl>
  </w:abstractNum>
  <w:abstractNum w:abstractNumId="446">
    <w:nsid w:val="7EA94A2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447">
    <w:nsid w:val="20D49DA3"/>
    <w:multiLevelType w:val="hybridMultilevel"/>
    <w:lvl w:ilvl="0">
      <w:lvlJc w:val="left"/>
      <w:lvlText w:val="(%1)"/>
      <w:numFmt w:val="upperLetter"/>
      <w:start w:val="1"/>
    </w:lvl>
  </w:abstractNum>
  <w:abstractNum w:abstractNumId="448">
    <w:nsid w:val="6272919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449">
    <w:nsid w:val="127DED1D"/>
    <w:multiLevelType w:val="hybridMultilevel"/>
    <w:lvl w:ilvl="0">
      <w:lvlJc w:val="left"/>
      <w:lvlText w:val="(%1)"/>
      <w:numFmt w:val="decimal"/>
      <w:start w:val="6"/>
    </w:lvl>
    <w:lvl w:ilvl="1">
      <w:lvlJc w:val="left"/>
      <w:lvlText w:val="(%2)"/>
      <w:numFmt w:val="lowerRoman"/>
      <w:start w:val="4"/>
    </w:lvl>
    <w:lvl w:ilvl="2">
      <w:lvlJc w:val="left"/>
      <w:lvlText w:val="%3"/>
      <w:numFmt w:val="upperLetter"/>
      <w:start w:val="1"/>
    </w:lvl>
  </w:abstractNum>
  <w:abstractNum w:abstractNumId="450">
    <w:nsid w:val="483966AA"/>
    <w:multiLevelType w:val="hybridMultilevel"/>
    <w:lvl w:ilvl="0">
      <w:lvlJc w:val="left"/>
      <w:lvlText w:val="%1"/>
      <w:numFmt w:val="decimal"/>
      <w:start w:val="1"/>
    </w:lvl>
    <w:lvl w:ilvl="1">
      <w:lvlJc w:val="left"/>
      <w:lvlText w:val="(%2)"/>
      <w:numFmt w:val="lowerRoman"/>
      <w:start w:val="7"/>
    </w:lvl>
  </w:abstractNum>
  <w:abstractNum w:abstractNumId="451">
    <w:nsid w:val="667FC831"/>
    <w:multiLevelType w:val="hybridMultilevel"/>
    <w:lvl w:ilvl="0">
      <w:lvlJc w:val="left"/>
      <w:lvlText w:val="%1."/>
      <w:numFmt w:val="decimal"/>
      <w:start w:val="4"/>
    </w:lvl>
    <w:lvl w:ilvl="1">
      <w:lvlJc w:val="left"/>
      <w:lvlText w:val="%2"/>
      <w:numFmt w:val="lowerRoman"/>
      <w:start w:val="1"/>
    </w:lvl>
  </w:abstractNum>
  <w:abstractNum w:abstractNumId="452">
    <w:nsid w:val="34ADB582"/>
    <w:multiLevelType w:val="hybridMultilevel"/>
    <w:lvl w:ilvl="0">
      <w:lvlJc w:val="left"/>
      <w:lvlText w:val="(%1)"/>
      <w:numFmt w:val="lowerLetter"/>
      <w:start w:val="1"/>
    </w:lvl>
  </w:abstractNum>
  <w:abstractNum w:abstractNumId="453">
    <w:nsid w:val="4CB58EA4"/>
    <w:multiLevelType w:val="hybridMultilevel"/>
    <w:lvl w:ilvl="0">
      <w:lvlJc w:val="left"/>
      <w:lvlText w:val="%1"/>
      <w:numFmt w:val="decimal"/>
      <w:start w:val="1"/>
    </w:lvl>
    <w:lvl w:ilvl="1">
      <w:lvlJc w:val="left"/>
      <w:lvlText w:val="(%2)"/>
      <w:numFmt w:val="lowerLetter"/>
      <w:start w:val="3"/>
    </w:lvl>
  </w:abstractNum>
  <w:abstractNum w:abstractNumId="454">
    <w:nsid w:val="39629FFA"/>
    <w:multiLevelType w:val="hybridMultilevel"/>
    <w:lvl w:ilvl="0">
      <w:lvlJc w:val="left"/>
      <w:lvlText w:val="%1."/>
      <w:numFmt w:val="decimal"/>
      <w:start w:val="5"/>
    </w:lvl>
    <w:lvl w:ilvl="1">
      <w:lvlJc w:val="left"/>
      <w:lvlText w:val="(%2)"/>
      <w:numFmt w:val="lowerLetter"/>
      <w:start w:val="1"/>
    </w:lvl>
  </w:abstractNum>
  <w:abstractNum w:abstractNumId="455">
    <w:nsid w:val="71F94ADC"/>
    <w:multiLevelType w:val="hybridMultilevel"/>
    <w:lvl w:ilvl="0">
      <w:lvlJc w:val="left"/>
      <w:lvlText w:val="%1."/>
      <w:numFmt w:val="decimal"/>
      <w:start w:val="6"/>
    </w:lvl>
  </w:abstractNum>
  <w:abstractNum w:abstractNumId="456">
    <w:nsid w:val="27FFB15A"/>
    <w:multiLevelType w:val="hybridMultilevel"/>
    <w:lvl w:ilvl="0">
      <w:lvlJc w:val="left"/>
      <w:lvlText w:val="%1."/>
      <w:numFmt w:val="decimal"/>
      <w:start w:val="10"/>
    </w:lvl>
  </w:abstractNum>
  <w:abstractNum w:abstractNumId="457">
    <w:nsid w:val="48BE573"/>
    <w:multiLevelType w:val="hybridMultilevel"/>
    <w:lvl w:ilvl="0">
      <w:lvlJc w:val="left"/>
      <w:lvlText w:val="☒"/>
      <w:numFmt w:val="bullet"/>
      <w:start w:val="1"/>
    </w:lvl>
  </w:abstractNum>
  <w:abstractNum w:abstractNumId="458">
    <w:nsid w:val="142AC06C"/>
    <w:multiLevelType w:val="hybridMultilevel"/>
    <w:lvl w:ilvl="0">
      <w:lvlJc w:val="left"/>
      <w:lvlText w:val="☐"/>
      <w:numFmt w:val="bullet"/>
      <w:start w:val="1"/>
    </w:lvl>
  </w:abstractNum>
  <w:abstractNum w:abstractNumId="459">
    <w:nsid w:val="5FA54049"/>
    <w:multiLevelType w:val="hybridMultilevel"/>
    <w:lvl w:ilvl="0">
      <w:lvlJc w:val="left"/>
      <w:lvlText w:val="%1."/>
      <w:numFmt w:val="decimal"/>
      <w:start w:val="1"/>
    </w:lvl>
  </w:abstractNum>
  <w:abstractNum w:abstractNumId="460">
    <w:nsid w:val="2CBE7670"/>
    <w:multiLevelType w:val="hybridMultilevel"/>
    <w:lvl w:ilvl="0">
      <w:lvlJc w:val="left"/>
      <w:lvlText w:val="%1."/>
      <w:numFmt w:val="decimal"/>
      <w:start w:val="3"/>
    </w:lvl>
  </w:abstractNum>
  <w:abstractNum w:abstractNumId="461">
    <w:nsid w:val="5D86CF11"/>
    <w:multiLevelType w:val="hybridMultilevel"/>
    <w:lvl w:ilvl="0">
      <w:lvlJc w:val="left"/>
      <w:lvlText w:val="%1."/>
      <w:numFmt w:val="decimal"/>
      <w:start w:val="8"/>
    </w:lvl>
    <w:lvl w:ilvl="1">
      <w:lvlJc w:val="left"/>
      <w:lvlText w:val="(%2)"/>
      <w:numFmt w:val="lowerLetter"/>
      <w:start w:val="1"/>
    </w:lvl>
  </w:abstractNum>
  <w:abstractNum w:abstractNumId="462">
    <w:nsid w:val="69EF4674"/>
    <w:multiLevelType w:val="hybridMultilevel"/>
    <w:lvl w:ilvl="0">
      <w:lvlJc w:val="left"/>
      <w:lvlText w:val="%1"/>
      <w:numFmt w:val="decimal"/>
      <w:start w:val="1"/>
    </w:lvl>
    <w:lvl w:ilvl="1">
      <w:lvlJc w:val="left"/>
      <w:lvlText w:val="(%2)"/>
      <w:numFmt w:val="lowerLetter"/>
      <w:start w:val="4"/>
    </w:lvl>
  </w:abstractNum>
  <w:abstractNum w:abstractNumId="463">
    <w:nsid w:val="68ABEFB0"/>
    <w:multiLevelType w:val="hybridMultilevel"/>
    <w:lvl w:ilvl="0">
      <w:lvlJc w:val="left"/>
      <w:lvlText w:val="%1."/>
      <w:numFmt w:val="decimal"/>
      <w:start w:val="13"/>
    </w:lvl>
    <w:lvl w:ilvl="1">
      <w:lvlJc w:val="left"/>
      <w:lvlText w:val="%2"/>
      <w:numFmt w:val="lowerLetter"/>
      <w:start w:val="1"/>
    </w:lvl>
  </w:abstractNum>
  <w:abstractNum w:abstractNumId="464">
    <w:nsid w:val="326C3C76"/>
    <w:multiLevelType w:val="hybridMultilevel"/>
    <w:lvl w:ilvl="0">
      <w:lvlJc w:val="left"/>
      <w:lvlText w:val="%1."/>
      <w:numFmt w:val="decimal"/>
      <w:start w:val="1"/>
    </w:lvl>
    <w:lvl w:ilvl="1">
      <w:lvlJc w:val="left"/>
      <w:lvlText w:val="(%2)"/>
      <w:numFmt w:val="lowerLetter"/>
      <w:start w:val="1"/>
    </w:lvl>
  </w:abstractNum>
  <w:abstractNum w:abstractNumId="465">
    <w:nsid w:val="58A36FCA"/>
    <w:multiLevelType w:val="hybridMultilevel"/>
    <w:lvl w:ilvl="0">
      <w:lvlJc w:val="left"/>
      <w:lvlText w:val="%1"/>
      <w:numFmt w:val="lowerLetter"/>
      <w:start w:val="1"/>
    </w:lvl>
    <w:lvl w:ilvl="1">
      <w:lvlJc w:val="left"/>
      <w:lvlText w:val="(%2)"/>
      <w:numFmt w:val="lowerLetter"/>
      <w:start w:val="3"/>
    </w:lvl>
  </w:abstractNum>
  <w:abstractNum w:abstractNumId="466">
    <w:nsid w:val="129B95F2"/>
    <w:multiLevelType w:val="hybridMultilevel"/>
    <w:lvl w:ilvl="0">
      <w:lvlJc w:val="left"/>
      <w:lvlText w:val="(%1)"/>
      <w:numFmt w:val="lowerLetter"/>
      <w:start w:val="1"/>
    </w:lvl>
    <w:lvl w:ilvl="1">
      <w:lvlJc w:val="left"/>
      <w:lvlText w:val="(%2)"/>
      <w:numFmt w:val="lowerLetter"/>
      <w:start w:val="6"/>
    </w:lvl>
  </w:abstractNum>
  <w:abstractNum w:abstractNumId="467">
    <w:nsid w:val="309FB9AB"/>
    <w:multiLevelType w:val="hybridMultilevel"/>
    <w:lvl w:ilvl="0">
      <w:lvlJc w:val="left"/>
      <w:lvlText w:val="(%1)"/>
      <w:numFmt w:val="lowerLetter"/>
      <w:start w:val="8"/>
    </w:lvl>
  </w:abstractNum>
  <w:abstractNum w:abstractNumId="468">
    <w:nsid w:val="782FF375"/>
    <w:multiLevelType w:val="hybridMultilevel"/>
    <w:lvl w:ilvl="0">
      <w:lvlJc w:val="left"/>
      <w:lvlText w:val="%1"/>
      <w:numFmt w:val="decimal"/>
      <w:start w:val="1"/>
    </w:lvl>
    <w:lvl w:ilvl="1">
      <w:lvlJc w:val="left"/>
      <w:lvlText w:val="(%2)"/>
      <w:numFmt w:val="lowerLetter"/>
      <w:start w:val="13"/>
    </w:lvl>
  </w:abstractNum>
  <w:abstractNum w:abstractNumId="469">
    <w:nsid w:val="2B8FA025"/>
    <w:multiLevelType w:val="hybridMultilevel"/>
    <w:lvl w:ilvl="0">
      <w:lvlJc w:val="left"/>
      <w:lvlText w:val="%1."/>
      <w:numFmt w:val="decimal"/>
      <w:start w:val="3"/>
    </w:lvl>
    <w:lvl w:ilvl="1">
      <w:lvlJc w:val="left"/>
      <w:lvlText w:val="(%2)"/>
      <w:numFmt w:val="lowerLetter"/>
      <w:start w:val="1"/>
    </w:lvl>
  </w:abstractNum>
  <w:abstractNum w:abstractNumId="470">
    <w:nsid w:val="40F9991C"/>
    <w:multiLevelType w:val="hybridMultilevel"/>
    <w:lvl w:ilvl="0">
      <w:lvlJc w:val="left"/>
      <w:lvlText w:val="(%1)"/>
      <w:numFmt w:val="lowerLetter"/>
      <w:start w:val="7"/>
    </w:lvl>
  </w:abstractNum>
  <w:abstractNum w:abstractNumId="471">
    <w:nsid w:val="52192AD"/>
    <w:multiLevelType w:val="hybridMultilevel"/>
    <w:lvl w:ilvl="0">
      <w:lvlJc w:val="left"/>
      <w:lvlText w:val="%1"/>
      <w:numFmt w:val="decimal"/>
      <w:start w:val="1"/>
    </w:lvl>
    <w:lvl w:ilvl="1">
      <w:lvlJc w:val="left"/>
      <w:lvlText w:val="(%2)"/>
      <w:numFmt w:val="lowerLetter"/>
      <w:start w:val="1"/>
    </w:lvl>
  </w:abstractNum>
  <w:abstractNum w:abstractNumId="472">
    <w:nsid w:val="7670D608"/>
    <w:multiLevelType w:val="hybridMultilevel"/>
    <w:lvl w:ilvl="0">
      <w:lvlJc w:val="left"/>
      <w:lvlText w:val="(%1)"/>
      <w:numFmt w:val="decimal"/>
      <w:start w:val="2"/>
    </w:lvl>
    <w:lvl w:ilvl="1">
      <w:lvlJc w:val="left"/>
      <w:lvlText w:val="(%2)"/>
      <w:numFmt w:val="lowerLetter"/>
      <w:start w:val="2"/>
    </w:lvl>
  </w:abstractNum>
  <w:abstractNum w:abstractNumId="473">
    <w:nsid w:val="48B6B6EB"/>
    <w:multiLevelType w:val="hybridMultilevel"/>
    <w:lvl w:ilvl="0">
      <w:lvlJc w:val="left"/>
      <w:lvlText w:val="☐"/>
      <w:numFmt w:val="bullet"/>
      <w:start w:val="1"/>
    </w:lvl>
    <w:lvl w:ilvl="1">
      <w:lvlJc w:val="left"/>
      <w:lvlText w:val="%2."/>
      <w:numFmt w:val="decimal"/>
      <w:start w:val="1"/>
    </w:lvl>
  </w:abstractNum>
  <w:abstractNum w:abstractNumId="474">
    <w:nsid w:val="FB37489"/>
    <w:multiLevelType w:val="hybridMultilevel"/>
    <w:lvl w:ilvl="0">
      <w:lvlJc w:val="left"/>
      <w:lvlText w:val="☒"/>
      <w:numFmt w:val="bullet"/>
      <w:start w:val="1"/>
    </w:lvl>
  </w:abstractNum>
  <w:abstractNum w:abstractNumId="475">
    <w:nsid w:val="8A75F95"/>
    <w:multiLevelType w:val="hybridMultilevel"/>
    <w:lvl w:ilvl="0">
      <w:lvlJc w:val="left"/>
      <w:lvlText w:val="☒"/>
      <w:numFmt w:val="bullet"/>
      <w:start w:val="1"/>
    </w:lvl>
    <w:lvl w:ilvl="1">
      <w:lvlJc w:val="left"/>
      <w:lvlText w:val="%2."/>
      <w:numFmt w:val="decimal"/>
      <w:start w:val="2"/>
    </w:lvl>
  </w:abstractNum>
  <w:abstractNum w:abstractNumId="476">
    <w:nsid w:val="2B27BF4D"/>
    <w:multiLevelType w:val="hybridMultilevel"/>
    <w:lvl w:ilvl="0">
      <w:lvlJc w:val="left"/>
      <w:lvlText w:val="☐"/>
      <w:numFmt w:val="bullet"/>
      <w:start w:val="1"/>
    </w:lvl>
  </w:abstractNum>
  <w:abstractNum w:abstractNumId="477">
    <w:nsid w:val="E5CBEB4"/>
    <w:multiLevelType w:val="hybridMultilevel"/>
    <w:lvl w:ilvl="0">
      <w:lvlJc w:val="left"/>
      <w:lvlText w:val="%1."/>
      <w:numFmt w:val="decimal"/>
      <w:start w:val="1"/>
    </w:lvl>
  </w:abstractNum>
  <w:abstractNum w:abstractNumId="478">
    <w:nsid w:val="297BFD38"/>
    <w:multiLevelType w:val="hybridMultilevel"/>
    <w:lvl w:ilvl="0">
      <w:lvlJc w:val="left"/>
      <w:lvlText w:val="%1."/>
      <w:numFmt w:val="decimal"/>
      <w:start w:val="1"/>
    </w:lvl>
    <w:lvl w:ilvl="1">
      <w:lvlJc w:val="left"/>
      <w:lvlText w:val="(%2)"/>
      <w:numFmt w:val="lowerLetter"/>
      <w:start w:val="1"/>
    </w:lvl>
  </w:abstractNum>
  <w:abstractNum w:abstractNumId="479">
    <w:nsid w:val="D9A50ED"/>
    <w:multiLevelType w:val="hybridMultilevel"/>
    <w:lvl w:ilvl="0">
      <w:lvlJc w:val="left"/>
      <w:lvlText w:val="%1."/>
      <w:numFmt w:val="decimal"/>
      <w:start w:val="2"/>
    </w:lvl>
    <w:lvl w:ilvl="1">
      <w:lvlJc w:val="left"/>
      <w:lvlText w:val="(%2)"/>
      <w:numFmt w:val="lowerLetter"/>
      <w:start w:val="1"/>
    </w:lvl>
  </w:abstractNum>
  <w:abstractNum w:abstractNumId="480">
    <w:nsid w:val="20DAABD1"/>
    <w:multiLevelType w:val="hybridMultilevel"/>
    <w:lvl w:ilvl="0">
      <w:lvlJc w:val="left"/>
      <w:lvlText w:val="%1."/>
      <w:numFmt w:val="decimal"/>
      <w:start w:val="3"/>
    </w:lvl>
    <w:lvl w:ilvl="1">
      <w:lvlJc w:val="left"/>
      <w:lvlText w:val="(%2)"/>
      <w:numFmt w:val="lowerLetter"/>
      <w:start w:val="1"/>
    </w:lvl>
  </w:abstractNum>
  <w:abstractNum w:abstractNumId="481">
    <w:nsid w:val="71B563E3"/>
    <w:multiLevelType w:val="hybridMultilevel"/>
    <w:lvl w:ilvl="0">
      <w:lvlJc w:val="left"/>
      <w:lvlText w:val="(%1)"/>
      <w:numFmt w:val="decimal"/>
      <w:start w:val="12"/>
    </w:lvl>
    <w:lvl w:ilvl="1">
      <w:lvlJc w:val="left"/>
      <w:lvlText w:val="%2"/>
      <w:numFmt w:val="lowerLetter"/>
      <w:start w:val="1"/>
    </w:lvl>
  </w:abstractNum>
  <w:abstractNum w:abstractNumId="482">
    <w:nsid w:val="741A191E"/>
    <w:multiLevelType w:val="hybridMultilevel"/>
    <w:lvl w:ilvl="0">
      <w:lvlJc w:val="left"/>
      <w:lvlText w:val="(%1)"/>
      <w:numFmt w:val="decimal"/>
      <w:start w:val="12"/>
    </w:lvl>
    <w:lvl w:ilvl="1">
      <w:lvlJc w:val="left"/>
      <w:lvlText w:val="(%2)"/>
      <w:numFmt w:val="lowerLetter"/>
      <w:start w:val="5"/>
    </w:lvl>
  </w:abstractNum>
  <w:abstractNum w:abstractNumId="483">
    <w:nsid w:val="55886153"/>
    <w:multiLevelType w:val="hybridMultilevel"/>
    <w:lvl w:ilvl="0">
      <w:lvlJc w:val="left"/>
      <w:lvlText w:val="(%1)"/>
      <w:numFmt w:val="decimal"/>
      <w:start w:val="60"/>
    </w:lvl>
    <w:lvl w:ilvl="1">
      <w:lvlJc w:val="left"/>
      <w:lvlText w:val="(%2)"/>
      <w:numFmt w:val="lowerLetter"/>
      <w:start w:val="7"/>
    </w:lvl>
  </w:abstractNum>
  <w:abstractNum w:abstractNumId="484">
    <w:nsid w:val="3E6AF287"/>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485">
    <w:nsid w:val="2D7CB919"/>
    <w:multiLevelType w:val="hybridMultilevel"/>
    <w:lvl w:ilvl="0">
      <w:lvlJc w:val="left"/>
      <w:lvlText w:val="(%1)"/>
      <w:numFmt w:val="upperLetter"/>
      <w:start w:val="4"/>
    </w:lvl>
    <w:lvl w:ilvl="1">
      <w:lvlJc w:val="left"/>
      <w:lvlText w:val="(%2)"/>
      <w:numFmt w:val="lowerRoman"/>
    </w:lvl>
    <w:lvl w:ilvl="2">
      <w:lvlJc w:val="left"/>
      <w:lvlText w:val="(%3)"/>
      <w:numFmt w:val="lowerRoman"/>
      <w:start w:val="4"/>
    </w:lvl>
  </w:abstractNum>
  <w:abstractNum w:abstractNumId="486">
    <w:nsid w:val="4781AC2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87">
    <w:nsid w:val="666AA3E1"/>
    <w:multiLevelType w:val="hybridMultilevel"/>
    <w:lvl w:ilvl="0">
      <w:lvlJc w:val="left"/>
      <w:lvlText w:val="(%1)"/>
      <w:numFmt w:val="decimal"/>
      <w:start w:val="6"/>
    </w:lvl>
    <w:lvl w:ilvl="1">
      <w:lvlJc w:val="left"/>
      <w:lvlText w:val="(%2)"/>
      <w:numFmt w:val="lowerRoman"/>
      <w:start w:val="4"/>
    </w:lvl>
    <w:lvl w:ilvl="2">
      <w:lvlJc w:val="left"/>
      <w:lvlText w:val="%3"/>
      <w:numFmt w:val="upperLetter"/>
      <w:start w:val="1"/>
    </w:lvl>
  </w:abstractNum>
  <w:abstractNum w:abstractNumId="488">
    <w:nsid w:val="32089E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89">
    <w:nsid w:val="5BAC6C9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0">
    <w:nsid w:val="460FE42B"/>
    <w:multiLevelType w:val="hybridMultilevel"/>
    <w:lvl w:ilvl="0">
      <w:lvlJc w:val="left"/>
      <w:lvlText w:val="(%1)"/>
      <w:numFmt w:val="lowerLetter"/>
      <w:start w:val="2"/>
    </w:lvl>
  </w:abstractNum>
  <w:abstractNum w:abstractNumId="491">
    <w:nsid w:val="5EC714FC"/>
    <w:multiLevelType w:val="hybridMultilevel"/>
    <w:lvl w:ilvl="0">
      <w:lvlJc w:val="left"/>
      <w:lvlText w:val="%1."/>
      <w:numFmt w:val="decimal"/>
      <w:start w:val="5"/>
    </w:lvl>
  </w:abstractNum>
  <w:abstractNum w:abstractNumId="492">
    <w:nsid w:val="39333BAD"/>
    <w:multiLevelType w:val="hybridMultilevel"/>
    <w:lvl w:ilvl="0">
      <w:lvlJc w:val="left"/>
      <w:lvlText w:val="%1"/>
      <w:numFmt w:val="decimal"/>
      <w:start w:val="1"/>
    </w:lvl>
    <w:lvl w:ilvl="1">
      <w:lvlJc w:val="left"/>
      <w:lvlText w:val="(%2)"/>
      <w:numFmt w:val="lowerLetter"/>
      <w:start w:val="1"/>
    </w:lvl>
  </w:abstractNum>
  <w:abstractNum w:abstractNumId="493">
    <w:nsid w:val="2FFF2A9F"/>
    <w:multiLevelType w:val="hybridMultilevel"/>
    <w:lvl w:ilvl="0">
      <w:lvlJc w:val="left"/>
      <w:lvlText w:val="%1."/>
      <w:numFmt w:val="decimal"/>
      <w:start w:val="6"/>
    </w:lvl>
    <w:lvl w:ilvl="1">
      <w:lvlJc w:val="left"/>
      <w:lvlText w:val="%2"/>
      <w:numFmt w:val="lowerLetter"/>
      <w:start w:val="1"/>
    </w:lvl>
  </w:abstractNum>
  <w:abstractNum w:abstractNumId="494">
    <w:nsid w:val="477304AC"/>
    <w:multiLevelType w:val="hybridMultilevel"/>
    <w:lvl w:ilvl="0">
      <w:lvlJc w:val="left"/>
      <w:lvlText w:val="%1."/>
      <w:numFmt w:val="decimal"/>
      <w:start w:val="8"/>
    </w:lvl>
  </w:abstractNum>
  <w:abstractNum w:abstractNumId="495">
    <w:nsid w:val="6B9F7823"/>
    <w:multiLevelType w:val="hybridMultilevel"/>
    <w:lvl w:ilvl="0">
      <w:lvlJc w:val="left"/>
      <w:lvlText w:val="☒"/>
      <w:numFmt w:val="bullet"/>
      <w:start w:val="1"/>
    </w:lvl>
  </w:abstractNum>
  <w:abstractNum w:abstractNumId="496">
    <w:nsid w:val="8A29A69"/>
    <w:multiLevelType w:val="hybridMultilevel"/>
    <w:lvl w:ilvl="0">
      <w:lvlJc w:val="left"/>
      <w:lvlText w:val="☐"/>
      <w:numFmt w:val="bullet"/>
      <w:start w:val="1"/>
    </w:lvl>
  </w:abstractNum>
  <w:abstractNum w:abstractNumId="497">
    <w:nsid w:val="5A0E9A9F"/>
    <w:multiLevelType w:val="hybridMultilevel"/>
    <w:lvl w:ilvl="0">
      <w:lvlJc w:val="left"/>
      <w:lvlText w:val="%1."/>
      <w:numFmt w:val="decimal"/>
      <w:start w:val="1"/>
    </w:lvl>
  </w:abstractNum>
  <w:abstractNum w:abstractNumId="498">
    <w:nsid w:val="1C3F31CE"/>
    <w:multiLevelType w:val="hybridMultilevel"/>
    <w:lvl w:ilvl="0">
      <w:lvlJc w:val="left"/>
      <w:lvlText w:val="%1."/>
      <w:numFmt w:val="decimal"/>
      <w:start w:val="3"/>
    </w:lvl>
  </w:abstractNum>
  <w:abstractNum w:abstractNumId="499">
    <w:nsid w:val="D28DDE"/>
    <w:multiLevelType w:val="hybridMultilevel"/>
    <w:lvl w:ilvl="0">
      <w:lvlJc w:val="left"/>
      <w:lvlText w:val="%1."/>
      <w:numFmt w:val="decimal"/>
      <w:start w:val="8"/>
    </w:lvl>
    <w:lvl w:ilvl="1">
      <w:lvlJc w:val="left"/>
      <w:lvlText w:val="(%2)"/>
      <w:numFmt w:val="lowerLetter"/>
      <w:start w:val="1"/>
    </w:lvl>
  </w:abstractNum>
  <w:abstractNum w:abstractNumId="500">
    <w:nsid w:val="59E3AC4"/>
    <w:multiLevelType w:val="hybridMultilevel"/>
    <w:lvl w:ilvl="0">
      <w:lvlJc w:val="left"/>
      <w:lvlText w:val="%1"/>
      <w:numFmt w:val="decimal"/>
      <w:start w:val="1"/>
    </w:lvl>
    <w:lvl w:ilvl="1">
      <w:lvlJc w:val="left"/>
      <w:lvlText w:val="(%2)"/>
      <w:numFmt w:val="lowerLetter"/>
      <w:start w:val="4"/>
    </w:lvl>
  </w:abstractNum>
  <w:abstractNum w:abstractNumId="501">
    <w:nsid w:val="5D38CAEA"/>
    <w:multiLevelType w:val="hybridMultilevel"/>
    <w:lvl w:ilvl="0">
      <w:lvlJc w:val="left"/>
      <w:lvlText w:val="%1."/>
      <w:numFmt w:val="decimal"/>
      <w:start w:val="13"/>
    </w:lvl>
    <w:lvl w:ilvl="1">
      <w:lvlJc w:val="left"/>
      <w:lvlText w:val="%2"/>
      <w:numFmt w:val="lowerLetter"/>
      <w:start w:val="1"/>
    </w:lvl>
  </w:abstractNum>
  <w:abstractNum w:abstractNumId="502">
    <w:nsid w:val="5F4208C"/>
    <w:multiLevelType w:val="hybridMultilevel"/>
    <w:lvl w:ilvl="0">
      <w:lvlJc w:val="left"/>
      <w:lvlText w:val="%1."/>
      <w:numFmt w:val="decimal"/>
      <w:start w:val="1"/>
    </w:lvl>
    <w:lvl w:ilvl="1">
      <w:lvlJc w:val="left"/>
      <w:lvlText w:val="(%2)"/>
      <w:numFmt w:val="lowerLetter"/>
      <w:start w:val="1"/>
    </w:lvl>
  </w:abstractNum>
  <w:abstractNum w:abstractNumId="503">
    <w:nsid w:val="7C0F10CC"/>
    <w:multiLevelType w:val="hybridMultilevel"/>
    <w:lvl w:ilvl="0">
      <w:lvlJc w:val="left"/>
      <w:lvlText w:val="%1"/>
      <w:numFmt w:val="lowerLetter"/>
      <w:start w:val="1"/>
    </w:lvl>
    <w:lvl w:ilvl="1">
      <w:lvlJc w:val="left"/>
      <w:lvlText w:val="(%2)"/>
      <w:numFmt w:val="lowerLetter"/>
      <w:start w:val="3"/>
    </w:lvl>
  </w:abstractNum>
  <w:abstractNum w:abstractNumId="504">
    <w:nsid w:val="25EF81D5"/>
    <w:multiLevelType w:val="hybridMultilevel"/>
    <w:lvl w:ilvl="0">
      <w:lvlJc w:val="left"/>
      <w:lvlText w:val="(%1)"/>
      <w:numFmt w:val="lowerLetter"/>
      <w:start w:val="1"/>
    </w:lvl>
    <w:lvl w:ilvl="1">
      <w:lvlJc w:val="left"/>
      <w:lvlText w:val="(%2)"/>
      <w:numFmt w:val="lowerLetter"/>
      <w:start w:val="6"/>
    </w:lvl>
  </w:abstractNum>
  <w:abstractNum w:abstractNumId="505">
    <w:nsid w:val="15A79515"/>
    <w:multiLevelType w:val="hybridMultilevel"/>
    <w:lvl w:ilvl="0">
      <w:lvlJc w:val="left"/>
      <w:lvlText w:val="(%1)"/>
      <w:numFmt w:val="lowerLetter"/>
      <w:start w:val="8"/>
    </w:lvl>
  </w:abstractNum>
  <w:abstractNum w:abstractNumId="506">
    <w:nsid w:val="4B67062"/>
    <w:multiLevelType w:val="hybridMultilevel"/>
    <w:lvl w:ilvl="0">
      <w:lvlJc w:val="left"/>
      <w:lvlText w:val="%1"/>
      <w:numFmt w:val="decimal"/>
      <w:start w:val="1"/>
    </w:lvl>
    <w:lvl w:ilvl="1">
      <w:lvlJc w:val="left"/>
      <w:lvlText w:val="(%2)"/>
      <w:numFmt w:val="lowerLetter"/>
      <w:start w:val="14"/>
    </w:lvl>
  </w:abstractNum>
  <w:abstractNum w:abstractNumId="507">
    <w:nsid w:val="51174123"/>
    <w:multiLevelType w:val="hybridMultilevel"/>
    <w:lvl w:ilvl="0">
      <w:lvlJc w:val="left"/>
      <w:lvlText w:val="%1."/>
      <w:numFmt w:val="decimal"/>
      <w:start w:val="3"/>
    </w:lvl>
    <w:lvl w:ilvl="1">
      <w:lvlJc w:val="left"/>
      <w:lvlText w:val="(%2)"/>
      <w:numFmt w:val="lowerLetter"/>
      <w:start w:val="1"/>
    </w:lvl>
  </w:abstractNum>
  <w:abstractNum w:abstractNumId="508">
    <w:nsid w:val="240453CA"/>
    <w:multiLevelType w:val="hybridMultilevel"/>
    <w:lvl w:ilvl="0">
      <w:lvlJc w:val="left"/>
      <w:lvlText w:val="(%1)"/>
      <w:numFmt w:val="lowerLetter"/>
      <w:start w:val="7"/>
    </w:lvl>
  </w:abstractNum>
  <w:abstractNum w:abstractNumId="509">
    <w:nsid w:val="2E326D9A"/>
    <w:multiLevelType w:val="hybridMultilevel"/>
    <w:lvl w:ilvl="0">
      <w:lvlJc w:val="left"/>
      <w:lvlText w:val="%1"/>
      <w:numFmt w:val="decimal"/>
      <w:start w:val="1"/>
    </w:lvl>
    <w:lvl w:ilvl="1">
      <w:lvlJc w:val="left"/>
      <w:lvlText w:val="(%2)"/>
      <w:numFmt w:val="lowerLetter"/>
      <w:start w:val="1"/>
    </w:lvl>
  </w:abstractNum>
  <w:abstractNum w:abstractNumId="510">
    <w:nsid w:val="5EB19210"/>
    <w:multiLevelType w:val="hybridMultilevel"/>
    <w:lvl w:ilvl="0">
      <w:lvlJc w:val="left"/>
      <w:lvlText w:val="(%1)"/>
      <w:numFmt w:val="decimal"/>
      <w:start w:val="2"/>
    </w:lvl>
    <w:lvl w:ilvl="1">
      <w:lvlJc w:val="left"/>
      <w:lvlText w:val="(%2)"/>
      <w:numFmt w:val="lowerLetter"/>
      <w:start w:val="2"/>
    </w:lvl>
  </w:abstractNum>
  <w:abstractNum w:abstractNumId="511">
    <w:nsid w:val="44DEFF9B"/>
    <w:multiLevelType w:val="hybridMultilevel"/>
    <w:lvl w:ilvl="0">
      <w:lvlJc w:val="left"/>
      <w:lvlText w:val="☒"/>
      <w:numFmt w:val="bullet"/>
      <w:start w:val="1"/>
    </w:lvl>
    <w:lvl w:ilvl="1">
      <w:lvlJc w:val="left"/>
      <w:lvlText w:val="%2."/>
      <w:numFmt w:val="decimal"/>
      <w:start w:val="1"/>
    </w:lvl>
  </w:abstractNum>
  <w:abstractNum w:abstractNumId="512">
    <w:nsid w:val="1FE7D17D"/>
    <w:multiLevelType w:val="hybridMultilevel"/>
    <w:lvl w:ilvl="0">
      <w:lvlJc w:val="left"/>
      <w:lvlText w:val="☐"/>
      <w:numFmt w:val="bullet"/>
      <w:start w:val="1"/>
    </w:lvl>
  </w:abstractNum>
  <w:abstractNum w:abstractNumId="513">
    <w:nsid w:val="52CBAB2E"/>
    <w:multiLevelType w:val="hybridMultilevel"/>
    <w:lvl w:ilvl="0">
      <w:lvlJc w:val="left"/>
      <w:lvlText w:val="☐"/>
      <w:numFmt w:val="bullet"/>
      <w:start w:val="1"/>
    </w:lvl>
    <w:lvl w:ilvl="1">
      <w:lvlJc w:val="left"/>
      <w:lvlText w:val="%2."/>
      <w:numFmt w:val="decimal"/>
      <w:start w:val="2"/>
    </w:lvl>
  </w:abstractNum>
  <w:abstractNum w:abstractNumId="514">
    <w:nsid w:val="1A6760EF"/>
    <w:multiLevelType w:val="hybridMultilevel"/>
    <w:lvl w:ilvl="0">
      <w:lvlJc w:val="left"/>
      <w:lvlText w:val="☒"/>
      <w:numFmt w:val="bullet"/>
      <w:start w:val="1"/>
    </w:lvl>
  </w:abstractNum>
  <w:abstractNum w:abstractNumId="515">
    <w:nsid w:val="5E52C405"/>
    <w:multiLevelType w:val="hybridMultilevel"/>
    <w:lvl w:ilvl="0">
      <w:lvlJc w:val="left"/>
      <w:lvlText w:val="(%1)"/>
      <w:numFmt w:val="lowerLetter"/>
      <w:start w:val="1"/>
    </w:lvl>
    <w:lvl w:ilvl="1">
      <w:lvlJc w:val="left"/>
      <w:lvlText w:val="%2."/>
      <w:numFmt w:val="lowerRoman"/>
      <w:start w:val="1"/>
    </w:lvl>
  </w:abstractNum>
  <w:abstractNum w:abstractNumId="516">
    <w:nsid w:val="486447"/>
    <w:multiLevelType w:val="hybridMultilevel"/>
    <w:lvl w:ilvl="0">
      <w:lvlJc w:val="left"/>
      <w:lvlText w:val="%1."/>
      <w:numFmt w:val="lowerRoman"/>
      <w:start w:val="3"/>
    </w:lvl>
  </w:abstractNum>
  <w:abstractNum w:abstractNumId="517">
    <w:nsid w:val="61E90D1E"/>
    <w:multiLevelType w:val="hybridMultilevel"/>
    <w:lvl w:ilvl="0">
      <w:lvlJc w:val="left"/>
      <w:lvlText w:val="1"/>
      <w:numFmt w:val="bullet"/>
      <w:start w:val="1"/>
    </w:lvl>
  </w:abstractNum>
  <w:abstractNum w:abstractNumId="518">
    <w:nsid w:val="44BD67E6"/>
    <w:multiLevelType w:val="hybridMultilevel"/>
    <w:lvl w:ilvl="0">
      <w:lvlJc w:val="left"/>
      <w:lvlText w:val="2"/>
      <w:numFmt w:val="bullet"/>
      <w:start w:val="1"/>
    </w:lvl>
  </w:abstractNum>
  <w:abstractNum w:abstractNumId="519">
    <w:nsid w:val="325102D3"/>
    <w:multiLevelType w:val="hybridMultilevel"/>
    <w:lvl w:ilvl="0">
      <w:lvlJc w:val="left"/>
      <w:lvlText w:val="(%1)"/>
      <w:numFmt w:val="lowerLetter"/>
      <w:start w:val="2"/>
    </w:lvl>
    <w:lvl w:ilvl="1">
      <w:lvlJc w:val="left"/>
      <w:lvlText w:val="3"/>
      <w:numFmt w:val="bullet"/>
      <w:start w:val="1"/>
    </w:lvl>
  </w:abstractNum>
  <w:abstractNum w:abstractNumId="520">
    <w:nsid w:val="3D9579BA"/>
    <w:multiLevelType w:val="hybridMultilevel"/>
    <w:lvl w:ilvl="0">
      <w:lvlJc w:val="left"/>
      <w:lvlText w:val="%1"/>
      <w:numFmt w:val="lowerLetter"/>
      <w:start w:val="1"/>
    </w:lvl>
    <w:lvl w:ilvl="1">
      <w:lvlJc w:val="left"/>
      <w:lvlText w:val="(%2)"/>
      <w:numFmt w:val="lowerLetter"/>
      <w:start w:val="5"/>
    </w:lvl>
  </w:abstractNum>
  <w:abstractNum w:abstractNumId="521">
    <w:nsid w:val="ACD4C11"/>
    <w:multiLevelType w:val="hybridMultilevel"/>
    <w:lvl w:ilvl="0">
      <w:lvlJc w:val="left"/>
      <w:lvlText w:val="(%1)"/>
      <w:numFmt w:val="lowerLetter"/>
      <w:start w:val="35"/>
    </w:lvl>
    <w:lvl w:ilvl="1">
      <w:lvlJc w:val="left"/>
      <w:lvlText w:val="(%2)"/>
      <w:numFmt w:val="lowerLetter"/>
      <w:start w:val="8"/>
    </w:lvl>
  </w:abstractNum>
  <w:abstractNum w:abstractNumId="522">
    <w:nsid w:val="111817CF"/>
    <w:multiLevelType w:val="hybridMultilevel"/>
    <w:lvl w:ilvl="0">
      <w:lvlJc w:val="left"/>
      <w:lvlText w:val="(%1)"/>
      <w:numFmt w:val="lowerLetter"/>
      <w:start w:val="9"/>
    </w:lvl>
  </w:abstractNum>
  <w:abstractNum w:abstractNumId="523">
    <w:nsid w:val="76C8B568"/>
    <w:multiLevelType w:val="hybridMultilevel"/>
    <w:lvl w:ilvl="0">
      <w:lvlJc w:val="left"/>
      <w:lvlText w:val="%1"/>
      <w:numFmt w:val="lowerLetter"/>
      <w:start w:val="1"/>
    </w:lvl>
    <w:lvl w:ilvl="1">
      <w:lvlJc w:val="left"/>
      <w:lvlText w:val="(%2)"/>
      <w:numFmt w:val="lowerLetter"/>
      <w:start w:val="1"/>
    </w:lvl>
  </w:abstractNum>
  <w:abstractNum w:abstractNumId="524">
    <w:nsid w:val="3ACC76B1"/>
    <w:multiLevelType w:val="hybridMultilevel"/>
    <w:lvl w:ilvl="0">
      <w:lvlJc w:val="left"/>
      <w:lvlText w:val="(%1)"/>
      <w:numFmt w:val="lowerLetter"/>
      <w:start w:val="35"/>
    </w:lvl>
    <w:lvl w:ilvl="1">
      <w:lvlJc w:val="left"/>
      <w:lvlText w:val="%2"/>
      <w:numFmt w:val="lowerLetter"/>
      <w:start w:val="1"/>
    </w:lvl>
  </w:abstractNum>
  <w:abstractNum w:abstractNumId="525">
    <w:nsid w:val="588B1C7C"/>
    <w:multiLevelType w:val="hybridMultilevel"/>
    <w:lvl w:ilvl="0">
      <w:lvlJc w:val="left"/>
      <w:lvlText w:val="(%1)"/>
      <w:numFmt w:val="lowerLetter"/>
      <w:start w:val="3"/>
    </w:lvl>
  </w:abstractNum>
  <w:abstractNum w:abstractNumId="526">
    <w:nsid w:val="62682D8B"/>
    <w:multiLevelType w:val="hybridMultilevel"/>
    <w:lvl w:ilvl="0">
      <w:lvlJc w:val="left"/>
      <w:lvlText w:val="%1"/>
      <w:numFmt w:val="lowerLetter"/>
      <w:start w:val="1"/>
    </w:lvl>
    <w:lvl w:ilvl="1">
      <w:lvlJc w:val="left"/>
      <w:lvlText w:val="(%2)"/>
      <w:numFmt w:val="lowerLetter"/>
      <w:start w:val="1"/>
    </w:lvl>
  </w:abstractNum>
  <w:abstractNum w:abstractNumId="527">
    <w:nsid w:val="436F111A"/>
    <w:multiLevelType w:val="hybridMultilevel"/>
    <w:lvl w:ilvl="0">
      <w:lvlJc w:val="left"/>
      <w:lvlText w:val="(%1)"/>
      <w:numFmt w:val="lowerLetter"/>
      <w:start w:val="9"/>
    </w:lvl>
    <w:lvl w:ilvl="1">
      <w:lvlJc w:val="left"/>
      <w:lvlText w:val="(%2)"/>
      <w:numFmt w:val="lowerLetter"/>
      <w:start w:val="2"/>
    </w:lvl>
  </w:abstractNum>
  <w:abstractNum w:abstractNumId="528">
    <w:nsid w:val="3299B71B"/>
    <w:multiLevelType w:val="hybridMultilevel"/>
    <w:lvl w:ilvl="0">
      <w:lvlJc w:val="left"/>
      <w:lvlText w:val="(%1)"/>
      <w:numFmt w:val="lowerLetter"/>
      <w:start w:val="1"/>
    </w:lvl>
  </w:abstractNum>
  <w:abstractNum w:abstractNumId="529">
    <w:nsid w:val="7EA75F5A"/>
    <w:multiLevelType w:val="hybridMultilevel"/>
    <w:lvl w:ilvl="0">
      <w:lvlJc w:val="left"/>
      <w:lvlText w:val="(%1)"/>
      <w:numFmt w:val="lowerLetter"/>
      <w:start w:val="1"/>
    </w:lvl>
    <w:lvl w:ilvl="1">
      <w:lvlJc w:val="left"/>
      <w:lvlText w:val="%2."/>
      <w:numFmt w:val="lowerRoman"/>
      <w:start w:val="1"/>
    </w:lvl>
  </w:abstractNum>
  <w:abstractNum w:abstractNumId="530">
    <w:nsid w:val="44419EF9"/>
    <w:multiLevelType w:val="hybridMultilevel"/>
    <w:lvl w:ilvl="0">
      <w:lvlJc w:val="left"/>
      <w:lvlText w:val="(%1)"/>
      <w:numFmt w:val="lowerLetter"/>
      <w:start w:val="4"/>
    </w:lvl>
  </w:abstractNum>
  <w:abstractNum w:abstractNumId="531">
    <w:nsid w:val="3837F1DF"/>
    <w:multiLevelType w:val="hybridMultilevel"/>
    <w:lvl w:ilvl="0">
      <w:lvlJc w:val="left"/>
      <w:lvlText w:val="(%1)"/>
      <w:numFmt w:val="lowerLetter"/>
      <w:start w:val="1"/>
    </w:lvl>
  </w:abstractNum>
  <w:abstractNum w:abstractNumId="532">
    <w:nsid w:val="5BE02A44"/>
    <w:multiLevelType w:val="hybridMultilevel"/>
    <w:lvl w:ilvl="0">
      <w:lvlJc w:val="left"/>
      <w:lvlText w:val="(%1)"/>
      <w:numFmt w:val="lowerLetter"/>
      <w:start w:val="3"/>
    </w:lvl>
  </w:abstractNum>
  <w:abstractNum w:abstractNumId="533">
    <w:nsid w:val="4A35BF85"/>
    <w:multiLevelType w:val="hybridMultilevel"/>
    <w:lvl w:ilvl="0">
      <w:lvlJc w:val="left"/>
      <w:lvlText w:val="(%1)"/>
      <w:numFmt w:val="lowerLetter"/>
      <w:start w:val="1"/>
    </w:lvl>
  </w:abstractNum>
  <w:abstractNum w:abstractNumId="534">
    <w:nsid w:val="344702AC"/>
    <w:multiLevelType w:val="hybridMultilevel"/>
    <w:lvl w:ilvl="0">
      <w:lvlJc w:val="left"/>
      <w:lvlText w:val="(%1)"/>
      <w:numFmt w:val="lowerLetter"/>
      <w:start w:val="2"/>
    </w:lvl>
  </w:abstractNum>
  <w:abstractNum w:abstractNumId="535">
    <w:nsid w:val="1CFAC1A"/>
    <w:multiLevelType w:val="hybridMultilevel"/>
    <w:lvl w:ilvl="0">
      <w:lvlJc w:val="left"/>
      <w:lvlText w:val="%1"/>
      <w:numFmt w:val="lowerLetter"/>
      <w:start w:val="1"/>
    </w:lvl>
    <w:lvl w:ilvl="1">
      <w:lvlJc w:val="left"/>
      <w:lvlText w:val="(%2)"/>
      <w:numFmt w:val="lowerLetter"/>
      <w:start w:val="1"/>
    </w:lvl>
  </w:abstractNum>
  <w:abstractNum w:abstractNumId="536">
    <w:nsid w:val="5FDD549A"/>
    <w:multiLevelType w:val="hybridMultilevel"/>
    <w:lvl w:ilvl="0">
      <w:lvlJc w:val="left"/>
      <w:lvlText w:val="(%1)"/>
      <w:numFmt w:val="lowerLetter"/>
      <w:start w:val="35"/>
    </w:lvl>
    <w:lvl w:ilvl="1">
      <w:lvlJc w:val="left"/>
      <w:lvlText w:val="%2"/>
      <w:numFmt w:val="lowerLetter"/>
      <w:start w:val="1"/>
    </w:lvl>
  </w:abstractNum>
  <w:abstractNum w:abstractNumId="537">
    <w:nsid w:val="38FD730E"/>
    <w:multiLevelType w:val="hybridMultilevel"/>
    <w:lvl w:ilvl="0">
      <w:lvlJc w:val="left"/>
      <w:lvlText w:val="(%1)"/>
      <w:numFmt w:val="lowerLetter"/>
      <w:start w:val="1"/>
    </w:lvl>
  </w:abstractNum>
  <w:abstractNum w:abstractNumId="538">
    <w:nsid w:val="52E6ED3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39">
    <w:nsid w:val="3E1A864"/>
    <w:multiLevelType w:val="hybridMultilevel"/>
    <w:lvl w:ilvl="0">
      <w:lvlJc w:val="left"/>
      <w:lvlText w:val="%1"/>
      <w:numFmt w:val="lowerLetter"/>
      <w:start w:val="1"/>
    </w:lvl>
    <w:lvl w:ilvl="1">
      <w:lvlJc w:val="left"/>
      <w:lvlText w:val="%2."/>
      <w:numFmt w:val="lowerRoman"/>
      <w:start w:val="4"/>
    </w:lvl>
  </w:abstractNum>
  <w:abstractNum w:abstractNumId="540">
    <w:nsid w:val="672FE0A8"/>
    <w:multiLevelType w:val="hybridMultilevel"/>
    <w:lvl w:ilvl="0">
      <w:lvlJc w:val="left"/>
      <w:lvlText w:val="(%1)"/>
      <w:numFmt w:val="lowerLetter"/>
      <w:start w:val="3"/>
    </w:lvl>
    <w:lvl w:ilvl="1">
      <w:lvlJc w:val="left"/>
      <w:lvlText w:val="%2"/>
      <w:numFmt w:val="lowerRoman"/>
      <w:start w:val="1"/>
    </w:lvl>
  </w:abstractNum>
  <w:abstractNum w:abstractNumId="541">
    <w:nsid w:val="31987F4D"/>
    <w:multiLevelType w:val="hybridMultilevel"/>
    <w:lvl w:ilvl="0">
      <w:lvlJc w:val="left"/>
      <w:lvlText w:val="(%1)"/>
      <w:numFmt w:val="lowerLetter"/>
      <w:start w:val="1"/>
    </w:lvl>
  </w:abstractNum>
  <w:abstractNum w:abstractNumId="542">
    <w:nsid w:val="48C0A800"/>
    <w:multiLevelType w:val="hybridMultilevel"/>
    <w:lvl w:ilvl="0">
      <w:lvlJc w:val="left"/>
      <w:lvlText w:val="(%1)"/>
      <w:numFmt w:val="lowerRoman"/>
      <w:start w:val="4"/>
    </w:lvl>
  </w:abstractNum>
  <w:abstractNum w:abstractNumId="543">
    <w:nsid w:val="717B226"/>
    <w:multiLevelType w:val="hybridMultilevel"/>
    <w:lvl w:ilvl="0">
      <w:lvlJc w:val="left"/>
      <w:lvlText w:val="%1."/>
      <w:numFmt w:val="decimal"/>
      <w:start w:val="1"/>
    </w:lvl>
  </w:abstractNum>
  <w:abstractNum w:abstractNumId="544">
    <w:nsid w:val="4642A7B"/>
    <w:multiLevelType w:val="hybridMultilevel"/>
    <w:lvl w:ilvl="0">
      <w:lvlJc w:val="left"/>
      <w:lvlText w:val="%1."/>
      <w:numFmt w:val="decimal"/>
      <w:start w:val="5"/>
    </w:lvl>
  </w:abstractNum>
  <w:abstractNum w:abstractNumId="545">
    <w:nsid w:val="632808EF"/>
    <w:multiLevelType w:val="hybridMultilevel"/>
    <w:lvl w:ilvl="0">
      <w:lvlJc w:val="left"/>
      <w:lvlText w:val="%1."/>
      <w:numFmt w:val="decimal"/>
      <w:start w:val="6"/>
    </w:lvl>
    <w:lvl w:ilvl="1">
      <w:lvlJc w:val="left"/>
      <w:lvlText w:val="(%2)"/>
      <w:numFmt w:val="upperLetter"/>
      <w:start w:val="1"/>
    </w:lvl>
  </w:abstractNum>
  <w:abstractNum w:abstractNumId="546">
    <w:nsid w:val="656A762B"/>
    <w:multiLevelType w:val="hybridMultilevel"/>
    <w:lvl w:ilvl="0">
      <w:lvlJc w:val="left"/>
      <w:lvlText w:val="(%1)"/>
      <w:numFmt w:val="upperLetter"/>
      <w:start w:val="2"/>
    </w:lvl>
  </w:abstractNum>
  <w:abstractNum w:abstractNumId="547">
    <w:nsid w:val="4AC8EC3"/>
    <w:multiLevelType w:val="hybridMultilevel"/>
    <w:lvl w:ilvl="0">
      <w:lvlJc w:val="left"/>
      <w:lvlText w:val="%1."/>
      <w:numFmt w:val="decimal"/>
      <w:start w:val="7"/>
    </w:lvl>
  </w:abstractNum>
  <w:abstractNum w:abstractNumId="548">
    <w:nsid w:val="4511160D"/>
    <w:multiLevelType w:val="hybridMultilevel"/>
    <w:lvl w:ilvl="0">
      <w:lvlJc w:val="left"/>
      <w:lvlText w:val="%1."/>
      <w:numFmt w:val="decimal"/>
      <w:start w:val="9"/>
    </w:lvl>
  </w:abstractNum>
  <w:abstractNum w:abstractNumId="549">
    <w:nsid w:val="2A27DE11"/>
    <w:multiLevelType w:val="hybridMultilevel"/>
    <w:lvl w:ilvl="0">
      <w:lvlJc w:val="left"/>
      <w:lvlText w:val="%1."/>
      <w:numFmt w:val="decimal"/>
      <w:start w:val="10"/>
    </w:lvl>
  </w:abstractNum>
  <w:abstractNum w:abstractNumId="550">
    <w:nsid w:val="36FD9196"/>
    <w:multiLevelType w:val="hybridMultilevel"/>
    <w:lvl w:ilvl="0">
      <w:lvlJc w:val="left"/>
      <w:lvlText w:val="%1."/>
      <w:numFmt w:val="decimal"/>
      <w:start w:val="13"/>
    </w:lvl>
    <w:lvl w:ilvl="1">
      <w:lvlJc w:val="left"/>
      <w:lvlText w:val="(%2)"/>
      <w:numFmt w:val="upperLetter"/>
      <w:start w:val="1"/>
    </w:lvl>
  </w:abstractNum>
  <w:abstractNum w:abstractNumId="551">
    <w:nsid w:val="2A68FC8"/>
    <w:multiLevelType w:val="hybridMultilevel"/>
    <w:lvl w:ilvl="0">
      <w:lvlJc w:val="left"/>
      <w:lvlText w:val="%1"/>
      <w:numFmt w:val="decimal"/>
      <w:start w:val="1"/>
    </w:lvl>
    <w:lvl w:ilvl="1">
      <w:lvlJc w:val="left"/>
      <w:lvlText w:val="(%2)"/>
      <w:numFmt w:val="upperLetter"/>
      <w:start w:val="2"/>
    </w:lvl>
  </w:abstractNum>
  <w:abstractNum w:abstractNumId="552">
    <w:nsid w:val="34F52A23"/>
    <w:multiLevelType w:val="hybridMultilevel"/>
    <w:lvl w:ilvl="0">
      <w:lvlJc w:val="left"/>
      <w:lvlText w:val="%1."/>
      <w:numFmt w:val="decimal"/>
      <w:start w:val="15"/>
    </w:lvl>
    <w:lvl w:ilvl="1">
      <w:lvlJc w:val="left"/>
      <w:lvlText w:val="%2"/>
      <w:numFmt w:val="upperLetter"/>
      <w:start w:val="1"/>
    </w:lvl>
  </w:abstractNum>
  <w:abstractNum w:abstractNumId="553">
    <w:nsid w:val="4815A966"/>
    <w:multiLevelType w:val="hybridMultilevel"/>
    <w:lvl w:ilvl="0">
      <w:lvlJc w:val="left"/>
      <w:lvlText w:val="%1."/>
      <w:numFmt w:val="decimal"/>
      <w:start w:val="16"/>
    </w:lvl>
  </w:abstractNum>
  <w:abstractNum w:abstractNumId="554">
    <w:nsid w:val="796F4530"/>
    <w:multiLevelType w:val="hybridMultilevel"/>
    <w:lvl w:ilvl="0">
      <w:lvlJc w:val="left"/>
      <w:lvlText w:val="%1."/>
      <w:numFmt w:val="decimal"/>
      <w:start w:val="17"/>
    </w:lvl>
  </w:abstractNum>
  <w:abstractNum w:abstractNumId="555">
    <w:nsid w:val="6FC1A0D4"/>
    <w:multiLevelType w:val="hybridMultilevel"/>
    <w:lvl w:ilvl="0">
      <w:lvlJc w:val="left"/>
      <w:lvlText w:val="(%1)"/>
      <w:numFmt w:val="lowerRoman"/>
      <w:start w:val="2"/>
    </w:lvl>
  </w:abstractNum>
  <w:abstractNum w:abstractNumId="556">
    <w:nsid w:val="20A0C5E2"/>
    <w:multiLevelType w:val="hybridMultilevel"/>
    <w:lvl w:ilvl="0">
      <w:lvlJc w:val="left"/>
      <w:lvlText w:val="%1."/>
      <w:numFmt w:val="decimal"/>
      <w:start w:val="18"/>
    </w:lvl>
  </w:abstractNum>
  <w:abstractNum w:abstractNumId="557">
    <w:nsid w:val="5BD772BB"/>
    <w:multiLevelType w:val="hybridMultilevel"/>
    <w:lvl w:ilvl="0">
      <w:lvlJc w:val="left"/>
      <w:lvlText w:val="%1."/>
      <w:numFmt w:val="decimal"/>
      <w:start w:val="22"/>
    </w:lvl>
  </w:abstractNum>
  <w:abstractNum w:abstractNumId="558">
    <w:nsid w:val="3330B1EE"/>
    <w:multiLevelType w:val="hybridMultilevel"/>
    <w:lvl w:ilvl="0">
      <w:lvlJc w:val="left"/>
      <w:lvlText w:val="%1."/>
      <w:numFmt w:val="decimal"/>
      <w:start w:val="24"/>
    </w:lvl>
  </w:abstractNum>
  <w:abstractNum w:abstractNumId="559">
    <w:nsid w:val="533A7CFD"/>
    <w:multiLevelType w:val="hybridMultilevel"/>
    <w:lvl w:ilvl="0">
      <w:lvlJc w:val="left"/>
      <w:lvlText w:val="%1."/>
      <w:numFmt w:val="decimal"/>
      <w:start w:val="27"/>
    </w:lvl>
  </w:abstractNum>
  <w:abstractNum w:abstractNumId="560">
    <w:nsid w:val="5A7ED215"/>
    <w:multiLevelType w:val="hybridMultilevel"/>
    <w:lvl w:ilvl="0">
      <w:lvlJc w:val="left"/>
      <w:lvlText w:val="%1."/>
      <w:numFmt w:val="decimal"/>
      <w:start w:val="31"/>
    </w:lvl>
  </w:abstractNum>
  <w:abstractNum w:abstractNumId="561">
    <w:nsid w:val="777250E7"/>
    <w:multiLevelType w:val="hybridMultilevel"/>
    <w:lvl w:ilvl="0">
      <w:lvlJc w:val="left"/>
      <w:lvlText w:val="[%1]"/>
      <w:numFmt w:val="upperLetter"/>
      <w:start w:val="24"/>
    </w:lvl>
    <w:lvl w:ilvl="1">
      <w:lvlJc w:val="left"/>
      <w:lvlText w:val="%2."/>
      <w:numFmt w:val="decimal"/>
      <w:start w:val="1"/>
    </w:lvl>
  </w:abstractNum>
  <w:abstractNum w:abstractNumId="562">
    <w:nsid w:val="B726EDC"/>
    <w:multiLevelType w:val="hybridMultilevel"/>
    <w:lvl w:ilvl="0">
      <w:lvlJc w:val="left"/>
      <w:lvlText w:val="%1."/>
      <w:numFmt w:val="decimal"/>
      <w:start w:val="3"/>
    </w:lvl>
  </w:abstractNum>
  <w:abstractNum w:abstractNumId="563">
    <w:nsid w:val="365EFC5A"/>
    <w:multiLevelType w:val="hybridMultilevel"/>
    <w:lvl w:ilvl="0">
      <w:lvlJc w:val="left"/>
      <w:lvlText w:val="(%1)"/>
      <w:numFmt w:val="lowerLetter"/>
      <w:start w:val="1"/>
    </w:lvl>
  </w:abstractNum>
  <w:abstractNum w:abstractNumId="564">
    <w:nsid w:val="41A8106C"/>
    <w:multiLevelType w:val="hybridMultilevel"/>
    <w:lvl w:ilvl="0">
      <w:lvlJc w:val="left"/>
      <w:lvlText w:val="(%1)"/>
      <w:numFmt w:val="lowerLetter"/>
      <w:start w:val="2"/>
    </w:lvl>
  </w:abstractNum>
  <w:abstractNum w:abstractNumId="565">
    <w:nsid w:val="3FB97188"/>
    <w:multiLevelType w:val="hybridMultilevel"/>
    <w:lvl w:ilvl="0">
      <w:lvlJc w:val="left"/>
      <w:lvlText w:val="%1."/>
      <w:numFmt w:val="decimal"/>
      <w:start w:val="4"/>
    </w:lvl>
  </w:abstractNum>
  <w:abstractNum w:abstractNumId="566">
    <w:nsid w:val="382EA874"/>
    <w:multiLevelType w:val="hybridMultilevel"/>
    <w:lvl w:ilvl="0">
      <w:lvlJc w:val="left"/>
      <w:lvlText w:val="(%1)"/>
      <w:numFmt w:val="lowerLetter"/>
      <w:start w:val="1"/>
    </w:lvl>
  </w:abstractNum>
  <w:abstractNum w:abstractNumId="567">
    <w:nsid w:val="21856507"/>
    <w:multiLevelType w:val="hybridMultilevel"/>
    <w:lvl w:ilvl="0">
      <w:lvlJc w:val="left"/>
      <w:lvlText w:val="%1."/>
      <w:numFmt w:val="decimal"/>
      <w:start w:val="5"/>
    </w:lvl>
  </w:abstractNum>
  <w:abstractNum w:abstractNumId="568">
    <w:nsid w:val="78B6E496"/>
    <w:multiLevelType w:val="hybridMultilevel"/>
    <w:lvl w:ilvl="0">
      <w:lvlJc w:val="left"/>
      <w:lvlText w:val="(%1)"/>
      <w:numFmt w:val="lowerLetter"/>
      <w:start w:val="1"/>
    </w:lvl>
  </w:abstractNum>
  <w:abstractNum w:abstractNumId="569">
    <w:nsid w:val="B1595B1"/>
    <w:multiLevelType w:val="hybridMultilevel"/>
    <w:lvl w:ilvl="0">
      <w:lvlJc w:val="left"/>
      <w:lvlText w:val="(%1)"/>
      <w:numFmt w:val="lowerLetter"/>
      <w:start w:val="6"/>
    </w:lvl>
  </w:abstractNum>
  <w:abstractNum w:abstractNumId="570">
    <w:nsid w:val="25670D6B"/>
    <w:multiLevelType w:val="hybridMultilevel"/>
    <w:lvl w:ilvl="0">
      <w:lvlJc w:val="left"/>
      <w:lvlText w:val="(%1)"/>
      <w:numFmt w:val="lowerLetter"/>
      <w:start w:val="18"/>
    </w:lvl>
  </w:abstractNum>
  <w:abstractNum w:abstractNumId="571">
    <w:nsid w:val="5FE6C53F"/>
    <w:multiLevelType w:val="hybridMultilevel"/>
    <w:lvl w:ilvl="0">
      <w:lvlJc w:val="left"/>
      <w:lvlText w:val="(%1)"/>
      <w:numFmt w:val="lowerLetter"/>
      <w:start w:val="28"/>
    </w:lvl>
  </w:abstractNum>
  <w:abstractNum w:abstractNumId="572">
    <w:nsid w:val="3CAE14FE"/>
    <w:multiLevelType w:val="hybridMultilevel"/>
    <w:lvl w:ilvl="0">
      <w:lvlJc w:val="left"/>
      <w:lvlText w:val="(%1)"/>
      <w:numFmt w:val="lowerRoman"/>
      <w:start w:val="2"/>
    </w:lvl>
  </w:abstractNum>
  <w:abstractNum w:abstractNumId="573">
    <w:nsid w:val="6E27B56B"/>
    <w:multiLevelType w:val="hybridMultilevel"/>
    <w:lvl w:ilvl="0">
      <w:lvlJc w:val="left"/>
      <w:lvlText w:val="%1."/>
      <w:numFmt w:val="decimal"/>
      <w:start w:val="6"/>
    </w:lvl>
  </w:abstractNum>
  <w:abstractNum w:abstractNumId="574">
    <w:nsid w:val="66FE7765"/>
    <w:multiLevelType w:val="hybridMultilevel"/>
    <w:lvl w:ilvl="0">
      <w:lvlJc w:val="left"/>
      <w:lvlText w:val="%1"/>
      <w:numFmt w:val="lowerRoman"/>
      <w:start w:val="1"/>
    </w:lvl>
    <w:lvl w:ilvl="1">
      <w:lvlJc w:val="left"/>
      <w:lvlText w:val="%2."/>
      <w:numFmt w:val="decimal"/>
      <w:start w:val="8"/>
    </w:lvl>
  </w:abstractNum>
  <w:abstractNum w:abstractNumId="575">
    <w:nsid w:val="41123F79"/>
    <w:multiLevelType w:val="hybridMultilevel"/>
    <w:lvl w:ilvl="0">
      <w:lvlJc w:val="left"/>
      <w:lvlText w:val="(%1)"/>
      <w:numFmt w:val="lowerRoman"/>
      <w:start w:val="1"/>
    </w:lvl>
    <w:lvl w:ilvl="1">
      <w:lvlJc w:val="left"/>
      <w:lvlText w:val="%2"/>
      <w:numFmt w:val="decimal"/>
      <w:start w:val="1"/>
    </w:lvl>
  </w:abstractNum>
  <w:abstractNum w:abstractNumId="576">
    <w:nsid w:val="514FBE5A"/>
    <w:multiLevelType w:val="hybridMultilevel"/>
    <w:lvl w:ilvl="0">
      <w:lvlJc w:val="left"/>
      <w:lvlText w:val="%1."/>
      <w:numFmt w:val="decimal"/>
      <w:start w:val="9"/>
    </w:lvl>
  </w:abstractNum>
  <w:abstractNum w:abstractNumId="577">
    <w:nsid w:val="4C68ED90"/>
    <w:multiLevelType w:val="hybridMultilevel"/>
    <w:lvl w:ilvl="0">
      <w:lvlJc w:val="left"/>
      <w:lvlText w:val="%1."/>
      <w:numFmt w:val="decimal"/>
      <w:start w:val="10"/>
    </w:lvl>
  </w:abstractNum>
  <w:abstractNum w:abstractNumId="578">
    <w:nsid w:val="45BECE3C"/>
    <w:multiLevelType w:val="hybridMultilevel"/>
    <w:lvl w:ilvl="0">
      <w:lvlJc w:val="left"/>
      <w:lvlText w:val="%1."/>
      <w:numFmt w:val="decimal"/>
      <w:start w:val="12"/>
    </w:lvl>
  </w:abstractNum>
  <w:abstractNum w:abstractNumId="579">
    <w:nsid w:val="1660D468"/>
    <w:multiLevelType w:val="hybridMultilevel"/>
    <w:lvl w:ilvl="0">
      <w:lvlJc w:val="left"/>
      <w:lvlText w:val="(%1)"/>
      <w:numFmt w:val="lowerLetter"/>
      <w:start w:val="25"/>
    </w:lvl>
  </w:abstractNum>
  <w:abstractNum w:abstractNumId="580">
    <w:nsid w:val="7690CBA1"/>
    <w:multiLevelType w:val="hybridMultilevel"/>
    <w:lvl w:ilvl="0">
      <w:lvlJc w:val="left"/>
      <w:lvlText w:val="%1."/>
      <w:numFmt w:val="decimal"/>
      <w:start w:val="13"/>
    </w:lvl>
  </w:abstractNum>
  <w:abstractNum w:abstractNumId="581">
    <w:nsid w:val="7CBC5FD3"/>
    <w:multiLevelType w:val="hybridMultilevel"/>
    <w:lvl w:ilvl="0">
      <w:lvlJc w:val="left"/>
      <w:lvlText w:val="%1."/>
      <w:numFmt w:val="decimal"/>
      <w:start w:val="15"/>
    </w:lvl>
  </w:abstractNum>
  <w:abstractNum w:abstractNumId="582">
    <w:nsid w:val="19076430"/>
    <w:multiLevelType w:val="hybridMultilevel"/>
    <w:lvl w:ilvl="0">
      <w:lvlJc w:val="left"/>
      <w:lvlText w:val="%1."/>
      <w:numFmt w:val="decimal"/>
      <w:start w:val="17"/>
    </w:lvl>
  </w:abstractNum>
  <w:abstractNum w:abstractNumId="583">
    <w:nsid w:val="2B85F5C4"/>
    <w:multiLevelType w:val="hybridMultilevel"/>
    <w:lvl w:ilvl="0">
      <w:lvlJc w:val="left"/>
      <w:lvlText w:val="%1."/>
      <w:numFmt w:val="decimal"/>
      <w:start w:val="18"/>
    </w:lvl>
  </w:abstractNum>
  <w:abstractNum w:abstractNumId="584">
    <w:nsid w:val="44D20939"/>
    <w:multiLevelType w:val="hybridMultilevel"/>
    <w:lvl w:ilvl="0">
      <w:lvlJc w:val="left"/>
      <w:lvlText w:val="%1."/>
      <w:numFmt w:val="decimal"/>
      <w:start w:val="19"/>
    </w:lvl>
  </w:abstractNum>
  <w:abstractNum w:abstractNumId="585">
    <w:nsid w:val="1276A960"/>
    <w:multiLevelType w:val="hybridMultilevel"/>
    <w:lvl w:ilvl="0">
      <w:lvlJc w:val="left"/>
      <w:lvlText w:val="(%1)"/>
      <w:numFmt w:val="lowerLetter"/>
      <w:start w:val="1"/>
    </w:lvl>
  </w:abstractNum>
  <w:abstractNum w:abstractNumId="586">
    <w:nsid w:val="1B479698"/>
    <w:multiLevelType w:val="hybridMultilevel"/>
    <w:lvl w:ilvl="0">
      <w:lvlJc w:val="left"/>
      <w:lvlText w:val="(%1)"/>
      <w:numFmt w:val="lowerLetter"/>
      <w:start w:val="2"/>
    </w:lvl>
  </w:abstractNum>
  <w:abstractNum w:abstractNumId="587">
    <w:nsid w:val="6572CF1B"/>
    <w:multiLevelType w:val="hybridMultilevel"/>
    <w:lvl w:ilvl="0">
      <w:lvlJc w:val="left"/>
      <w:lvlText w:val="%1."/>
      <w:numFmt w:val="decimal"/>
      <w:start w:val="21"/>
    </w:lvl>
  </w:abstractNum>
  <w:abstractNum w:abstractNumId="588">
    <w:nsid w:val="6E4E1C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9">
    <w:nsid w:val="4E784887"/>
    <w:multiLevelType w:val="hybridMultilevel"/>
    <w:lvl w:ilvl="0">
      <w:lvlJc w:val="left"/>
      <w:lvlText w:val="(%1)"/>
      <w:numFmt w:val="upperLetter"/>
      <w:start w:val="2"/>
    </w:lvl>
  </w:abstractNum>
  <w:abstractNum w:abstractNumId="590">
    <w:nsid w:val="38AD4C18"/>
    <w:multiLevelType w:val="hybridMultilevel"/>
    <w:lvl w:ilvl="0">
      <w:lvlJc w:val="left"/>
      <w:lvlText w:val="(%1)"/>
      <w:numFmt w:val="lowerRoman"/>
      <w:start w:val="3"/>
    </w:lvl>
  </w:abstractNum>
  <w:abstractNum w:abstractNumId="591">
    <w:nsid w:val="48CCEE31"/>
    <w:multiLevelType w:val="hybridMultilevel"/>
    <w:lvl w:ilvl="0">
      <w:lvlJc w:val="left"/>
      <w:lvlText w:val="(%1)"/>
      <w:numFmt w:val="lowerLetter"/>
      <w:start w:val="4"/>
    </w:lvl>
  </w:abstractNum>
  <w:abstractNum w:abstractNumId="592">
    <w:nsid w:val="45EA996E"/>
    <w:multiLevelType w:val="hybridMultilevel"/>
    <w:lvl w:ilvl="0">
      <w:lvlJc w:val="left"/>
      <w:lvlText w:val="%1."/>
      <w:numFmt w:val="decimal"/>
      <w:start w:val="22"/>
    </w:lvl>
  </w:abstractNum>
  <w:abstractNum w:abstractNumId="593">
    <w:nsid w:val="441FBAF4"/>
    <w:multiLevelType w:val="hybridMultilevel"/>
    <w:lvl w:ilvl="0">
      <w:lvlJc w:val="left"/>
      <w:lvlText w:val="(%1)"/>
      <w:numFmt w:val="lowerLetter"/>
      <w:start w:val="1"/>
    </w:lvl>
  </w:abstractNum>
  <w:abstractNum w:abstractNumId="594">
    <w:nsid w:val="7F2BEA8B"/>
    <w:multiLevelType w:val="hybridMultilevel"/>
    <w:lvl w:ilvl="0">
      <w:lvlJc w:val="left"/>
      <w:lvlText w:val="%1"/>
      <w:numFmt w:val="decimal"/>
      <w:start w:val="1"/>
    </w:lvl>
    <w:lvl w:ilvl="1">
      <w:lvlJc w:val="left"/>
      <w:lvlText w:val="(%2)"/>
      <w:numFmt w:val="lowerLetter"/>
      <w:start w:val="2"/>
    </w:lvl>
  </w:abstractNum>
  <w:abstractNum w:abstractNumId="595">
    <w:nsid w:val="792A9DB"/>
    <w:multiLevelType w:val="hybridMultilevel"/>
    <w:lvl w:ilvl="0">
      <w:lvlJc w:val="left"/>
      <w:lvlText w:val="(%1)"/>
      <w:numFmt w:val="decimal"/>
      <w:start w:val="1"/>
    </w:lvl>
    <w:lvl w:ilvl="1">
      <w:lvlJc w:val="left"/>
      <w:lvlText w:val="%2"/>
      <w:numFmt w:val="lowerLetter"/>
      <w:start w:val="1"/>
    </w:lvl>
  </w:abstractNum>
  <w:abstractNum w:abstractNumId="596">
    <w:nsid w:val="3D92C7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597">
    <w:nsid w:val="375A92FF"/>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598">
    <w:nsid w:val="29180EE2"/>
    <w:multiLevelType w:val="hybridMultilevel"/>
    <w:lvl w:ilvl="0">
      <w:lvlJc w:val="left"/>
      <w:lvlText w:val="(%1)"/>
      <w:numFmt w:val="lowerLetter"/>
      <w:start w:val="4"/>
    </w:lvl>
  </w:abstractNum>
  <w:abstractNum w:abstractNumId="599">
    <w:nsid w:val="7C901113"/>
    <w:multiLevelType w:val="hybridMultilevel"/>
    <w:lvl w:ilvl="0">
      <w:lvlJc w:val="left"/>
      <w:lvlText w:val="%1."/>
      <w:numFmt w:val="decimal"/>
      <w:start w:val="23"/>
    </w:lvl>
  </w:abstractNum>
  <w:abstractNum w:abstractNumId="600">
    <w:nsid w:val="427028B0"/>
    <w:multiLevelType w:val="hybridMultilevel"/>
    <w:lvl w:ilvl="0">
      <w:lvlJc w:val="left"/>
      <w:lvlText w:val="%1."/>
      <w:numFmt w:val="decimal"/>
      <w:start w:val="28"/>
    </w:lvl>
  </w:abstractNum>
  <w:abstractNum w:abstractNumId="601">
    <w:nsid w:val="4E7F1C4D"/>
    <w:multiLevelType w:val="hybridMultilevel"/>
    <w:lvl w:ilvl="0">
      <w:lvlJc w:val="left"/>
      <w:lvlText w:val="%1."/>
      <w:numFmt w:val="decimal"/>
      <w:start w:val="29"/>
    </w:lvl>
  </w:abstractNum>
  <w:abstractNum w:abstractNumId="602">
    <w:nsid w:val="5C76D652"/>
    <w:multiLevelType w:val="hybridMultilevel"/>
    <w:lvl w:ilvl="0">
      <w:lvlJc w:val="left"/>
      <w:lvlText w:val="(%1)"/>
      <w:numFmt w:val="lowerLetter"/>
      <w:start w:val="1"/>
    </w:lvl>
  </w:abstractNum>
  <w:abstractNum w:abstractNumId="603">
    <w:nsid w:val="7F1E3DAE"/>
    <w:multiLevelType w:val="hybridMultilevel"/>
    <w:lvl w:ilvl="0">
      <w:lvlJc w:val="left"/>
      <w:lvlText w:val="(%1)"/>
      <w:numFmt w:val="lowerRoman"/>
      <w:start w:val="2"/>
    </w:lvl>
  </w:abstractNum>
  <w:abstractNum w:abstractNumId="604">
    <w:nsid w:val="3CA6D1B9"/>
    <w:multiLevelType w:val="hybridMultilevel"/>
    <w:lvl w:ilvl="0">
      <w:lvlJc w:val="left"/>
      <w:lvlText w:val="(%1)"/>
      <w:numFmt w:val="lowerLetter"/>
      <w:start w:val="2"/>
    </w:lvl>
  </w:abstractNum>
  <w:abstractNum w:abstractNumId="605">
    <w:nsid w:val="43754DB7"/>
    <w:multiLevelType w:val="hybridMultilevel"/>
    <w:lvl w:ilvl="0">
      <w:lvlJc w:val="left"/>
      <w:lvlText w:val="(%1)"/>
      <w:numFmt w:val="lowerLetter"/>
      <w:start w:val="5"/>
    </w:lvl>
  </w:abstractNum>
  <w:abstractNum w:abstractNumId="606">
    <w:nsid w:val="40307D27"/>
    <w:multiLevelType w:val="hybridMultilevel"/>
    <w:lvl w:ilvl="0">
      <w:lvlJc w:val="left"/>
      <w:lvlText w:val="(%1)"/>
      <w:numFmt w:val="lowerLetter"/>
      <w:start w:val="8"/>
    </w:lvl>
  </w:abstractNum>
  <w:abstractNum w:abstractNumId="607">
    <w:nsid w:val="DF69013"/>
    <w:multiLevelType w:val="hybridMultilevel"/>
    <w:lvl w:ilvl="0">
      <w:lvlJc w:val="left"/>
      <w:lvlText w:val="%1."/>
      <w:numFmt w:val="decimal"/>
      <w:start w:val="31"/>
    </w:lvl>
  </w:abstractNum>
  <w:abstractNum w:abstractNumId="608">
    <w:nsid w:val="FDE3B47"/>
    <w:multiLevelType w:val="hybridMultilevel"/>
    <w:lvl w:ilvl="0">
      <w:lvlJc w:val="left"/>
      <w:lvlText w:val="%1."/>
      <w:numFmt w:val="decimal"/>
      <w:start w:val="32"/>
    </w:lvl>
  </w:abstractNum>
  <w:abstractNum w:abstractNumId="609">
    <w:nsid w:val="5EF4B64"/>
    <w:multiLevelType w:val="hybridMultilevel"/>
    <w:lvl w:ilvl="0">
      <w:lvlJc w:val="left"/>
      <w:lvlText w:val="%1."/>
      <w:numFmt w:val="decimal"/>
      <w:start w:val="33"/>
    </w:lvl>
  </w:abstractNum>
  <w:abstractNum w:abstractNumId="610">
    <w:nsid w:val="2457647B"/>
    <w:multiLevelType w:val="hybridMultilevel"/>
    <w:lvl w:ilvl="0">
      <w:lvlJc w:val="left"/>
      <w:lvlText w:val="%1"/>
      <w:numFmt w:val="lowerRoman"/>
      <w:start w:val="1"/>
    </w:lvl>
    <w:lvl w:ilvl="1">
      <w:lvlJc w:val="left"/>
      <w:lvlText w:val="%2."/>
      <w:numFmt w:val="decimal"/>
      <w:start w:val="36"/>
    </w:lvl>
  </w:abstractNum>
  <w:abstractNum w:abstractNumId="611">
    <w:nsid w:val="66F06E9"/>
    <w:multiLevelType w:val="hybridMultilevel"/>
    <w:lvl w:ilvl="0">
      <w:lvlJc w:val="left"/>
      <w:lvlText w:val="(%1)"/>
      <w:numFmt w:val="lowerRoman"/>
      <w:start w:val="5"/>
    </w:lvl>
    <w:lvl w:ilvl="1">
      <w:lvlJc w:val="left"/>
      <w:lvlText w:val="%2"/>
      <w:numFmt w:val="decimal"/>
      <w:start w:val="1"/>
    </w:lvl>
  </w:abstractNum>
  <w:abstractNum w:abstractNumId="612">
    <w:nsid w:val="2ABAB37"/>
    <w:multiLevelType w:val="hybridMultilevel"/>
    <w:lvl w:ilvl="0">
      <w:lvlJc w:val="left"/>
      <w:lvlText w:val="(%1)"/>
      <w:numFmt w:val="lowerLetter"/>
      <w:start w:val="1"/>
    </w:lvl>
  </w:abstractNum>
  <w:abstractNum w:abstractNumId="613">
    <w:nsid w:val="3D5EC8AB"/>
    <w:multiLevelType w:val="hybridMultilevel"/>
    <w:lvl w:ilvl="0">
      <w:lvlJc w:val="left"/>
      <w:lvlText w:val="(%1)"/>
      <w:numFmt w:val="lowerLetter"/>
      <w:start w:val="2"/>
    </w:lvl>
    <w:lvl w:ilvl="1">
      <w:lvlJc w:val="left"/>
      <w:lvlText w:val="(%2)"/>
      <w:numFmt w:val="lowerRoman"/>
      <w:start w:val="1"/>
    </w:lvl>
  </w:abstractNum>
  <w:abstractNum w:abstractNumId="614">
    <w:nsid w:val="31F4FCAD"/>
    <w:multiLevelType w:val="hybridMultilevel"/>
    <w:lvl w:ilvl="0">
      <w:lvlJc w:val="left"/>
      <w:lvlText w:val="%1"/>
      <w:numFmt w:val="lowerRoman"/>
      <w:start w:val="1"/>
    </w:lvl>
    <w:lvl w:ilvl="1">
      <w:lvlJc w:val="left"/>
      <w:lvlText w:val="(%2)"/>
      <w:numFmt w:val="lowerRoman"/>
      <w:start w:val="3"/>
    </w:lvl>
  </w:abstractNum>
  <w:abstractNum w:abstractNumId="615">
    <w:nsid w:val="477DB470"/>
    <w:multiLevelType w:val="hybridMultilevel"/>
    <w:lvl w:ilvl="0">
      <w:lvlJc w:val="left"/>
      <w:lvlText w:val="(%1)"/>
      <w:numFmt w:val="lowerRoman"/>
      <w:start w:val="1"/>
    </w:lvl>
    <w:lvl w:ilvl="1">
      <w:lvlJc w:val="left"/>
      <w:lvlText w:val="%2"/>
      <w:numFmt w:val="lowerRoman"/>
      <w:start w:val="1"/>
    </w:lvl>
  </w:abstractNum>
  <w:abstractNum w:abstractNumId="616">
    <w:nsid w:val="4FD5720B"/>
    <w:multiLevelType w:val="hybridMultilevel"/>
    <w:lvl w:ilvl="0">
      <w:lvlJc w:val="left"/>
      <w:lvlText w:val="(%1)"/>
      <w:numFmt w:val="lowerLetter"/>
      <w:start w:val="3"/>
    </w:lvl>
    <w:lvl w:ilvl="1">
      <w:lvlJc w:val="left"/>
      <w:lvlText w:val="(%2)"/>
      <w:numFmt w:val="lowerRoman"/>
      <w:start w:val="1"/>
    </w:lvl>
  </w:abstractNum>
  <w:abstractNum w:abstractNumId="617">
    <w:nsid w:val="4D3C9346"/>
    <w:multiLevelType w:val="hybridMultilevel"/>
    <w:lvl w:ilvl="0">
      <w:lvlJc w:val="left"/>
      <w:lvlText w:val="%1."/>
      <w:numFmt w:val="decimal"/>
      <w:start w:val="40"/>
    </w:lvl>
  </w:abstractNum>
  <w:abstractNum w:abstractNumId="618">
    <w:nsid w:val="2CF0838B"/>
    <w:multiLevelType w:val="hybridMultilevel"/>
    <w:lvl w:ilvl="0">
      <w:lvlJc w:val="left"/>
      <w:lvlText w:val="(%1)"/>
      <w:numFmt w:val="lowerLetter"/>
      <w:start w:val="1"/>
    </w:lvl>
  </w:abstractNum>
  <w:abstractNum w:abstractNumId="619">
    <w:nsid w:val="3E238E27"/>
    <w:multiLevelType w:val="hybridMultilevel"/>
    <w:lvl w:ilvl="0">
      <w:lvlJc w:val="left"/>
      <w:lvlText w:val="(%1)"/>
      <w:numFmt w:val="lowerLetter"/>
      <w:start w:val="3"/>
    </w:lvl>
  </w:abstractNum>
  <w:abstractNum w:abstractNumId="620">
    <w:nsid w:val="1BB4DBCD"/>
    <w:multiLevelType w:val="hybridMultilevel"/>
    <w:lvl w:ilvl="0">
      <w:lvlJc w:val="left"/>
      <w:lvlText w:val="(%1)"/>
      <w:numFmt w:val="lowerLetter"/>
      <w:start w:val="4"/>
    </w:lvl>
  </w:abstractNum>
  <w:abstractNum w:abstractNumId="621">
    <w:nsid w:val="659DCFA3"/>
    <w:multiLevelType w:val="hybridMultilevel"/>
    <w:lvl w:ilvl="0">
      <w:lvlJc w:val="left"/>
      <w:lvlText w:val="(%1)"/>
      <w:numFmt w:val="lowerLetter"/>
      <w:start w:val="5"/>
    </w:lvl>
  </w:abstractNum>
  <w:abstractNum w:abstractNumId="622">
    <w:nsid w:val="6F07C58"/>
    <w:multiLevelType w:val="hybridMultilevel"/>
    <w:lvl w:ilvl="0">
      <w:lvlJc w:val="left"/>
      <w:lvlText w:val="%1."/>
      <w:numFmt w:val="decimal"/>
      <w:start w:val="41"/>
    </w:lvl>
  </w:abstractNum>
  <w:abstractNum w:abstractNumId="623">
    <w:nsid w:val="619F753B"/>
    <w:multiLevelType w:val="hybridMultilevel"/>
    <w:lvl w:ilvl="0">
      <w:lvlJc w:val="left"/>
      <w:lvlText w:val="%1."/>
      <w:numFmt w:val="decimal"/>
      <w:start w:val="42"/>
    </w:lvl>
  </w:abstractNum>
  <w:abstractNum w:abstractNumId="624">
    <w:nsid w:val="29BD8A97"/>
    <w:multiLevelType w:val="hybridMultilevel"/>
    <w:lvl w:ilvl="0">
      <w:lvlJc w:val="left"/>
      <w:lvlText w:val="%1"/>
      <w:numFmt w:val="upperLetter"/>
      <w:start w:val="1"/>
    </w:lvl>
    <w:lvl w:ilvl="1">
      <w:lvlJc w:val="left"/>
      <w:lvlText w:val="(%2)"/>
      <w:numFmt w:val="lowerLetter"/>
      <w:start w:val="1"/>
    </w:lvl>
  </w:abstractNum>
  <w:abstractNum w:abstractNumId="625">
    <w:nsid w:val="61C66E3"/>
    <w:multiLevelType w:val="hybridMultilevel"/>
    <w:lvl w:ilvl="0">
      <w:lvlJc w:val="left"/>
      <w:lvlText w:val="(%1)"/>
      <w:numFmt w:val="upperLetter"/>
      <w:start w:val="5"/>
    </w:lvl>
    <w:lvl w:ilvl="1">
      <w:lvlJc w:val="left"/>
      <w:lvlText w:val="%2"/>
      <w:numFmt w:val="lowerLetter"/>
      <w:start w:val="1"/>
    </w:lvl>
  </w:abstractNum>
  <w:abstractNum w:abstractNumId="626">
    <w:nsid w:val="69321F16"/>
    <w:multiLevelType w:val="hybridMultilevel"/>
    <w:lvl w:ilvl="0">
      <w:lvlJc w:val="left"/>
      <w:lvlText w:val="(%1)"/>
      <w:numFmt w:val="lowerLetter"/>
      <w:start w:val="2"/>
    </w:lvl>
  </w:abstractNum>
  <w:abstractNum w:abstractNumId="627">
    <w:nsid w:val="2D96B714"/>
    <w:multiLevelType w:val="hybridMultilevel"/>
    <w:lvl w:ilvl="0">
      <w:lvlJc w:val="left"/>
      <w:lvlText w:val="(%1)"/>
      <w:numFmt w:val="lowerLetter"/>
      <w:start w:val="7"/>
    </w:lvl>
  </w:abstractNum>
  <w:abstractNum w:abstractNumId="628">
    <w:nsid w:val="3D76F9E2"/>
    <w:multiLevelType w:val="hybridMultilevel"/>
    <w:lvl w:ilvl="0">
      <w:lvlJc w:val="left"/>
      <w:lvlText w:val="%1."/>
      <w:numFmt w:val="decimal"/>
      <w:start w:val="44"/>
    </w:lvl>
  </w:abstractNum>
  <w:abstractNum w:abstractNumId="629">
    <w:nsid w:val="124A2DF8"/>
    <w:multiLevelType w:val="hybridMultilevel"/>
    <w:lvl w:ilvl="0">
      <w:lvlJc w:val="left"/>
      <w:lvlText w:val="(%1)"/>
      <w:numFmt w:val="lowerLetter"/>
      <w:start w:val="1"/>
    </w:lvl>
  </w:abstractNum>
  <w:abstractNum w:abstractNumId="630">
    <w:nsid w:val="2A26C828"/>
    <w:multiLevelType w:val="hybridMultilevel"/>
    <w:lvl w:ilvl="0">
      <w:lvlJc w:val="left"/>
      <w:lvlText w:val="(%1)"/>
      <w:numFmt w:val="lowerLetter"/>
      <w:start w:val="5"/>
    </w:lvl>
  </w:abstractNum>
  <w:abstractNum w:abstractNumId="631">
    <w:nsid w:val="7FE72292"/>
    <w:multiLevelType w:val="hybridMultilevel"/>
    <w:lvl w:ilvl="0">
      <w:lvlJc w:val="left"/>
      <w:lvlText w:val="(%1)"/>
      <w:numFmt w:val="lowerLetter"/>
      <w:start w:val="12"/>
    </w:lvl>
  </w:abstractNum>
  <w:abstractNum w:abstractNumId="632">
    <w:nsid w:val="60C94A46"/>
    <w:multiLevelType w:val="hybridMultilevel"/>
    <w:lvl w:ilvl="0">
      <w:lvlJc w:val="left"/>
      <w:lvlText w:val="(%1)"/>
      <w:numFmt w:val="lowerLetter"/>
      <w:start w:val="16"/>
    </w:lvl>
  </w:abstractNum>
  <w:abstractNum w:abstractNumId="633">
    <w:nsid w:val="69D9E7A"/>
    <w:multiLevelType w:val="hybridMultilevel"/>
    <w:lvl w:ilvl="0">
      <w:lvlJc w:val="left"/>
      <w:lvlText w:val="%1."/>
      <w:numFmt w:val="decimal"/>
      <w:start w:val="1"/>
    </w:lvl>
  </w:abstractNum>
  <w:abstractNum w:abstractNumId="634">
    <w:nsid w:val="7F056040"/>
    <w:multiLevelType w:val="hybridMultilevel"/>
    <w:lvl w:ilvl="0">
      <w:lvlJc w:val="left"/>
      <w:lvlText w:val="(%1)"/>
      <w:numFmt w:val="lowerLetter"/>
      <w:start w:val="1"/>
    </w:lvl>
  </w:abstractNum>
  <w:abstractNum w:abstractNumId="635">
    <w:nsid w:val="1D701BFF"/>
    <w:multiLevelType w:val="hybridMultilevel"/>
    <w:lvl w:ilvl="0">
      <w:lvlJc w:val="left"/>
      <w:lvlText w:val="%1."/>
      <w:numFmt w:val="decimal"/>
      <w:start w:val="2"/>
    </w:lvl>
  </w:abstractNum>
  <w:abstractNum w:abstractNumId="636">
    <w:nsid w:val="4A12EC32"/>
    <w:multiLevelType w:val="hybridMultilevel"/>
    <w:lvl w:ilvl="0">
      <w:lvlJc w:val="left"/>
      <w:lvlText w:val="(%1)"/>
      <w:numFmt w:val="lowerLetter"/>
      <w:start w:val="1"/>
    </w:lvl>
  </w:abstractNum>
  <w:abstractNum w:abstractNumId="637">
    <w:nsid w:val="3F35DD67"/>
    <w:multiLevelType w:val="hybridMultilevel"/>
    <w:lvl w:ilvl="0">
      <w:lvlJc w:val="left"/>
      <w:lvlText w:val="(%1)"/>
      <w:numFmt w:val="lowerLetter"/>
      <w:start w:val="2"/>
    </w:lvl>
  </w:abstractNum>
  <w:abstractNum w:abstractNumId="638">
    <w:nsid w:val="2B66AC12"/>
    <w:multiLevelType w:val="hybridMultilevel"/>
    <w:lvl w:ilvl="0">
      <w:lvlJc w:val="left"/>
      <w:lvlText w:val="%1"/>
      <w:numFmt w:val="lowerLetter"/>
      <w:start w:val="1"/>
    </w:lvl>
    <w:lvl w:ilvl="1">
      <w:lvlJc w:val="left"/>
      <w:lvlText w:val="(%2)"/>
      <w:numFmt w:val="lowerLetter"/>
      <w:start w:val="5"/>
    </w:lvl>
  </w:abstractNum>
  <w:abstractNum w:abstractNumId="639">
    <w:nsid w:val="59F12779"/>
    <w:multiLevelType w:val="hybridMultilevel"/>
    <w:lvl w:ilvl="0">
      <w:lvlJc w:val="left"/>
      <w:lvlText w:val="(%1)"/>
      <w:numFmt w:val="lowerLetter"/>
      <w:start w:val="9"/>
    </w:lvl>
    <w:lvl w:ilvl="1">
      <w:lvlJc w:val="left"/>
      <w:lvlText w:val="%2"/>
      <w:numFmt w:val="lowerLetter"/>
      <w:start w:val="1"/>
    </w:lvl>
  </w:abstractNum>
  <w:abstractNum w:abstractNumId="640">
    <w:nsid w:val="452528CB"/>
    <w:multiLevelType w:val="hybridMultilevel"/>
    <w:lvl w:ilvl="0">
      <w:lvlJc w:val="left"/>
      <w:lvlText w:val="%1."/>
      <w:numFmt w:val="decimal"/>
      <w:start w:val="3"/>
    </w:lvl>
  </w:abstractNum>
  <w:abstractNum w:abstractNumId="641">
    <w:nsid w:val="4FBE108E"/>
    <w:multiLevelType w:val="hybridMultilevel"/>
    <w:lvl w:ilvl="0">
      <w:lvlJc w:val="left"/>
      <w:lvlText w:val="%1"/>
      <w:numFmt w:val="lowerLetter"/>
      <w:start w:val="1"/>
    </w:lvl>
    <w:lvl w:ilvl="1">
      <w:lvlJc w:val="left"/>
      <w:lvlText w:val="(%2)"/>
      <w:numFmt w:val="lowerLetter"/>
      <w:start w:val="1"/>
    </w:lvl>
  </w:abstractNum>
  <w:abstractNum w:abstractNumId="642">
    <w:nsid w:val="60602E62"/>
    <w:multiLevelType w:val="hybridMultilevel"/>
    <w:lvl w:ilvl="0">
      <w:lvlJc w:val="left"/>
      <w:lvlText w:val="(%1)"/>
      <w:numFmt w:val="lowerLetter"/>
      <w:start w:val="9"/>
    </w:lvl>
    <w:lvl w:ilvl="1">
      <w:lvlJc w:val="left"/>
      <w:lvlText w:val="(%2)"/>
      <w:numFmt w:val="lowerLetter"/>
      <w:start w:val="2"/>
    </w:lvl>
  </w:abstractNum>
  <w:abstractNum w:abstractNumId="643">
    <w:nsid w:val="47D0D402"/>
    <w:multiLevelType w:val="hybridMultilevel"/>
    <w:lvl w:ilvl="0">
      <w:lvlJc w:val="left"/>
      <w:lvlText w:val="(%1)"/>
      <w:numFmt w:val="lowerLetter"/>
      <w:start w:val="3"/>
    </w:lvl>
  </w:abstractNum>
  <w:abstractNum w:abstractNumId="644">
    <w:nsid w:val="D1CD939"/>
    <w:multiLevelType w:val="hybridMultilevel"/>
    <w:lvl w:ilvl="0">
      <w:lvlJc w:val="left"/>
      <w:lvlText w:val="(%1)"/>
      <w:numFmt w:val="lowerLetter"/>
      <w:start w:val="5"/>
    </w:lvl>
    <w:lvl w:ilvl="1">
      <w:lvlJc w:val="left"/>
      <w:lvlText w:val="(%2)"/>
      <w:numFmt w:val="lowerRoman"/>
      <w:start w:val="1"/>
    </w:lvl>
  </w:abstractNum>
  <w:abstractNum w:abstractNumId="645">
    <w:nsid w:val="12552B10"/>
    <w:multiLevelType w:val="hybridMultilevel"/>
    <w:lvl w:ilvl="0">
      <w:lvlJc w:val="left"/>
      <w:lvlText w:val="(%1)"/>
      <w:numFmt w:val="lowerRoman"/>
      <w:start w:val="5"/>
    </w:lvl>
  </w:abstractNum>
  <w:abstractNum w:abstractNumId="646">
    <w:nsid w:val="F4E8872"/>
    <w:multiLevelType w:val="hybridMultilevel"/>
    <w:lvl w:ilvl="0">
      <w:lvlJc w:val="left"/>
      <w:lvlText w:val="%1."/>
      <w:numFmt w:val="decimal"/>
      <w:start w:val="4"/>
    </w:lvl>
  </w:abstractNum>
  <w:abstractNum w:abstractNumId="647">
    <w:nsid w:val="5CF24B45"/>
    <w:multiLevelType w:val="hybridMultilevel"/>
    <w:lvl w:ilvl="0">
      <w:lvlJc w:val="left"/>
      <w:lvlText w:val="(%1)"/>
      <w:numFmt w:val="lowerLetter"/>
      <w:start w:val="1"/>
    </w:lvl>
  </w:abstractNum>
  <w:abstractNum w:abstractNumId="648">
    <w:nsid w:val="5F91BE56"/>
    <w:multiLevelType w:val="hybridMultilevel"/>
    <w:lvl w:ilvl="0">
      <w:lvlJc w:val="left"/>
      <w:lvlText w:val="%1."/>
      <w:numFmt w:val="decimal"/>
      <w:start w:val="5"/>
    </w:lvl>
  </w:abstractNum>
  <w:abstractNum w:abstractNumId="649">
    <w:nsid w:val="3C3F0BFD"/>
    <w:multiLevelType w:val="hybridMultilevel"/>
    <w:lvl w:ilvl="0">
      <w:lvlJc w:val="left"/>
      <w:lvlText w:val="%1"/>
      <w:numFmt w:val="lowerLetter"/>
      <w:start w:val="1"/>
    </w:lvl>
    <w:lvl w:ilvl="1">
      <w:lvlJc w:val="left"/>
      <w:lvlText w:val="(%2)"/>
      <w:numFmt w:val="lowerLetter"/>
      <w:start w:val="1"/>
    </w:lvl>
  </w:abstractNum>
  <w:abstractNum w:abstractNumId="650">
    <w:nsid w:val="1B15D96C"/>
    <w:multiLevelType w:val="hybridMultilevel"/>
    <w:lvl w:ilvl="0">
      <w:lvlJc w:val="left"/>
      <w:lvlText w:val="(%1)"/>
      <w:numFmt w:val="lowerLetter"/>
      <w:start w:val="9"/>
    </w:lvl>
    <w:lvl w:ilvl="1">
      <w:lvlJc w:val="left"/>
      <w:lvlText w:val="%2"/>
      <w:numFmt w:val="lowerLetter"/>
      <w:start w:val="1"/>
    </w:lvl>
  </w:abstractNum>
  <w:abstractNum w:abstractNumId="651">
    <w:nsid w:val="7B469A23"/>
    <w:multiLevelType w:val="hybridMultilevel"/>
    <w:lvl w:ilvl="0">
      <w:lvlJc w:val="left"/>
      <w:lvlText w:val="%1."/>
      <w:numFmt w:val="decimal"/>
      <w:start w:val="1"/>
    </w:lvl>
  </w:abstractNum>
  <w:abstractNum w:abstractNumId="652">
    <w:nsid w:val="21DCDBA0"/>
    <w:multiLevelType w:val="hybridMultilevel"/>
    <w:lvl w:ilvl="0">
      <w:lvlJc w:val="left"/>
      <w:lvlText w:val="(%1)"/>
      <w:numFmt w:val="lowerLetter"/>
      <w:start w:val="3"/>
    </w:lvl>
  </w:abstractNum>
  <w:abstractNum w:abstractNumId="653">
    <w:nsid w:val="220655C4"/>
    <w:multiLevelType w:val="hybridMultilevel"/>
    <w:lvl w:ilvl="0">
      <w:lvlJc w:val="left"/>
      <w:lvlText w:val="%1."/>
      <w:numFmt w:val="decimal"/>
      <w:start w:val="6"/>
    </w:lvl>
  </w:abstractNum>
  <w:abstractNum w:abstractNumId="654">
    <w:nsid w:val="5CE60F5E"/>
    <w:multiLevelType w:val="hybridMultilevel"/>
    <w:lvl w:ilvl="0">
      <w:lvlJc w:val="left"/>
      <w:lvlText w:val="(%1)"/>
      <w:numFmt w:val="lowerLetter"/>
      <w:start w:val="1"/>
    </w:lvl>
  </w:abstractNum>
  <w:abstractNum w:abstractNumId="655">
    <w:nsid w:val="4B9A6638"/>
    <w:multiLevelType w:val="hybridMultilevel"/>
    <w:lvl w:ilvl="0">
      <w:lvlJc w:val="left"/>
      <w:lvlText w:val="%1."/>
      <w:numFmt w:val="decimal"/>
      <w:start w:val="7"/>
    </w:lvl>
  </w:abstractNum>
  <w:abstractNum w:abstractNumId="656">
    <w:nsid w:val="2822BCA7"/>
    <w:multiLevelType w:val="hybridMultilevel"/>
    <w:lvl w:ilvl="0">
      <w:lvlJc w:val="left"/>
      <w:lvlText w:val="(%1)"/>
      <w:numFmt w:val="lowerLetter"/>
      <w:start w:val="1"/>
    </w:lvl>
    <w:lvl w:ilvl="1">
      <w:lvlJc w:val="left"/>
      <w:lvlText w:val="(%2)"/>
      <w:numFmt w:val="lowerLetter"/>
      <w:start w:val="9"/>
    </w:lvl>
  </w:abstractNum>
  <w:abstractNum w:abstractNumId="657">
    <w:nsid w:val="46182E75"/>
    <w:multiLevelType w:val="hybridMultilevel"/>
    <w:lvl w:ilvl="0">
      <w:lvlJc w:val="left"/>
      <w:lvlText w:val="(%1)"/>
      <w:numFmt w:val="lowerRoman"/>
      <w:start w:val="2"/>
    </w:lvl>
    <w:lvl w:ilvl="1">
      <w:lvlJc w:val="left"/>
      <w:lvlText w:val="(%2)"/>
      <w:numFmt w:val="lowerLetter"/>
      <w:start w:val="1"/>
    </w:lvl>
  </w:abstractNum>
  <w:abstractNum w:abstractNumId="658">
    <w:nsid w:val="79311D4C"/>
    <w:multiLevelType w:val="hybridMultilevel"/>
    <w:lvl w:ilvl="0">
      <w:lvlJc w:val="left"/>
      <w:lvlText w:val="(%1)"/>
      <w:numFmt w:val="lowerLetter"/>
      <w:start w:val="3"/>
    </w:lvl>
  </w:abstractNum>
  <w:abstractNum w:abstractNumId="659">
    <w:nsid w:val="6599B689"/>
    <w:multiLevelType w:val="hybridMultilevel"/>
    <w:lvl w:ilvl="0">
      <w:lvlJc w:val="left"/>
      <w:lvlText w:val="(%1)"/>
      <w:numFmt w:val="lowerLetter"/>
      <w:start w:val="5"/>
    </w:lvl>
  </w:abstractNum>
  <w:abstractNum w:abstractNumId="660">
    <w:nsid w:val="58625C6D"/>
    <w:multiLevelType w:val="hybridMultilevel"/>
    <w:lvl w:ilvl="0">
      <w:lvlJc w:val="left"/>
      <w:lvlText w:val="%1."/>
      <w:numFmt w:val="decimal"/>
      <w:start w:val="8"/>
    </w:lvl>
  </w:abstractNum>
  <w:abstractNum w:abstractNumId="661">
    <w:nsid w:val="2357E574"/>
    <w:multiLevelType w:val="hybridMultilevel"/>
    <w:lvl w:ilvl="0">
      <w:lvlJc w:val="left"/>
      <w:lvlText w:val="(%1)"/>
      <w:numFmt w:val="lowerLetter"/>
      <w:start w:val="1"/>
    </w:lvl>
  </w:abstractNum>
  <w:abstractNum w:abstractNumId="662">
    <w:nsid w:val="6580D91B"/>
    <w:multiLevelType w:val="hybridMultilevel"/>
    <w:lvl w:ilvl="0">
      <w:lvlJc w:val="left"/>
      <w:lvlText w:val="%1."/>
      <w:numFmt w:val="decimal"/>
      <w:start w:val="1"/>
    </w:lvl>
  </w:abstractNum>
  <w:abstractNum w:abstractNumId="663">
    <w:nsid w:val="392BA6B3"/>
    <w:multiLevelType w:val="hybridMultilevel"/>
    <w:lvl w:ilvl="0">
      <w:lvlJc w:val="left"/>
      <w:lvlText w:val="%1."/>
      <w:numFmt w:val="decimal"/>
      <w:start w:val="1"/>
    </w:lvl>
  </w:abstractNum>
  <w:abstractNum w:abstractNumId="664">
    <w:nsid w:val="29F583EF"/>
    <w:multiLevelType w:val="hybridMultilevel"/>
    <w:lvl w:ilvl="0">
      <w:lvlJc w:val="left"/>
      <w:lvlText w:val="%1."/>
      <w:numFmt w:val="decimal"/>
      <w:start w:val="1"/>
    </w:lvl>
    <w:lvl w:ilvl="1">
      <w:lvlJc w:val="left"/>
      <w:lvlText w:val="%2."/>
      <w:numFmt w:val="lowerLetter"/>
      <w:start w:val="1"/>
    </w:lvl>
  </w:abstractNum>
  <w:abstractNum w:abstractNumId="665">
    <w:nsid w:val="6486395B"/>
    <w:multiLevelType w:val="hybridMultilevel"/>
    <w:lvl w:ilvl="0">
      <w:lvlJc w:val="left"/>
      <w:lvlText w:val="%1"/>
      <w:numFmt w:val="decimal"/>
      <w:start w:val="1"/>
    </w:lvl>
    <w:lvl w:ilvl="1">
      <w:lvlJc w:val="left"/>
      <w:lvlText w:val="%2."/>
      <w:numFmt w:val="lowerLetter"/>
      <w:start w:val="5"/>
    </w:lvl>
  </w:abstractNum>
  <w:abstractNum w:abstractNumId="666">
    <w:nsid w:val="569BC2B2"/>
    <w:multiLevelType w:val="hybridMultilevel"/>
    <w:lvl w:ilvl="0">
      <w:lvlJc w:val="left"/>
      <w:lvlText w:val="%1."/>
      <w:numFmt w:val="decimal"/>
      <w:start w:val="2"/>
    </w:lvl>
    <w:lvl w:ilvl="1">
      <w:lvlJc w:val="left"/>
      <w:lvlText w:val="%2."/>
      <w:numFmt w:val="lowerLetter"/>
      <w:start w:val="1"/>
    </w:lvl>
  </w:abstractNum>
  <w:abstractNum w:abstractNumId="667">
    <w:nsid w:val="74087021"/>
    <w:multiLevelType w:val="hybridMultilevel"/>
    <w:lvl w:ilvl="0">
      <w:lvlJc w:val="left"/>
      <w:lvlText w:val="%1."/>
      <w:numFmt w:val="lowerLetter"/>
      <w:start w:val="3"/>
    </w:lvl>
  </w:abstractNum>
  <w:abstractNum w:abstractNumId="668">
    <w:nsid w:val="23BC16C2"/>
    <w:multiLevelType w:val="hybridMultilevel"/>
    <w:lvl w:ilvl="0">
      <w:lvlJc w:val="left"/>
      <w:lvlText w:val="%1."/>
      <w:numFmt w:val="decimal"/>
      <w:start w:val="1"/>
    </w:lvl>
  </w:abstractNum>
  <w:abstractNum w:abstractNumId="669">
    <w:nsid w:val="2026EC5"/>
    <w:multiLevelType w:val="hybridMultilevel"/>
    <w:lvl w:ilvl="0">
      <w:lvlJc w:val="left"/>
      <w:lvlText w:val="%1."/>
      <w:numFmt w:val="decimal"/>
      <w:start w:val="13"/>
    </w:lvl>
  </w:abstractNum>
  <w:abstractNum w:abstractNumId="670">
    <w:nsid w:val="4DF9979A"/>
    <w:multiLevelType w:val="hybridMultilevel"/>
    <w:lvl w:ilvl="0">
      <w:lvlJc w:val="left"/>
      <w:lvlText w:val="(%1)"/>
      <w:numFmt w:val="lowerRoman"/>
      <w:start w:val="1"/>
    </w:lvl>
  </w:abstractNum>
  <w:abstractNum w:abstractNumId="671">
    <w:nsid w:val="68E13F8E"/>
    <w:multiLevelType w:val="hybridMultilevel"/>
    <w:lvl w:ilvl="0">
      <w:lvlJc w:val="left"/>
      <w:lvlText w:val="."/>
      <w:numFmt w:val="bullet"/>
      <w:start w:val="1"/>
    </w:lvl>
  </w:abstractNum>
  <w:abstractNum w:abstractNumId="672">
    <w:nsid w:val="51C07F53"/>
    <w:multiLevelType w:val="hybridMultilevel"/>
    <w:lvl w:ilvl="0">
      <w:lvlJc w:val="left"/>
      <w:lvlText w:val="%1"/>
      <w:numFmt w:val="lowerLetter"/>
      <w:start w:val="1"/>
    </w:lvl>
    <w:lvl w:ilvl="1">
      <w:lvlJc w:val="left"/>
      <w:lvlText w:val="%2."/>
      <w:numFmt w:val="decimal"/>
      <w:start w:val="1"/>
    </w:lvl>
  </w:abstractNum>
  <w:abstractNum w:abstractNumId="673">
    <w:nsid w:val="2E59C5FD"/>
    <w:multiLevelType w:val="hybridMultilevel"/>
    <w:lvl w:ilvl="0">
      <w:lvlJc w:val="left"/>
      <w:lvlText w:val="(%1)"/>
      <w:numFmt w:val="lowerLetter"/>
      <w:start w:val="2"/>
    </w:lvl>
    <w:lvl w:ilvl="1">
      <w:lvlJc w:val="left"/>
      <w:lvlText w:val="%2"/>
      <w:numFmt w:val="decimal"/>
      <w:start w:val="1"/>
    </w:lvl>
  </w:abstractNum>
  <w:abstractNum w:abstractNumId="674">
    <w:nsid w:val="30B21390"/>
    <w:multiLevelType w:val="hybridMultilevel"/>
    <w:lvl w:ilvl="0">
      <w:lvlJc w:val="left"/>
      <w:lvlText w:val="%1."/>
      <w:numFmt w:val="decimal"/>
      <w:start w:val="3"/>
    </w:lvl>
  </w:abstractNum>
  <w:abstractNum w:abstractNumId="675">
    <w:nsid w:val="5EDD588C"/>
    <w:multiLevelType w:val="hybridMultilevel"/>
    <w:lvl w:ilvl="0">
      <w:lvlJc w:val="left"/>
      <w:lvlText w:val="%1."/>
      <w:numFmt w:val="decimal"/>
      <w:start w:val="5"/>
    </w:lvl>
  </w:abstractNum>
  <w:abstractNum w:abstractNumId="676">
    <w:nsid w:val="40AEF10D"/>
    <w:multiLevelType w:val="hybridMultilevel"/>
    <w:lvl w:ilvl="0">
      <w:lvlJc w:val="left"/>
      <w:lvlText w:val="%1."/>
      <w:numFmt w:val="decimal"/>
      <w:start w:val="7"/>
    </w:lvl>
  </w:abstractNum>
  <w:abstractNum w:abstractNumId="677">
    <w:nsid w:val="40009C03"/>
    <w:multiLevelType w:val="hybridMultilevel"/>
    <w:lvl w:ilvl="0">
      <w:lvlJc w:val="left"/>
      <w:lvlText w:val="%1."/>
      <w:numFmt w:val="decimal"/>
      <w:start w:val="11"/>
    </w:lvl>
  </w:abstractNum>
  <w:abstractNum w:abstractNumId="678">
    <w:nsid w:val="3BCFA3D1"/>
    <w:multiLevelType w:val="hybridMultilevel"/>
    <w:lvl w:ilvl="0">
      <w:lvlJc w:val="left"/>
      <w:lvlText w:val="%1."/>
      <w:numFmt w:val="decimal"/>
      <w:start w:val="12"/>
    </w:lvl>
    <w:lvl w:ilvl="1">
      <w:lvlJc w:val="left"/>
      <w:lvlText w:val="%2."/>
      <w:numFmt w:val="lowerLetter"/>
      <w:start w:val="1"/>
    </w:lvl>
  </w:abstractNum>
  <w:abstractNum w:abstractNumId="679">
    <w:nsid w:val="2040AF63"/>
    <w:multiLevelType w:val="hybridMultilevel"/>
    <w:lvl w:ilvl="0">
      <w:lvlJc w:val="left"/>
      <w:lvlText w:val="%1."/>
      <w:numFmt w:val="decimal"/>
      <w:start w:val="14"/>
    </w:lvl>
  </w:abstractNum>
  <w:abstractNum w:abstractNumId="680">
    <w:nsid w:val="7C3FA800"/>
    <w:multiLevelType w:val="hybridMultilevel"/>
    <w:lvl w:ilvl="0">
      <w:lvlJc w:val="left"/>
      <w:lvlText w:val="%1."/>
      <w:numFmt w:val="decimal"/>
      <w:start w:val="18"/>
    </w:lvl>
  </w:abstractNum>
  <w:abstractNum w:abstractNumId="681">
    <w:nsid w:val="56E57D3D"/>
    <w:multiLevelType w:val="hybridMultilevel"/>
    <w:lvl w:ilvl="0">
      <w:lvlJc w:val="left"/>
      <w:lvlText w:val="***"/>
      <w:numFmt w:val="bullet"/>
      <w:start w:val="1"/>
    </w:lvl>
  </w:abstractNum>
  <w:abstractNum w:abstractNumId="682">
    <w:nsid w:val="1B874986"/>
    <w:multiLevelType w:val="hybridMultilevel"/>
    <w:lvl w:ilvl="0">
      <w:lvlJc w:val="left"/>
      <w:lvlText w:val="***"/>
      <w:numFmt w:val="bullet"/>
      <w:start w:val="1"/>
    </w:lvl>
  </w:abstractNum>
  <w:abstractNum w:abstractNumId="683">
    <w:nsid w:val="1E1C83A1"/>
    <w:multiLevelType w:val="hybridMultilevel"/>
    <w:lvl w:ilvl="0">
      <w:lvlJc w:val="left"/>
      <w:lvlText w:val="(%1)"/>
      <w:numFmt w:val="lowerLetter"/>
      <w:start w:val="1"/>
    </w:lvl>
  </w:abstractNum>
  <w:abstractNum w:abstractNumId="684">
    <w:nsid w:val="78EBD301"/>
    <w:multiLevelType w:val="hybridMultilevel"/>
    <w:lvl w:ilvl="0">
      <w:lvlJc w:val="left"/>
      <w:lvlText w:val="***"/>
      <w:numFmt w:val="bullet"/>
      <w:start w:val="1"/>
    </w:lvl>
  </w:abstractNum>
  <w:abstractNum w:abstractNumId="685">
    <w:nsid w:val="786D58E4"/>
    <w:multiLevelType w:val="hybridMultilevel"/>
    <w:lvl w:ilvl="0">
      <w:lvlJc w:val="left"/>
      <w:lvlText w:val="(%1)"/>
      <w:numFmt w:val="lowerLetter"/>
      <w:start w:val="24"/>
    </w:lvl>
  </w:abstractNum>
  <w:abstractNum w:abstractNumId="686">
    <w:nsid w:val="69B6E9D9"/>
    <w:multiLevelType w:val="hybridMultilevel"/>
    <w:lvl w:ilvl="0">
      <w:lvlJc w:val="left"/>
      <w:lvlText w:val="***"/>
      <w:numFmt w:val="bullet"/>
      <w:start w:val="1"/>
    </w:lvl>
  </w:abstractNum>
  <w:abstractNum w:abstractNumId="687">
    <w:nsid w:val="210E8FA8"/>
    <w:multiLevelType w:val="hybridMultilevel"/>
    <w:lvl w:ilvl="0">
      <w:lvlJc w:val="left"/>
      <w:lvlText w:val="(%1)"/>
      <w:numFmt w:val="lowerLetter"/>
      <w:start w:val="3"/>
    </w:lvl>
  </w:abstractNum>
  <w:abstractNum w:abstractNumId="688">
    <w:nsid w:val="3E858759"/>
    <w:multiLevelType w:val="hybridMultilevel"/>
    <w:lvl w:ilvl="0">
      <w:lvlJc w:val="left"/>
      <w:lvlText w:val="(%1)"/>
      <w:numFmt w:val="lowerLetter"/>
      <w:start w:val="1"/>
    </w:lvl>
  </w:abstractNum>
  <w:abstractNum w:abstractNumId="689">
    <w:nsid w:val="62E80725"/>
    <w:multiLevelType w:val="hybridMultilevel"/>
    <w:lvl w:ilvl="0">
      <w:lvlJc w:val="left"/>
      <w:lvlText w:val="(%1)"/>
      <w:numFmt w:val="lowerLetter"/>
      <w:start w:val="2"/>
    </w:lvl>
  </w:abstractNum>
  <w:abstractNum w:abstractNumId="690">
    <w:nsid w:val="6A84631"/>
    <w:multiLevelType w:val="hybridMultilevel"/>
    <w:lvl w:ilvl="0">
      <w:lvlJc w:val="left"/>
      <w:lvlText w:val="(%1)"/>
      <w:numFmt w:val="lowerLetter"/>
      <w:start w:val="1"/>
    </w:lvl>
  </w:abstractNum>
  <w:abstractNum w:abstractNumId="691">
    <w:nsid w:val="16E7E3C7"/>
    <w:multiLevelType w:val="hybridMultilevel"/>
    <w:lvl w:ilvl="0">
      <w:lvlJc w:val="left"/>
      <w:lvlText w:val="***"/>
      <w:numFmt w:val="bullet"/>
      <w:start w:val="1"/>
    </w:lvl>
  </w:abstractNum>
  <w:abstractNum w:abstractNumId="692">
    <w:nsid w:val="63FEC9A"/>
    <w:multiLevelType w:val="hybridMultilevel"/>
    <w:lvl w:ilvl="0">
      <w:lvlJc w:val="left"/>
      <w:lvlText w:val="***"/>
      <w:numFmt w:val="bullet"/>
      <w:start w:val="1"/>
    </w:lvl>
    <w:lvl w:ilvl="1">
      <w:lvlJc w:val="left"/>
      <w:lvlText w:val="(%2)"/>
      <w:numFmt w:val="lowerLetter"/>
      <w:start w:val="1"/>
    </w:lvl>
  </w:abstractNum>
  <w:abstractNum w:abstractNumId="693">
    <w:nsid w:val="6C291F4C"/>
    <w:multiLevelType w:val="hybridMultilevel"/>
    <w:lvl w:ilvl="0">
      <w:lvlJc w:val="left"/>
      <w:lvlText w:val="(%1)"/>
      <w:numFmt w:val="lowerLetter"/>
      <w:start w:val="2"/>
    </w:lvl>
  </w:abstractNum>
  <w:abstractNum w:abstractNumId="694">
    <w:nsid w:val="50138A7A"/>
    <w:multiLevelType w:val="hybridMultilevel"/>
    <w:lvl w:ilvl="0">
      <w:lvlJc w:val="left"/>
      <w:lvlText w:val="(%1)"/>
      <w:numFmt w:val="lowerLetter"/>
      <w:start w:val="1"/>
    </w:lvl>
  </w:abstractNum>
  <w:abstractNum w:abstractNumId="695">
    <w:nsid w:val="30357089"/>
    <w:multiLevelType w:val="hybridMultilevel"/>
    <w:lvl w:ilvl="0">
      <w:lvlJc w:val="left"/>
      <w:lvlText w:val="***"/>
      <w:numFmt w:val="bullet"/>
      <w:start w:val="1"/>
    </w:lvl>
  </w:abstractNum>
  <w:abstractNum w:abstractNumId="696">
    <w:nsid w:val="50AF58A7"/>
    <w:multiLevelType w:val="hybridMultilevel"/>
    <w:lvl w:ilvl="0">
      <w:lvlJc w:val="left"/>
      <w:lvlText w:val="***"/>
      <w:numFmt w:val="bullet"/>
      <w:start w:val="1"/>
    </w:lvl>
  </w:abstractNum>
  <w:abstractNum w:abstractNumId="697">
    <w:nsid w:val="26AF4D2D"/>
    <w:multiLevelType w:val="hybridMultilevel"/>
    <w:lvl w:ilvl="0">
      <w:lvlJc w:val="left"/>
      <w:lvlText w:val="***"/>
      <w:numFmt w:val="bullet"/>
      <w:start w:val="1"/>
    </w:lvl>
  </w:abstractNum>
  <w:abstractNum w:abstractNumId="698">
    <w:nsid w:val="243DE0AA"/>
    <w:multiLevelType w:val="hybridMultilevel"/>
    <w:lvl w:ilvl="0">
      <w:lvlJc w:val="left"/>
      <w:lvlText w:val="(%1)"/>
      <w:numFmt w:val="lowerLetter"/>
      <w:start w:val="1"/>
    </w:lvl>
  </w:abstractNum>
  <w:abstractNum w:abstractNumId="699">
    <w:nsid w:val="746B6F6A"/>
    <w:multiLevelType w:val="hybridMultilevel"/>
    <w:lvl w:ilvl="0">
      <w:lvlJc w:val="left"/>
      <w:lvlText w:val="(%1)"/>
      <w:numFmt w:val="lowerRoman"/>
      <w:start w:val="1"/>
    </w:lvl>
  </w:abstractNum>
  <w:abstractNum w:abstractNumId="700">
    <w:nsid w:val="28B1BBF2"/>
    <w:multiLevelType w:val="hybridMultilevel"/>
    <w:lvl w:ilvl="0">
      <w:lvlJc w:val="left"/>
      <w:lvlText w:val="%1"/>
      <w:numFmt w:val="lowerLetter"/>
      <w:start w:val="1"/>
    </w:lvl>
    <w:lvl w:ilvl="1">
      <w:lvlJc w:val="left"/>
      <w:lvlText w:val="(%2)"/>
      <w:numFmt w:val="lowerLetter"/>
      <w:start w:val="2"/>
    </w:lvl>
  </w:abstractNum>
  <w:abstractNum w:abstractNumId="701">
    <w:nsid w:val="72377844"/>
    <w:multiLevelType w:val="hybridMultilevel"/>
    <w:lvl w:ilvl="0">
      <w:lvlJc w:val="left"/>
      <w:lvlText w:val="(%1)"/>
      <w:numFmt w:val="lowerLetter"/>
      <w:start w:val="61"/>
    </w:lvl>
    <w:lvl w:ilvl="1">
      <w:lvlJc w:val="left"/>
      <w:lvlText w:val="%2"/>
      <w:numFmt w:val="lowerLetter"/>
      <w:start w:val="1"/>
    </w:lvl>
  </w:abstractNum>
  <w:abstractNum w:abstractNumId="702">
    <w:nsid w:val="5D4CAEF8"/>
    <w:multiLevelType w:val="hybridMultilevel"/>
    <w:lvl w:ilvl="0">
      <w:lvlJc w:val="left"/>
      <w:lvlText w:val="(%1)"/>
      <w:numFmt w:val="lowerLetter"/>
      <w:start w:val="1"/>
    </w:lvl>
  </w:abstractNum>
  <w:abstractNum w:abstractNumId="703">
    <w:nsid w:val="7A723B45"/>
    <w:multiLevelType w:val="hybridMultilevel"/>
    <w:lvl w:ilvl="0">
      <w:lvlJc w:val="left"/>
      <w:lvlText w:val="***"/>
      <w:numFmt w:val="bullet"/>
      <w:start w:val="1"/>
    </w:lvl>
  </w:abstractNum>
  <w:abstractNum w:abstractNumId="704">
    <w:nsid w:val="20913E41"/>
    <w:multiLevelType w:val="hybridMultilevel"/>
    <w:lvl w:ilvl="0">
      <w:lvlJc w:val="left"/>
      <w:lvlText w:val="(%1)"/>
      <w:numFmt w:val="decimal"/>
      <w:start w:val="60"/>
    </w:lvl>
  </w:abstractNum>
  <w:abstractNum w:abstractNumId="705">
    <w:nsid w:val="DFEC288"/>
    <w:multiLevelType w:val="hybridMultilevel"/>
    <w:lvl w:ilvl="0">
      <w:lvlJc w:val="left"/>
      <w:lvlText w:val="***"/>
      <w:numFmt w:val="bullet"/>
      <w:start w:val="1"/>
    </w:lvl>
  </w:abstractNum>
  <w:abstractNum w:abstractNumId="706">
    <w:nsid w:val="594F93D1"/>
    <w:multiLevelType w:val="hybridMultilevel"/>
    <w:lvl w:ilvl="0">
      <w:lvlJc w:val="left"/>
      <w:lvlText w:val="(%1)"/>
      <w:numFmt w:val="lowerLetter"/>
      <w:start w:val="1"/>
    </w:lvl>
  </w:abstractNum>
  <w:abstractNum w:abstractNumId="707">
    <w:nsid w:val="61402F4E"/>
    <w:multiLevelType w:val="hybridMultilevel"/>
    <w:lvl w:ilvl="0">
      <w:lvlJc w:val="left"/>
      <w:lvlText w:val="***"/>
      <w:numFmt w:val="bullet"/>
      <w:start w:val="1"/>
    </w:lvl>
  </w:abstractNum>
  <w:abstractNum w:abstractNumId="708">
    <w:nsid w:val="4DFF5E8B"/>
    <w:multiLevelType w:val="hybridMultilevel"/>
    <w:lvl w:ilvl="0">
      <w:lvlJc w:val="left"/>
      <w:lvlText w:val="%1."/>
      <w:numFmt w:val="decimal"/>
      <w:start w:val="4"/>
    </w:lvl>
  </w:abstractNum>
  <w:abstractNum w:abstractNumId="709">
    <w:nsid w:val="151F37A3"/>
    <w:multiLevelType w:val="hybridMultilevel"/>
    <w:lvl w:ilvl="0">
      <w:lvlJc w:val="left"/>
      <w:lvlText w:val="***"/>
      <w:numFmt w:val="bullet"/>
      <w:start w:val="1"/>
    </w:lvl>
  </w:abstractNum>
  <w:abstractNum w:abstractNumId="710">
    <w:nsid w:val="180DEB1"/>
    <w:multiLevelType w:val="hybridMultilevel"/>
    <w:lvl w:ilvl="0">
      <w:lvlJc w:val="left"/>
      <w:lvlText w:val="***"/>
      <w:numFmt w:val="bullet"/>
      <w:start w:val="1"/>
    </w:lvl>
  </w:abstractNum>
  <w:abstractNum w:abstractNumId="711">
    <w:nsid w:val="4A3F068C"/>
    <w:multiLevelType w:val="hybridMultilevel"/>
    <w:lvl w:ilvl="0">
      <w:lvlJc w:val="left"/>
      <w:lvlText w:val="(%1)"/>
      <w:numFmt w:val="decimal"/>
      <w:start w:val="3"/>
    </w:lvl>
  </w:abstractNum>
  <w:abstractNum w:abstractNumId="712">
    <w:nsid w:val="6C04B4E0"/>
    <w:multiLevelType w:val="hybridMultilevel"/>
    <w:lvl w:ilvl="0">
      <w:lvlJc w:val="left"/>
      <w:lvlText w:val="***"/>
      <w:numFmt w:val="bullet"/>
      <w:start w:val="1"/>
    </w:lvl>
  </w:abstractNum>
  <w:abstractNum w:abstractNumId="713">
    <w:nsid w:val="1D082837"/>
    <w:multiLevelType w:val="hybridMultilevel"/>
    <w:lvl w:ilvl="0">
      <w:lvlJc w:val="left"/>
      <w:lvlText w:val="[***]"/>
      <w:numFmt w:val="bullet"/>
      <w:start w:val="1"/>
    </w:lvl>
  </w:abstractNum>
  <w:abstractNum w:abstractNumId="714">
    <w:nsid w:val="685B8A2D"/>
    <w:multiLevelType w:val="hybridMultilevel"/>
    <w:lvl w:ilvl="0">
      <w:lvlJc w:val="left"/>
      <w:lvlText w:val="(%1)"/>
      <w:numFmt w:val="lowerLetter"/>
      <w:start w:val="1"/>
    </w:lvl>
  </w:abstractNum>
  <w:abstractNum w:abstractNumId="715">
    <w:nsid w:val="64F087E2"/>
    <w:multiLevelType w:val="hybridMultilevel"/>
    <w:lvl w:ilvl="0">
      <w:lvlJc w:val="left"/>
      <w:lvlText w:val="***"/>
      <w:numFmt w:val="bullet"/>
      <w:start w:val="1"/>
    </w:lvl>
  </w:abstractNum>
  <w:abstractNum w:abstractNumId="716">
    <w:nsid w:val="1575811C"/>
    <w:multiLevelType w:val="hybridMultilevel"/>
    <w:lvl w:ilvl="0">
      <w:lvlJc w:val="left"/>
      <w:lvlText w:val="(%1)"/>
      <w:numFmt w:val="lowerLetter"/>
      <w:start w:val="3"/>
    </w:lvl>
  </w:abstractNum>
  <w:abstractNum w:abstractNumId="717">
    <w:nsid w:val="52127406"/>
    <w:multiLevelType w:val="hybridMultilevel"/>
    <w:lvl w:ilvl="0">
      <w:lvlJc w:val="left"/>
      <w:lvlText w:val="(%1)"/>
      <w:numFmt w:val="lowerLetter"/>
      <w:start w:val="1"/>
    </w:lvl>
  </w:abstractNum>
  <w:abstractNum w:abstractNumId="718">
    <w:nsid w:val="5FF178A"/>
    <w:multiLevelType w:val="hybridMultilevel"/>
    <w:lvl w:ilvl="0">
      <w:lvlJc w:val="left"/>
      <w:lvlText w:val="(%1)"/>
      <w:numFmt w:val="lowerLetter"/>
      <w:start w:val="2"/>
    </w:lvl>
  </w:abstractNum>
  <w:abstractNum w:abstractNumId="719">
    <w:nsid w:val="53FB0875"/>
    <w:multiLevelType w:val="hybridMultilevel"/>
    <w:lvl w:ilvl="0">
      <w:lvlJc w:val="left"/>
      <w:lvlText w:val="***"/>
      <w:numFmt w:val="bullet"/>
      <w:start w:val="1"/>
    </w:lvl>
    <w:lvl w:ilvl="1">
      <w:lvlJc w:val="left"/>
      <w:lvlText w:val="(%2)"/>
      <w:numFmt w:val="lowerLetter"/>
      <w:start w:val="1"/>
    </w:lvl>
  </w:abstractNum>
  <w:abstractNum w:abstractNumId="720">
    <w:nsid w:val="34FA7B2B"/>
    <w:multiLevelType w:val="hybridMultilevel"/>
    <w:lvl w:ilvl="0">
      <w:lvlJc w:val="left"/>
      <w:lvlText w:val="(%1)"/>
      <w:numFmt w:val="lowerLetter"/>
      <w:start w:val="3"/>
    </w:lvl>
  </w:abstractNum>
  <w:abstractNum w:abstractNumId="721">
    <w:nsid w:val="CA75DBC"/>
    <w:multiLevelType w:val="hybridMultilevel"/>
    <w:lvl w:ilvl="0">
      <w:lvlJc w:val="left"/>
      <w:lvlText w:val="(%1)"/>
      <w:numFmt w:val="lowerLetter"/>
      <w:start w:val="1"/>
    </w:lvl>
  </w:abstractNum>
  <w:abstractNum w:abstractNumId="722">
    <w:nsid w:val="6AE2EC3C"/>
    <w:multiLevelType w:val="hybridMultilevel"/>
    <w:lvl w:ilvl="0">
      <w:lvlJc w:val="left"/>
      <w:lvlText w:val="(%1)"/>
      <w:numFmt w:val="lowerLetter"/>
      <w:start w:val="1"/>
    </w:lvl>
  </w:abstractNum>
  <w:abstractNum w:abstractNumId="723">
    <w:nsid w:val="3B3A67C5"/>
    <w:multiLevelType w:val="hybridMultilevel"/>
    <w:lvl w:ilvl="0">
      <w:lvlJc w:val="left"/>
      <w:lvlText w:val="***"/>
      <w:numFmt w:val="bullet"/>
      <w:start w:val="1"/>
    </w:lvl>
  </w:abstractNum>
  <w:abstractNum w:abstractNumId="724">
    <w:nsid w:val="78D07D08"/>
    <w:multiLevelType w:val="hybridMultilevel"/>
    <w:lvl w:ilvl="0">
      <w:lvlJc w:val="left"/>
      <w:lvlText w:val="(%1)"/>
      <w:numFmt w:val="lowerLetter"/>
      <w:start w:val="5"/>
    </w:lvl>
  </w:abstractNum>
  <w:abstractNum w:abstractNumId="725">
    <w:nsid w:val="3AF676B7"/>
    <w:multiLevelType w:val="hybridMultilevel"/>
    <w:lvl w:ilvl="0">
      <w:lvlJc w:val="left"/>
      <w:lvlText w:val="%1."/>
      <w:numFmt w:val="decimal"/>
      <w:start w:val="8"/>
    </w:lvl>
  </w:abstractNum>
  <w:abstractNum w:abstractNumId="726">
    <w:nsid w:val="6B6FD84E"/>
    <w:multiLevelType w:val="hybridMultilevel"/>
    <w:lvl w:ilvl="0">
      <w:lvlJc w:val="left"/>
      <w:lvlText w:val="(%1)"/>
      <w:numFmt w:val="lowerLetter"/>
      <w:start w:val="25"/>
    </w:lvl>
    <w:lvl w:ilvl="1">
      <w:lvlJc w:val="left"/>
      <w:lvlText w:val="(%2)"/>
      <w:numFmt w:val="lowerLetter"/>
      <w:start w:val="1"/>
    </w:lvl>
  </w:abstractNum>
  <w:abstractNum w:abstractNumId="727">
    <w:nsid w:val="497FD5B0"/>
    <w:multiLevelType w:val="hybridMultilevel"/>
    <w:lvl w:ilvl="0">
      <w:lvlJc w:val="left"/>
      <w:lvlText w:val="(%1)"/>
      <w:numFmt w:val="lowerLetter"/>
      <w:start w:val="2"/>
    </w:lvl>
  </w:abstractNum>
  <w:abstractNum w:abstractNumId="728">
    <w:nsid w:val="61A5C3E4"/>
    <w:multiLevelType w:val="hybridMultilevel"/>
    <w:lvl w:ilvl="0">
      <w:lvlJc w:val="left"/>
      <w:lvlText w:val="(%1)"/>
      <w:numFmt w:val="lowerLetter"/>
      <w:start w:val="1"/>
    </w:lvl>
  </w:abstractNum>
  <w:abstractNum w:abstractNumId="729">
    <w:nsid w:val="FADB8F8"/>
    <w:multiLevelType w:val="hybridMultilevel"/>
    <w:lvl w:ilvl="0">
      <w:lvlJc w:val="left"/>
      <w:lvlText w:val="%1."/>
      <w:numFmt w:val="decimal"/>
      <w:start w:val="9"/>
    </w:lvl>
    <w:lvl w:ilvl="1">
      <w:lvlJc w:val="left"/>
      <w:lvlText w:val="(%2)"/>
      <w:numFmt w:val="lowerLetter"/>
      <w:start w:val="1"/>
    </w:lvl>
  </w:abstractNum>
  <w:abstractNum w:abstractNumId="730">
    <w:nsid w:val="3DEB451A"/>
    <w:multiLevelType w:val="hybridMultilevel"/>
    <w:lvl w:ilvl="0">
      <w:lvlJc w:val="left"/>
      <w:lvlText w:val="(%1)"/>
      <w:numFmt w:val="lowerLetter"/>
      <w:start w:val="1"/>
    </w:lvl>
  </w:abstractNum>
  <w:abstractNum w:abstractNumId="731">
    <w:nsid w:val="A577FD6"/>
    <w:multiLevelType w:val="hybridMultilevel"/>
    <w:lvl w:ilvl="0">
      <w:lvlJc w:val="left"/>
      <w:lvlText w:val="***"/>
      <w:numFmt w:val="bullet"/>
      <w:start w:val="1"/>
    </w:lvl>
  </w:abstractNum>
  <w:abstractNum w:abstractNumId="732">
    <w:nsid w:val="1E5313D"/>
    <w:multiLevelType w:val="hybridMultilevel"/>
    <w:lvl w:ilvl="0">
      <w:lvlJc w:val="left"/>
      <w:lvlText w:val="(%1)"/>
      <w:numFmt w:val="lowerLetter"/>
      <w:start w:val="1"/>
    </w:lvl>
  </w:abstractNum>
  <w:abstractNum w:abstractNumId="733">
    <w:nsid w:val="1B37F412"/>
    <w:multiLevelType w:val="hybridMultilevel"/>
    <w:lvl w:ilvl="0">
      <w:lvlJc w:val="left"/>
      <w:lvlText w:val="%1."/>
      <w:numFmt w:val="decimal"/>
      <w:start w:val="12"/>
    </w:lvl>
  </w:abstractNum>
  <w:abstractNum w:abstractNumId="734">
    <w:nsid w:val="4C9BB1B"/>
    <w:multiLevelType w:val="hybridMultilevel"/>
    <w:lvl w:ilvl="0">
      <w:lvlJc w:val="left"/>
      <w:lvlText w:val="(%1)"/>
      <w:numFmt w:val="lowerLetter"/>
      <w:start w:val="1"/>
    </w:lvl>
  </w:abstractNum>
  <w:abstractNum w:abstractNumId="735">
    <w:nsid w:val="22766F7E"/>
    <w:multiLevelType w:val="hybridMultilevel"/>
    <w:lvl w:ilvl="0">
      <w:lvlJc w:val="left"/>
      <w:lvlText w:val="(%1)"/>
      <w:numFmt w:val="lowerLetter"/>
      <w:start w:val="4"/>
    </w:lvl>
  </w:abstractNum>
  <w:abstractNum w:abstractNumId="736">
    <w:nsid w:val="2936B69A"/>
    <w:multiLevelType w:val="hybridMultilevel"/>
    <w:lvl w:ilvl="0">
      <w:lvlJc w:val="left"/>
      <w:lvlText w:val="%1."/>
      <w:numFmt w:val="decimal"/>
      <w:start w:val="15"/>
    </w:lvl>
  </w:abstractNum>
  <w:abstractNum w:abstractNumId="737">
    <w:nsid w:val="5E194EEC"/>
    <w:multiLevelType w:val="hybridMultilevel"/>
    <w:lvl w:ilvl="0">
      <w:lvlJc w:val="left"/>
      <w:lvlText w:val="***"/>
      <w:numFmt w:val="bullet"/>
      <w:start w:val="1"/>
    </w:lvl>
  </w:abstractNum>
  <w:abstractNum w:abstractNumId="738">
    <w:nsid w:val="3B69ECD"/>
    <w:multiLevelType w:val="hybridMultilevel"/>
    <w:lvl w:ilvl="0">
      <w:lvlJc w:val="left"/>
      <w:lvlText w:val="(%1)"/>
      <w:numFmt w:val="lowerLetter"/>
      <w:start w:val="1"/>
    </w:lvl>
  </w:abstractNum>
  <w:abstractNum w:abstractNumId="739">
    <w:nsid w:val="77361526"/>
    <w:multiLevelType w:val="hybridMultilevel"/>
    <w:lvl w:ilvl="0">
      <w:lvlJc w:val="left"/>
      <w:lvlText w:val="***"/>
      <w:numFmt w:val="bullet"/>
      <w:start w:val="1"/>
    </w:lvl>
  </w:abstractNum>
  <w:abstractNum w:abstractNumId="740">
    <w:nsid w:val="7338868F"/>
    <w:multiLevelType w:val="hybridMultilevel"/>
    <w:lvl w:ilvl="0">
      <w:lvlJc w:val="left"/>
      <w:lvlText w:val="(%1)"/>
      <w:numFmt w:val="lowerLetter"/>
      <w:start w:val="1"/>
    </w:lvl>
  </w:abstractNum>
  <w:abstractNum w:abstractNumId="741">
    <w:nsid w:val="5377D7E"/>
    <w:multiLevelType w:val="hybridMultilevel"/>
    <w:lvl w:ilvl="0">
      <w:lvlJc w:val="left"/>
      <w:lvlText w:val="%1."/>
      <w:numFmt w:val="decimal"/>
      <w:start w:val="16"/>
    </w:lvl>
  </w:abstractNum>
  <w:abstractNum w:abstractNumId="742">
    <w:nsid w:val="41751BB2"/>
    <w:multiLevelType w:val="hybridMultilevel"/>
    <w:lvl w:ilvl="0">
      <w:lvlJc w:val="left"/>
      <w:lvlText w:val="(%1)"/>
      <w:numFmt w:val="decimal"/>
      <w:start w:val="5"/>
    </w:lvl>
  </w:abstractNum>
  <w:abstractNum w:abstractNumId="743">
    <w:nsid w:val="5F3D3B70"/>
    <w:multiLevelType w:val="hybridMultilevel"/>
    <w:lvl w:ilvl="0">
      <w:lvlJc w:val="left"/>
      <w:lvlText w:val="(%1)"/>
      <w:numFmt w:val="lowerLetter"/>
      <w:start w:val="1"/>
    </w:lvl>
  </w:abstractNum>
  <w:abstractNum w:abstractNumId="744">
    <w:nsid w:val="223FA5B6"/>
    <w:multiLevelType w:val="hybridMultilevel"/>
    <w:lvl w:ilvl="0">
      <w:lvlJc w:val="left"/>
      <w:lvlText w:val="(%1)"/>
      <w:numFmt w:val="lowerLetter"/>
      <w:start w:val="3"/>
    </w:lvl>
  </w:abstractNum>
  <w:abstractNum w:abstractNumId="745">
    <w:nsid w:val="29D0A5DF"/>
    <w:multiLevelType w:val="hybridMultilevel"/>
    <w:lvl w:ilvl="0">
      <w:lvlJc w:val="left"/>
      <w:lvlText w:val="(%1)"/>
      <w:numFmt w:val="lowerLetter"/>
      <w:start w:val="1"/>
    </w:lvl>
  </w:abstractNum>
  <w:abstractNum w:abstractNumId="746">
    <w:nsid w:val="442DC352"/>
    <w:multiLevelType w:val="hybridMultilevel"/>
    <w:lvl w:ilvl="0">
      <w:lvlJc w:val="left"/>
      <w:lvlText w:val="(%1)"/>
      <w:numFmt w:val="lowerLetter"/>
      <w:start w:val="1"/>
    </w:lvl>
  </w:abstractNum>
  <w:abstractNum w:abstractNumId="747">
    <w:nsid w:val="37B526D2"/>
    <w:multiLevelType w:val="hybridMultilevel"/>
    <w:lvl w:ilvl="0">
      <w:lvlJc w:val="left"/>
      <w:lvlText w:val="***"/>
      <w:numFmt w:val="bullet"/>
      <w:start w:val="1"/>
    </w:lvl>
  </w:abstractNum>
  <w:abstractNum w:abstractNumId="748">
    <w:nsid w:val="7BE319E5"/>
    <w:multiLevelType w:val="hybridMultilevel"/>
    <w:lvl w:ilvl="0">
      <w:lvlJc w:val="left"/>
      <w:lvlText w:val="***"/>
      <w:numFmt w:val="bullet"/>
      <w:start w:val="1"/>
    </w:lvl>
  </w:abstractNum>
  <w:abstractNum w:abstractNumId="749">
    <w:nsid w:val="4A2CDADC"/>
    <w:multiLevelType w:val="hybridMultilevel"/>
    <w:lvl w:ilvl="0">
      <w:lvlJc w:val="left"/>
      <w:lvlText w:val="***"/>
      <w:numFmt w:val="bullet"/>
      <w:start w:val="1"/>
    </w:lvl>
  </w:abstractNum>
  <w:abstractNum w:abstractNumId="750">
    <w:nsid w:val="BB02F47"/>
    <w:multiLevelType w:val="hybridMultilevel"/>
    <w:lvl w:ilvl="0">
      <w:lvlJc w:val="left"/>
      <w:lvlText w:val="***"/>
      <w:numFmt w:val="bullet"/>
      <w:start w:val="1"/>
    </w:lvl>
  </w:abstractNum>
  <w:abstractNum w:abstractNumId="751">
    <w:nsid w:val="30DD9510"/>
    <w:multiLevelType w:val="hybridMultilevel"/>
    <w:lvl w:ilvl="0">
      <w:lvlJc w:val="left"/>
      <w:lvlText w:val="***"/>
      <w:numFmt w:val="bullet"/>
      <w:start w:val="1"/>
    </w:lvl>
  </w:abstractNum>
  <w:abstractNum w:abstractNumId="752">
    <w:nsid w:val="56D43898"/>
    <w:multiLevelType w:val="hybridMultilevel"/>
    <w:lvl w:ilvl="0">
      <w:lvlJc w:val="left"/>
      <w:lvlText w:val="***"/>
      <w:numFmt w:val="bullet"/>
      <w:start w:val="1"/>
    </w:lvl>
  </w:abstractNum>
  <w:abstractNum w:abstractNumId="753">
    <w:nsid w:val="76931B84"/>
    <w:multiLevelType w:val="hybridMultilevel"/>
    <w:lvl w:ilvl="0">
      <w:lvlJc w:val="left"/>
      <w:lvlText w:val="***"/>
      <w:numFmt w:val="bullet"/>
      <w:start w:val="1"/>
    </w:lvl>
  </w:abstractNum>
  <w:abstractNum w:abstractNumId="754">
    <w:nsid w:val="6C17FCD6"/>
    <w:multiLevelType w:val="hybridMultilevel"/>
    <w:lvl w:ilvl="0">
      <w:lvlJc w:val="left"/>
      <w:lvlText w:val="***"/>
      <w:numFmt w:val="bullet"/>
      <w:start w:val="1"/>
    </w:lvl>
  </w:abstractNum>
  <w:abstractNum w:abstractNumId="755">
    <w:nsid w:val="4FA4B5A1"/>
    <w:multiLevelType w:val="hybridMultilevel"/>
    <w:lvl w:ilvl="0">
      <w:lvlJc w:val="left"/>
      <w:lvlText w:val="***"/>
      <w:numFmt w:val="bullet"/>
      <w:start w:val="1"/>
    </w:lvl>
  </w:abstractNum>
  <w:abstractNum w:abstractNumId="756">
    <w:nsid w:val="3189923B"/>
    <w:multiLevelType w:val="hybridMultilevel"/>
    <w:lvl w:ilvl="0">
      <w:lvlJc w:val="left"/>
      <w:lvlText w:val="***"/>
      <w:numFmt w:val="bullet"/>
      <w:start w:val="1"/>
    </w:lvl>
  </w:abstractNum>
  <w:abstractNum w:abstractNumId="757">
    <w:nsid w:val="5787D524"/>
    <w:multiLevelType w:val="hybridMultilevel"/>
    <w:lvl w:ilvl="0">
      <w:lvlJc w:val="left"/>
      <w:lvlText w:val="***"/>
      <w:numFmt w:val="bullet"/>
      <w:start w:val="1"/>
    </w:lvl>
  </w:abstractNum>
  <w:abstractNum w:abstractNumId="758">
    <w:nsid w:val="19248B51"/>
    <w:multiLevelType w:val="hybridMultilevel"/>
    <w:lvl w:ilvl="0">
      <w:lvlJc w:val="left"/>
      <w:lvlText w:val="(%1)"/>
      <w:numFmt w:val="lowerRoman"/>
      <w:start w:val="1"/>
    </w:lvl>
  </w:abstractNum>
  <w:abstractNum w:abstractNumId="759">
    <w:nsid w:val="132F561F"/>
    <w:multiLevelType w:val="hybridMultilevel"/>
    <w:lvl w:ilvl="0">
      <w:lvlJc w:val="left"/>
      <w:lvlText w:val="***"/>
      <w:numFmt w:val="bullet"/>
      <w:start w:val="1"/>
    </w:lvl>
  </w:abstractNum>
  <w:abstractNum w:abstractNumId="760">
    <w:nsid w:val="67358E1D"/>
    <w:multiLevelType w:val="hybridMultilevel"/>
    <w:lvl w:ilvl="0">
      <w:lvlJc w:val="left"/>
      <w:lvlText w:val="***"/>
      <w:numFmt w:val="bullet"/>
      <w:start w:val="1"/>
    </w:lvl>
  </w:abstractNum>
  <w:abstractNum w:abstractNumId="761">
    <w:nsid w:val="570FD06B"/>
    <w:multiLevelType w:val="hybridMultilevel"/>
    <w:lvl w:ilvl="0">
      <w:lvlJc w:val="left"/>
      <w:lvlText w:val="(%1)"/>
      <w:numFmt w:val="lowerLetter"/>
      <w:start w:val="1"/>
    </w:lvl>
  </w:abstractNum>
  <w:abstractNum w:abstractNumId="762">
    <w:nsid w:val="1D86D5F5"/>
    <w:multiLevelType w:val="hybridMultilevel"/>
    <w:lvl w:ilvl="0">
      <w:lvlJc w:val="left"/>
      <w:lvlText w:val="(%1)"/>
      <w:numFmt w:val="lowerLetter"/>
      <w:start w:val="1"/>
    </w:lvl>
  </w:abstractNum>
  <w:abstractNum w:abstractNumId="763">
    <w:nsid w:val="691ABF5A"/>
    <w:multiLevelType w:val="hybridMultilevel"/>
    <w:lvl w:ilvl="0">
      <w:lvlJc w:val="left"/>
      <w:lvlText w:val="***"/>
      <w:numFmt w:val="bullet"/>
      <w:start w:val="1"/>
    </w:lvl>
  </w:abstractNum>
  <w:abstractNum w:abstractNumId="764">
    <w:nsid w:val="7247C47D"/>
    <w:multiLevelType w:val="hybridMultilevel"/>
    <w:lvl w:ilvl="0">
      <w:lvlJc w:val="left"/>
      <w:lvlText w:val="***"/>
      <w:numFmt w:val="bullet"/>
      <w:start w:val="1"/>
    </w:lvl>
  </w:abstractNum>
  <w:abstractNum w:abstractNumId="765">
    <w:nsid w:val="22509110"/>
    <w:multiLevelType w:val="hybridMultilevel"/>
    <w:lvl w:ilvl="0">
      <w:lvlJc w:val="left"/>
      <w:lvlText w:val="%1"/>
      <w:numFmt w:val="lowerLetter"/>
      <w:start w:val="1"/>
    </w:lvl>
    <w:lvl w:ilvl="1">
      <w:lvlJc w:val="left"/>
      <w:lvlText w:val="(%2)"/>
      <w:numFmt w:val="lowerLetter"/>
      <w:start w:val="1"/>
    </w:lvl>
  </w:abstractNum>
  <w:abstractNum w:abstractNumId="766">
    <w:nsid w:val="B912ED8"/>
    <w:multiLevelType w:val="hybridMultilevel"/>
    <w:lvl w:ilvl="0">
      <w:lvlJc w:val="left"/>
      <w:lvlText w:val="(%1)"/>
      <w:numFmt w:val="lowerLetter"/>
      <w:start w:val="3"/>
    </w:lvl>
    <w:lvl w:ilvl="1">
      <w:lvlJc w:val="left"/>
      <w:lvlText w:val="%2"/>
      <w:numFmt w:val="lowerLetter"/>
      <w:start w:val="1"/>
    </w:lvl>
  </w:abstractNum>
  <w:abstractNum w:abstractNumId="767">
    <w:nsid w:val="1B7E7B17"/>
    <w:multiLevelType w:val="hybridMultilevel"/>
    <w:lvl w:ilvl="0">
      <w:lvlJc w:val="left"/>
      <w:lvlText w:val="(%1)"/>
      <w:numFmt w:val="lowerLetter"/>
      <w:start w:val="3"/>
    </w:lvl>
    <w:lvl w:ilvl="1">
      <w:lvlJc w:val="left"/>
      <w:lvlText w:val="(%2)"/>
      <w:numFmt w:val="lowerRoman"/>
      <w:start w:val="1"/>
    </w:lvl>
  </w:abstractNum>
  <w:abstractNum w:abstractNumId="768">
    <w:nsid w:val="69DFFC"/>
    <w:multiLevelType w:val="hybridMultilevel"/>
    <w:lvl w:ilvl="0">
      <w:lvlJc w:val="left"/>
      <w:lvlText w:val="%1"/>
      <w:numFmt w:val="lowerLetter"/>
      <w:start w:val="1"/>
    </w:lvl>
    <w:lvl w:ilvl="1">
      <w:lvlJc w:val="left"/>
      <w:lvlText w:val="(%2)"/>
      <w:numFmt w:val="lowerRoman"/>
      <w:start w:val="3"/>
    </w:lvl>
  </w:abstractNum>
  <w:abstractNum w:abstractNumId="769">
    <w:nsid w:val="F47CDA5"/>
    <w:multiLevelType w:val="hybridMultilevel"/>
    <w:lvl w:ilvl="0">
      <w:lvlJc w:val="left"/>
      <w:lvlText w:val="(%1)"/>
      <w:numFmt w:val="lowerLetter"/>
      <w:start w:val="6"/>
    </w:lvl>
    <w:lvl w:ilvl="1">
      <w:lvlJc w:val="left"/>
      <w:lvlText w:val="%2"/>
      <w:numFmt w:val="lowerRoman"/>
      <w:start w:val="1"/>
    </w:lvl>
  </w:abstractNum>
  <w:abstractNum w:abstractNumId="770">
    <w:nsid w:val="12B4903D"/>
    <w:multiLevelType w:val="hybridMultilevel"/>
    <w:lvl w:ilvl="0">
      <w:lvlJc w:val="left"/>
      <w:lvlText w:val="(%1)"/>
      <w:numFmt w:val="lowerLetter"/>
      <w:start w:val="7"/>
    </w:lvl>
  </w:abstractNum>
  <w:abstractNum w:abstractNumId="771">
    <w:nsid w:val="73A2668C"/>
    <w:multiLevelType w:val="hybridMultilevel"/>
    <w:lvl w:ilvl="0">
      <w:lvlJc w:val="left"/>
      <w:lvlText w:val="(%1)"/>
      <w:numFmt w:val="lowerLetter"/>
      <w:start w:val="1"/>
    </w:lvl>
    <w:lvl w:ilvl="1">
      <w:lvlJc w:val="left"/>
      <w:lvlText w:val="(%2)"/>
      <w:numFmt w:val="lowerRoman"/>
      <w:start w:val="1"/>
    </w:lvl>
  </w:abstractNum>
  <w:abstractNum w:abstractNumId="772">
    <w:nsid w:val="147F4B2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73">
    <w:nsid w:val="5429ABEF"/>
    <w:multiLevelType w:val="hybridMultilevel"/>
    <w:lvl w:ilvl="0">
      <w:lvlJc w:val="left"/>
      <w:lvlText w:val="(%1)"/>
      <w:numFmt w:val="lowerRoman"/>
      <w:start w:val="3"/>
    </w:lvl>
  </w:abstractNum>
  <w:abstractNum w:abstractNumId="774">
    <w:nsid w:val="52DFA1FC"/>
    <w:multiLevelType w:val="hybridMultilevel"/>
    <w:lvl w:ilvl="0">
      <w:lvlJc w:val="left"/>
      <w:lvlText w:val="(%1)"/>
      <w:numFmt w:val="lowerLetter"/>
      <w:start w:val="1"/>
    </w:lvl>
  </w:abstractNum>
  <w:abstractNum w:abstractNumId="775">
    <w:nsid w:val="36BEF0DA"/>
    <w:multiLevelType w:val="hybridMultilevel"/>
    <w:lvl w:ilvl="0">
      <w:lvlJc w:val="left"/>
      <w:lvlText w:val="***"/>
      <w:numFmt w:val="bullet"/>
      <w:start w:val="1"/>
    </w:lvl>
    <w:lvl w:ilvl="1">
      <w:lvlJc w:val="left"/>
      <w:lvlText w:val="(%2)"/>
      <w:numFmt w:val="lowerLetter"/>
      <w:start w:val="1"/>
    </w:lvl>
  </w:abstractNum>
  <w:abstractNum w:abstractNumId="776">
    <w:nsid w:val="7DFA51CE"/>
    <w:multiLevelType w:val="hybridMultilevel"/>
    <w:lvl w:ilvl="0">
      <w:lvlJc w:val="left"/>
      <w:lvlText w:val="(%1)"/>
      <w:numFmt w:val="lowerLetter"/>
      <w:start w:val="2"/>
    </w:lvl>
  </w:abstractNum>
  <w:abstractNum w:abstractNumId="777">
    <w:nsid w:val="170D654E"/>
    <w:multiLevelType w:val="hybridMultilevel"/>
    <w:lvl w:ilvl="0">
      <w:lvlJc w:val="left"/>
      <w:lvlText w:val="(%1)"/>
      <w:numFmt w:val="lowerLetter"/>
      <w:start w:val="1"/>
    </w:lvl>
  </w:abstractNum>
  <w:abstractNum w:abstractNumId="778">
    <w:nsid w:val="6E7417AC"/>
    <w:multiLevelType w:val="hybridMultilevel"/>
    <w:lvl w:ilvl="0">
      <w:lvlJc w:val="left"/>
      <w:lvlText w:val="***"/>
      <w:numFmt w:val="bullet"/>
      <w:start w:val="1"/>
    </w:lvl>
  </w:abstractNum>
  <w:abstractNum w:abstractNumId="779">
    <w:nsid w:val="79DD6BB3"/>
    <w:multiLevelType w:val="hybridMultilevel"/>
    <w:lvl w:ilvl="0">
      <w:lvlJc w:val="left"/>
      <w:lvlText w:val="(%1)"/>
      <w:numFmt w:val="lowerLetter"/>
      <w:start w:val="2"/>
    </w:lvl>
  </w:abstractNum>
  <w:abstractNum w:abstractNumId="780">
    <w:nsid w:val="613A402A"/>
    <w:multiLevelType w:val="hybridMultilevel"/>
    <w:lvl w:ilvl="0">
      <w:lvlJc w:val="left"/>
      <w:lvlText w:val="(%1)"/>
      <w:numFmt w:val="lowerLetter"/>
      <w:start w:val="1"/>
    </w:lvl>
    <w:lvl w:ilvl="1">
      <w:lvlJc w:val="left"/>
      <w:lvlText w:val="(%2)"/>
      <w:numFmt w:val="lowerRoman"/>
      <w:start w:val="1"/>
    </w:lvl>
  </w:abstractNum>
  <w:abstractNum w:abstractNumId="781">
    <w:nsid w:val="7A2446F3"/>
    <w:multiLevelType w:val="hybridMultilevel"/>
    <w:lvl w:ilvl="0">
      <w:lvlJc w:val="left"/>
      <w:lvlText w:val="***"/>
      <w:numFmt w:val="bullet"/>
      <w:start w:val="1"/>
    </w:lvl>
    <w:lvl w:ilvl="1">
      <w:lvlJc w:val="left"/>
      <w:lvlText w:val="(%2)"/>
      <w:numFmt w:val="lowerLetter"/>
      <w:start w:val="1"/>
    </w:lvl>
  </w:abstractNum>
  <w:abstractNum w:abstractNumId="782">
    <w:nsid w:val="2ABB00C4"/>
    <w:multiLevelType w:val="hybridMultilevel"/>
    <w:lvl w:ilvl="0">
      <w:lvlJc w:val="left"/>
      <w:lvlText w:val="***"/>
      <w:numFmt w:val="bullet"/>
      <w:start w:val="1"/>
    </w:lvl>
  </w:abstractNum>
  <w:abstractNum w:abstractNumId="783">
    <w:nsid w:val="380E78C3"/>
    <w:multiLevelType w:val="hybridMultilevel"/>
    <w:lvl w:ilvl="0">
      <w:lvlJc w:val="left"/>
      <w:lvlText w:val="***"/>
      <w:numFmt w:val="bullet"/>
      <w:start w:val="1"/>
    </w:lvl>
  </w:abstractNum>
  <w:abstractNum w:abstractNumId="784">
    <w:nsid w:val="70B76277"/>
    <w:multiLevelType w:val="hybridMultilevel"/>
    <w:lvl w:ilvl="0">
      <w:lvlJc w:val="left"/>
      <w:lvlText w:val="(%1)"/>
      <w:numFmt w:val="lowerLetter"/>
      <w:start w:val="1"/>
    </w:lvl>
  </w:abstractNum>
  <w:abstractNum w:abstractNumId="785">
    <w:nsid w:val="16D2FD9A"/>
    <w:multiLevelType w:val="hybridMultilevel"/>
    <w:lvl w:ilvl="0">
      <w:lvlJc w:val="left"/>
      <w:lvlText w:val="***"/>
      <w:numFmt w:val="bullet"/>
      <w:start w:val="1"/>
    </w:lvl>
    <w:lvl w:ilvl="1">
      <w:lvlJc w:val="left"/>
      <w:lvlText w:val="(%2)"/>
      <w:numFmt w:val="lowerLetter"/>
      <w:start w:val="2"/>
    </w:lvl>
  </w:abstractNum>
  <w:abstractNum w:abstractNumId="786">
    <w:nsid w:val="7B32E64"/>
    <w:multiLevelType w:val="hybridMultilevel"/>
    <w:lvl w:ilvl="0">
      <w:lvlJc w:val="left"/>
      <w:lvlText w:val="(%1)"/>
      <w:numFmt w:val="lowerLetter"/>
      <w:start w:val="6"/>
    </w:lvl>
  </w:abstractNum>
  <w:abstractNum w:abstractNumId="787">
    <w:nsid w:val="2240F4B2"/>
    <w:multiLevelType w:val="hybridMultilevel"/>
    <w:lvl w:ilvl="0">
      <w:lvlJc w:val="left"/>
      <w:lvlText w:val="%1"/>
      <w:numFmt w:val="lowerLetter"/>
      <w:start w:val="1"/>
    </w:lvl>
    <w:lvl w:ilvl="1">
      <w:lvlJc w:val="left"/>
      <w:lvlText w:val="(%2)"/>
      <w:numFmt w:val="lowerLetter"/>
      <w:start w:val="1"/>
    </w:lvl>
  </w:abstractNum>
  <w:abstractNum w:abstractNumId="788">
    <w:nsid w:val="6E5AD2BE"/>
    <w:multiLevelType w:val="hybridMultilevel"/>
    <w:lvl w:ilvl="0">
      <w:lvlJc w:val="left"/>
      <w:lvlText w:val="(%1)"/>
      <w:numFmt w:val="lowerLetter"/>
      <w:start w:val="9"/>
    </w:lvl>
    <w:lvl w:ilvl="1">
      <w:lvlJc w:val="left"/>
      <w:lvlText w:val="(%2)"/>
      <w:numFmt w:val="lowerLetter"/>
      <w:start w:val="2"/>
    </w:lvl>
  </w:abstractNum>
  <w:abstractNum w:abstractNumId="789">
    <w:nsid w:val="20D7B9B5"/>
    <w:multiLevelType w:val="hybridMultilevel"/>
    <w:lvl w:ilvl="0">
      <w:lvlJc w:val="left"/>
      <w:lvlText w:val="***"/>
      <w:numFmt w:val="bullet"/>
      <w:start w:val="1"/>
    </w:lvl>
  </w:abstractNum>
  <w:abstractNum w:abstractNumId="790">
    <w:nsid w:val="35704AD1"/>
    <w:multiLevelType w:val="hybridMultilevel"/>
    <w:lvl w:ilvl="0">
      <w:lvlJc w:val="left"/>
      <w:lvlText w:val="%1"/>
      <w:numFmt w:val="lowerLetter"/>
      <w:start w:val="1"/>
    </w:lvl>
    <w:lvl w:ilvl="1">
      <w:lvlJc w:val="left"/>
      <w:lvlText w:val="(%2)"/>
      <w:numFmt w:val="lowerLetter"/>
      <w:start w:val="3"/>
    </w:lvl>
  </w:abstractNum>
  <w:abstractNum w:abstractNumId="791">
    <w:nsid w:val="559060DB"/>
    <w:multiLevelType w:val="hybridMultilevel"/>
    <w:lvl w:ilvl="0">
      <w:lvlJc w:val="left"/>
      <w:lvlText w:val="(%1)"/>
      <w:numFmt w:val="lowerLetter"/>
      <w:start w:val="9"/>
    </w:lvl>
    <w:lvl w:ilvl="1">
      <w:lvlJc w:val="left"/>
      <w:lvlText w:val="(%2)"/>
      <w:numFmt w:val="lowerLetter"/>
      <w:start w:val="4"/>
    </w:lvl>
  </w:abstractNum>
  <w:abstractNum w:abstractNumId="792">
    <w:nsid w:val="77E78A20"/>
    <w:multiLevelType w:val="hybridMultilevel"/>
    <w:lvl w:ilvl="0">
      <w:lvlJc w:val="left"/>
      <w:lvlText w:val="***"/>
      <w:numFmt w:val="bullet"/>
      <w:start w:val="1"/>
    </w:lvl>
    <w:lvl w:ilvl="1">
      <w:lvlJc w:val="left"/>
      <w:lvlText w:val="(%2)"/>
      <w:numFmt w:val="lowerLetter"/>
      <w:start w:val="1"/>
    </w:lvl>
  </w:abstractNum>
  <w:abstractNum w:abstractNumId="793">
    <w:nsid w:val="52F720C6"/>
    <w:multiLevelType w:val="hybridMultilevel"/>
    <w:lvl w:ilvl="0">
      <w:lvlJc w:val="left"/>
      <w:lvlText w:val="(%1)"/>
      <w:numFmt w:val="lowerLetter"/>
      <w:start w:val="3"/>
    </w:lvl>
  </w:abstractNum>
  <w:abstractNum w:abstractNumId="794">
    <w:nsid w:val="3EAB2035"/>
    <w:multiLevelType w:val="hybridMultilevel"/>
    <w:lvl w:ilvl="0">
      <w:lvlJc w:val="left"/>
      <w:lvlText w:val="(%1)"/>
      <w:numFmt w:val="lowerLetter"/>
      <w:start w:val="6"/>
    </w:lvl>
  </w:abstractNum>
  <w:abstractNum w:abstractNumId="795">
    <w:nsid w:val="6A2F4E9D"/>
    <w:multiLevelType w:val="hybridMultilevel"/>
    <w:lvl w:ilvl="0">
      <w:lvlJc w:val="left"/>
      <w:lvlText w:val="***"/>
      <w:numFmt w:val="bullet"/>
      <w:start w:val="1"/>
    </w:lvl>
    <w:lvl w:ilvl="1">
      <w:lvlJc w:val="left"/>
      <w:lvlText w:val="(%2)"/>
      <w:numFmt w:val="lowerLetter"/>
      <w:start w:val="1"/>
    </w:lvl>
  </w:abstractNum>
  <w:abstractNum w:abstractNumId="796">
    <w:nsid w:val="7547B1D6"/>
    <w:multiLevelType w:val="hybridMultilevel"/>
    <w:lvl w:ilvl="0">
      <w:lvlJc w:val="left"/>
      <w:lvlText w:val="(%1)"/>
      <w:numFmt w:val="lowerLetter"/>
      <w:start w:val="3"/>
    </w:lvl>
    <w:lvl w:ilvl="1">
      <w:lvlJc w:val="left"/>
      <w:lvlText w:val="(%2)"/>
      <w:numFmt w:val="lowerRoman"/>
      <w:start w:val="1"/>
    </w:lvl>
  </w:abstractNum>
  <w:abstractNum w:abstractNumId="797">
    <w:nsid w:val="4A3C4F0E"/>
    <w:multiLevelType w:val="hybridMultilevel"/>
    <w:lvl w:ilvl="0">
      <w:lvlJc w:val="left"/>
      <w:lvlText w:val="(%1)"/>
      <w:numFmt w:val="lowerLetter"/>
      <w:start w:val="1"/>
    </w:lvl>
  </w:abstractNum>
  <w:abstractNum w:abstractNumId="798">
    <w:nsid w:val="5ADC9B4"/>
    <w:multiLevelType w:val="hybridMultilevel"/>
    <w:lvl w:ilvl="0">
      <w:lvlJc w:val="left"/>
      <w:lvlText w:val="%1"/>
      <w:numFmt w:val="lowerLetter"/>
      <w:start w:val="1"/>
    </w:lvl>
    <w:lvl w:ilvl="1">
      <w:lvlJc w:val="left"/>
      <w:lvlText w:val="(%2)"/>
      <w:numFmt w:val="lowerLetter"/>
      <w:start w:val="2"/>
    </w:lvl>
  </w:abstractNum>
  <w:abstractNum w:abstractNumId="799">
    <w:nsid w:val="75B191D3"/>
    <w:multiLevelType w:val="hybridMultilevel"/>
    <w:lvl w:ilvl="0">
      <w:lvlJc w:val="left"/>
      <w:lvlText w:val="(%1)"/>
      <w:numFmt w:val="lowerLetter"/>
      <w:start w:val="9"/>
    </w:lvl>
    <w:lvl w:ilvl="1">
      <w:lvlJc w:val="left"/>
      <w:lvlText w:val="(%2)"/>
      <w:numFmt w:val="lowerLetter"/>
      <w:start w:val="5"/>
    </w:lvl>
  </w:abstractNum>
  <w:abstractNum w:abstractNumId="800">
    <w:nsid w:val="59841CB3"/>
    <w:multiLevelType w:val="hybridMultilevel"/>
    <w:lvl w:ilvl="0">
      <w:lvlJc w:val="left"/>
      <w:lvlText w:val="***"/>
      <w:numFmt w:val="bullet"/>
      <w:start w:val="1"/>
    </w:lvl>
  </w:abstractNum>
  <w:abstractNum w:abstractNumId="801">
    <w:nsid w:val="186259F2"/>
    <w:multiLevelType w:val="hybridMultilevel"/>
    <w:lvl w:ilvl="0">
      <w:lvlJc w:val="left"/>
      <w:lvlText w:val="(%1)"/>
      <w:numFmt w:val="lowerLetter"/>
      <w:start w:val="1"/>
    </w:lvl>
    <w:lvl w:ilvl="1">
      <w:lvlJc w:val="left"/>
      <w:lvlText w:val="(%2)"/>
      <w:numFmt w:val="lowerRoman"/>
      <w:start w:val="1"/>
    </w:lvl>
  </w:abstractNum>
  <w:abstractNum w:abstractNumId="802">
    <w:nsid w:val="6953F85F"/>
    <w:multiLevelType w:val="hybridMultilevel"/>
    <w:lvl w:ilvl="0">
      <w:lvlJc w:val="left"/>
      <w:lvlText w:val="(%1)"/>
      <w:numFmt w:val="lowerLetter"/>
      <w:start w:val="1"/>
    </w:lvl>
  </w:abstractNum>
  <w:abstractNum w:abstractNumId="803">
    <w:nsid w:val="6E0367D7"/>
    <w:multiLevelType w:val="hybridMultilevel"/>
    <w:lvl w:ilvl="0">
      <w:lvlJc w:val="left"/>
      <w:lvlText w:val="(%1)"/>
      <w:numFmt w:val="lowerLetter"/>
      <w:start w:val="4"/>
    </w:lvl>
  </w:abstractNum>
  <w:abstractNum w:abstractNumId="804">
    <w:nsid w:val="6C8C05E1"/>
    <w:multiLevelType w:val="hybridMultilevel"/>
    <w:lvl w:ilvl="0">
      <w:lvlJc w:val="left"/>
      <w:lvlText w:val="***"/>
      <w:numFmt w:val="bullet"/>
      <w:start w:val="1"/>
    </w:lvl>
    <w:lvl w:ilvl="1">
      <w:lvlJc w:val="left"/>
      <w:lvlText w:val="(%2)"/>
      <w:numFmt w:val="lowerLetter"/>
      <w:start w:val="1"/>
    </w:lvl>
  </w:abstractNum>
  <w:abstractNum w:abstractNumId="805">
    <w:nsid w:val="3C339A5B"/>
    <w:multiLevelType w:val="hybridMultilevel"/>
    <w:lvl w:ilvl="0">
      <w:lvlJc w:val="left"/>
      <w:lvlText w:val="(%1)"/>
      <w:numFmt w:val="lowerLetter"/>
      <w:start w:val="5"/>
    </w:lvl>
  </w:abstractNum>
  <w:abstractNum w:abstractNumId="806">
    <w:nsid w:val="24C258B1"/>
    <w:multiLevelType w:val="hybridMultilevel"/>
    <w:lvl w:ilvl="0">
      <w:lvlJc w:val="left"/>
      <w:lvlText w:val="(%1)"/>
      <w:numFmt w:val="lowerLetter"/>
      <w:start w:val="14"/>
    </w:lvl>
  </w:abstractNum>
  <w:abstractNum w:abstractNumId="807">
    <w:nsid w:val="6A8657B0"/>
    <w:multiLevelType w:val="hybridMultilevel"/>
    <w:lvl w:ilvl="0">
      <w:lvlJc w:val="left"/>
      <w:lvlText w:val="(%1)"/>
      <w:numFmt w:val="lowerLetter"/>
      <w:start w:val="1"/>
    </w:lvl>
  </w:abstractNum>
  <w:abstractNum w:abstractNumId="808">
    <w:nsid w:val="5340FFA9"/>
    <w:multiLevelType w:val="hybridMultilevel"/>
    <w:lvl w:ilvl="0">
      <w:lvlJc w:val="left"/>
      <w:lvlText w:val="%1"/>
      <w:numFmt w:val="lowerRoman"/>
      <w:start w:val="1"/>
    </w:lvl>
    <w:lvl w:ilvl="1">
      <w:lvlJc w:val="left"/>
      <w:lvlText w:val="(%2)"/>
      <w:numFmt w:val="lowerLetter"/>
      <w:start w:val="1"/>
    </w:lvl>
  </w:abstractNum>
  <w:abstractNum w:abstractNumId="809">
    <w:nsid w:val="1336705D"/>
    <w:multiLevelType w:val="hybridMultilevel"/>
    <w:lvl w:ilvl="0">
      <w:lvlJc w:val="left"/>
      <w:lvlText w:val="(%1)"/>
      <w:numFmt w:val="lowerRoman"/>
      <w:start w:val="4"/>
    </w:lvl>
    <w:lvl w:ilvl="1">
      <w:lvlJc w:val="left"/>
      <w:lvlText w:val="(%2)"/>
      <w:numFmt w:val="lowerLetter"/>
      <w:start w:val="2"/>
    </w:lvl>
  </w:abstractNum>
  <w:abstractNum w:abstractNumId="810">
    <w:nsid w:val="6463C363"/>
    <w:multiLevelType w:val="hybridMultilevel"/>
    <w:lvl w:ilvl="0">
      <w:lvlJc w:val="left"/>
      <w:lvlText w:val="***"/>
      <w:numFmt w:val="bullet"/>
      <w:start w:val="1"/>
    </w:lvl>
  </w:abstractNum>
  <w:abstractNum w:abstractNumId="811">
    <w:nsid w:val="347B3FD3"/>
    <w:multiLevelType w:val="hybridMultilevel"/>
    <w:lvl w:ilvl="0">
      <w:lvlJc w:val="left"/>
      <w:lvlText w:val="(%1)"/>
      <w:numFmt w:val="lowerLetter"/>
      <w:start w:val="2"/>
    </w:lvl>
  </w:abstractNum>
  <w:abstractNum w:abstractNumId="812">
    <w:nsid w:val="D5AB751"/>
    <w:multiLevelType w:val="hybridMultilevel"/>
    <w:lvl w:ilvl="0">
      <w:lvlJc w:val="left"/>
      <w:lvlText w:val="***"/>
      <w:numFmt w:val="bullet"/>
      <w:start w:val="1"/>
    </w:lvl>
    <w:lvl w:ilvl="1">
      <w:lvlJc w:val="left"/>
      <w:lvlText w:val="(%2)"/>
      <w:numFmt w:val="lowerLetter"/>
      <w:start w:val="1"/>
    </w:lvl>
  </w:abstractNum>
  <w:abstractNum w:abstractNumId="813">
    <w:nsid w:val="F1EC427"/>
    <w:multiLevelType w:val="hybridMultilevel"/>
    <w:lvl w:ilvl="0">
      <w:lvlJc w:val="left"/>
      <w:lvlText w:val="%1"/>
      <w:numFmt w:val="lowerLetter"/>
      <w:start w:val="1"/>
    </w:lvl>
    <w:lvl w:ilvl="1">
      <w:lvlJc w:val="left"/>
      <w:lvlText w:val="(%2)"/>
      <w:numFmt w:val="lowerLetter"/>
      <w:start w:val="1"/>
    </w:lvl>
  </w:abstractNum>
  <w:abstractNum w:abstractNumId="814">
    <w:nsid w:val="6C89B896"/>
    <w:multiLevelType w:val="hybridMultilevel"/>
    <w:lvl w:ilvl="0">
      <w:lvlJc w:val="left"/>
      <w:lvlText w:val="(%1)"/>
      <w:numFmt w:val="lowerLetter"/>
      <w:start w:val="9"/>
    </w:lvl>
    <w:lvl w:ilvl="1">
      <w:lvlJc w:val="left"/>
      <w:lvlText w:val="(%2)"/>
      <w:numFmt w:val="lowerLetter"/>
      <w:start w:val="4"/>
    </w:lvl>
  </w:abstractNum>
  <w:abstractNum w:abstractNumId="815">
    <w:nsid w:val="7E1219C8"/>
    <w:multiLevelType w:val="hybridMultilevel"/>
    <w:lvl w:ilvl="0">
      <w:lvlJc w:val="left"/>
      <w:lvlText w:val="***"/>
      <w:numFmt w:val="bullet"/>
      <w:start w:val="1"/>
    </w:lvl>
  </w:abstractNum>
  <w:abstractNum w:abstractNumId="816">
    <w:nsid w:val="25F1C1C1"/>
    <w:multiLevelType w:val="hybridMultilevel"/>
    <w:lvl w:ilvl="0">
      <w:lvlJc w:val="left"/>
      <w:lvlText w:val="(%1)"/>
      <w:numFmt w:val="lowerLetter"/>
      <w:start w:val="1"/>
    </w:lvl>
  </w:abstractNum>
  <w:abstractNum w:abstractNumId="817">
    <w:nsid w:val="743CE6FA"/>
    <w:multiLevelType w:val="hybridMultilevel"/>
    <w:lvl w:ilvl="0">
      <w:lvlJc w:val="left"/>
      <w:lvlText w:val="***"/>
      <w:numFmt w:val="bullet"/>
      <w:start w:val="1"/>
    </w:lvl>
    <w:lvl w:ilvl="1">
      <w:lvlJc w:val="left"/>
      <w:lvlText w:val="(%2)"/>
      <w:numFmt w:val="lowerLetter"/>
      <w:start w:val="1"/>
    </w:lvl>
  </w:abstractNum>
  <w:abstractNum w:abstractNumId="818">
    <w:nsid w:val="20530E7B"/>
    <w:multiLevelType w:val="hybridMultilevel"/>
    <w:lvl w:ilvl="0">
      <w:lvlJc w:val="left"/>
      <w:lvlText w:val="(%1)"/>
      <w:numFmt w:val="lowerLetter"/>
      <w:start w:val="2"/>
    </w:lvl>
  </w:abstractNum>
  <w:abstractNum w:abstractNumId="819">
    <w:nsid w:val="144C9480"/>
    <w:multiLevelType w:val="hybridMultilevel"/>
    <w:lvl w:ilvl="0">
      <w:lvlJc w:val="left"/>
      <w:lvlText w:val="***"/>
      <w:numFmt w:val="bullet"/>
      <w:start w:val="1"/>
    </w:lvl>
  </w:abstractNum>
  <w:abstractNum w:abstractNumId="820">
    <w:nsid w:val="1514A0AF"/>
    <w:multiLevelType w:val="hybridMultilevel"/>
    <w:lvl w:ilvl="0">
      <w:lvlJc w:val="left"/>
      <w:lvlText w:val="***"/>
      <w:numFmt w:val="bullet"/>
      <w:start w:val="1"/>
    </w:lvl>
  </w:abstractNum>
  <w:abstractNum w:abstractNumId="821">
    <w:nsid w:val="55C3594C"/>
    <w:multiLevelType w:val="hybridMultilevel"/>
    <w:lvl w:ilvl="0">
      <w:lvlJc w:val="left"/>
      <w:lvlText w:val="***"/>
      <w:numFmt w:val="bullet"/>
      <w:start w:val="1"/>
    </w:lvl>
  </w:abstractNum>
  <w:abstractNum w:abstractNumId="822">
    <w:nsid w:val="69DCF55B"/>
    <w:multiLevelType w:val="hybridMultilevel"/>
    <w:lvl w:ilvl="0">
      <w:lvlJc w:val="left"/>
      <w:lvlText w:val="***"/>
      <w:numFmt w:val="bullet"/>
      <w:start w:val="1"/>
    </w:lvl>
  </w:abstractNum>
  <w:abstractNum w:abstractNumId="823">
    <w:nsid w:val="CFC2ACF"/>
    <w:multiLevelType w:val="hybridMultilevel"/>
    <w:lvl w:ilvl="0">
      <w:lvlJc w:val="left"/>
      <w:lvlText w:val="***"/>
      <w:numFmt w:val="bullet"/>
      <w:start w:val="1"/>
    </w:lvl>
  </w:abstractNum>
  <w:abstractNum w:abstractNumId="824">
    <w:nsid w:val="28BA7A13"/>
    <w:multiLevelType w:val="hybridMultilevel"/>
    <w:lvl w:ilvl="0">
      <w:lvlJc w:val="left"/>
      <w:lvlText w:val="***"/>
      <w:numFmt w:val="bullet"/>
      <w:start w:val="1"/>
    </w:lvl>
  </w:abstractNum>
  <w:abstractNum w:abstractNumId="825">
    <w:nsid w:val="28881591"/>
    <w:multiLevelType w:val="hybridMultilevel"/>
    <w:lvl w:ilvl="0">
      <w:lvlJc w:val="left"/>
      <w:lvlText w:val="***"/>
      <w:numFmt w:val="bullet"/>
      <w:start w:val="1"/>
    </w:lvl>
  </w:abstractNum>
  <w:abstractNum w:abstractNumId="826">
    <w:nsid w:val="772B796C"/>
    <w:multiLevelType w:val="hybridMultilevel"/>
    <w:lvl w:ilvl="0">
      <w:lvlJc w:val="left"/>
      <w:lvlText w:val="***"/>
      <w:numFmt w:val="bullet"/>
      <w:start w:val="1"/>
    </w:lvl>
  </w:abstractNum>
  <w:abstractNum w:abstractNumId="827">
    <w:nsid w:val="1E022BE9"/>
    <w:multiLevelType w:val="hybridMultilevel"/>
    <w:lvl w:ilvl="0">
      <w:lvlJc w:val="left"/>
      <w:lvlText w:val="***"/>
      <w:numFmt w:val="bullet"/>
      <w:start w:val="1"/>
    </w:lvl>
  </w:abstractNum>
  <w:abstractNum w:abstractNumId="828">
    <w:nsid w:val="72C4649F"/>
    <w:multiLevelType w:val="hybridMultilevel"/>
    <w:lvl w:ilvl="0">
      <w:lvlJc w:val="left"/>
      <w:lvlText w:val="%1."/>
      <w:numFmt w:val="decimal"/>
      <w:start w:val="1"/>
    </w:lvl>
  </w:abstractNum>
  <w:abstractNum w:abstractNumId="829">
    <w:nsid w:val="7CD94321"/>
    <w:multiLevelType w:val="hybridMultilevel"/>
    <w:lvl w:ilvl="0">
      <w:lvlJc w:val="left"/>
      <w:lvlText w:val="(%1)"/>
      <w:numFmt w:val="lowerLetter"/>
      <w:start w:val="1"/>
    </w:lvl>
    <w:lvl w:ilvl="1">
      <w:lvlJc w:val="left"/>
      <w:lvlText w:val="(%2)"/>
      <w:numFmt w:val="lowerRoman"/>
      <w:start w:val="1"/>
    </w:lvl>
  </w:abstractNum>
  <w:abstractNum w:abstractNumId="830">
    <w:nsid w:val="13B3BDBC"/>
    <w:multiLevelType w:val="hybridMultilevel"/>
    <w:lvl w:ilvl="0">
      <w:lvlJc w:val="left"/>
      <w:lvlText w:val="%1"/>
      <w:numFmt w:val="lowerLetter"/>
      <w:start w:val="1"/>
    </w:lvl>
    <w:lvl w:ilvl="1">
      <w:lvlJc w:val="left"/>
      <w:lvlText w:val="(%2)"/>
      <w:numFmt w:val="lowerRoman"/>
      <w:start w:val="2"/>
    </w:lvl>
  </w:abstractNum>
  <w:abstractNum w:abstractNumId="831">
    <w:nsid w:val="4C488152"/>
    <w:multiLevelType w:val="hybridMultilevel"/>
    <w:lvl w:ilvl="0">
      <w:lvlJc w:val="left"/>
      <w:lvlText w:val="(%1)"/>
      <w:numFmt w:val="lowerLetter"/>
      <w:start w:val="4"/>
    </w:lvl>
    <w:lvl w:ilvl="1">
      <w:lvlJc w:val="left"/>
      <w:lvlText w:val="%2"/>
      <w:numFmt w:val="lowerRoman"/>
      <w:start w:val="1"/>
    </w:lvl>
  </w:abstractNum>
  <w:abstractNum w:abstractNumId="832">
    <w:nsid w:val="153B9D13"/>
    <w:multiLevelType w:val="hybridMultilevel"/>
    <w:lvl w:ilvl="0">
      <w:lvlJc w:val="left"/>
      <w:lvlText w:val="(%1)"/>
      <w:numFmt w:val="lowerLetter"/>
      <w:start w:val="9"/>
    </w:lvl>
  </w:abstractNum>
  <w:abstractNum w:abstractNumId="833">
    <w:nsid w:val="7D07B61B"/>
    <w:multiLevelType w:val="hybridMultilevel"/>
    <w:lvl w:ilvl="0">
      <w:lvlJc w:val="left"/>
      <w:lvlText w:val="(%1)"/>
      <w:numFmt w:val="lowerLetter"/>
      <w:start w:val="1"/>
    </w:lvl>
    <w:lvl w:ilvl="1">
      <w:lvlJc w:val="left"/>
      <w:lvlText w:val="(%2)"/>
      <w:numFmt w:val="lowerRoman"/>
      <w:start w:val="1"/>
    </w:lvl>
  </w:abstractNum>
  <w:abstractNum w:abstractNumId="834">
    <w:nsid w:val="3A4BE92A"/>
    <w:multiLevelType w:val="hybridMultilevel"/>
    <w:lvl w:ilvl="0">
      <w:lvlJc w:val="left"/>
      <w:lvlText w:val="(%1)"/>
      <w:numFmt w:val="lowerLetter"/>
      <w:start w:val="1"/>
    </w:lvl>
  </w:abstractNum>
  <w:abstractNum w:abstractNumId="835">
    <w:nsid w:val="1C7A2F4"/>
    <w:multiLevelType w:val="hybridMultilevel"/>
    <w:lvl w:ilvl="0">
      <w:lvlJc w:val="left"/>
      <w:lvlText w:val="(%1)"/>
      <w:numFmt w:val="lowerLetter"/>
      <w:start w:val="1"/>
    </w:lvl>
  </w:abstractNum>
  <w:abstractNum w:abstractNumId="836">
    <w:nsid w:val="393B5076"/>
    <w:multiLevelType w:val="hybridMultilevel"/>
    <w:lvl w:ilvl="0">
      <w:lvlJc w:val="left"/>
      <w:lvlText w:val="(%1)"/>
      <w:numFmt w:val="lowerLetter"/>
      <w:start w:val="1"/>
    </w:lvl>
  </w:abstractNum>
  <w:abstractNum w:abstractNumId="837">
    <w:nsid w:val="5F0E41DB"/>
    <w:multiLevelType w:val="hybridMultilevel"/>
    <w:lvl w:ilvl="0">
      <w:lvlJc w:val="left"/>
      <w:lvlText w:val="(%1)"/>
      <w:numFmt w:val="lowerLetter"/>
      <w:start w:val="2"/>
    </w:lvl>
    <w:lvl w:ilvl="1">
      <w:lvlJc w:val="left"/>
      <w:lvlText w:val="(%2)"/>
      <w:numFmt w:val="lowerRoman"/>
      <w:start w:val="1"/>
    </w:lvl>
  </w:abstractNum>
  <w:abstractNum w:abstractNumId="838">
    <w:nsid w:val="6C4DFAA4"/>
    <w:multiLevelType w:val="hybridMultilevel"/>
    <w:lvl w:ilvl="0">
      <w:lvlJc w:val="left"/>
      <w:lvlText w:val="(%1)"/>
      <w:numFmt w:val="lowerLetter"/>
      <w:start w:val="1"/>
    </w:lvl>
  </w:abstractNum>
  <w:abstractNum w:abstractNumId="839">
    <w:nsid w:val="C7C501F"/>
    <w:multiLevelType w:val="hybridMultilevel"/>
    <w:lvl w:ilvl="0">
      <w:lvlJc w:val="left"/>
      <w:lvlText w:val="(%1)"/>
      <w:numFmt w:val="lowerLetter"/>
      <w:start w:val="1"/>
    </w:lvl>
  </w:abstractNum>
  <w:abstractNum w:abstractNumId="840">
    <w:nsid w:val="7244B239"/>
    <w:multiLevelType w:val="hybridMultilevel"/>
    <w:lvl w:ilvl="0">
      <w:lvlJc w:val="left"/>
      <w:lvlText w:val="(%1)"/>
      <w:numFmt w:val="lowerLetter"/>
      <w:start w:val="1"/>
    </w:lvl>
    <w:lvl w:ilvl="1">
      <w:lvlJc w:val="left"/>
      <w:lvlText w:val="(%2)"/>
      <w:numFmt w:val="lowerRoman"/>
      <w:start w:val="1"/>
    </w:lvl>
  </w:abstractNum>
  <w:abstractNum w:abstractNumId="841">
    <w:nsid w:val="50B1BE08"/>
    <w:multiLevelType w:val="hybridMultilevel"/>
    <w:lvl w:ilvl="0">
      <w:lvlJc w:val="left"/>
      <w:lvlText w:val="(%1)"/>
      <w:numFmt w:val="lowerLetter"/>
      <w:start w:val="5"/>
    </w:lvl>
  </w:abstractNum>
  <w:abstractNum w:abstractNumId="842">
    <w:nsid w:val="40F78FF3"/>
    <w:multiLevelType w:val="hybridMultilevel"/>
    <w:lvl w:ilvl="0">
      <w:lvlJc w:val="left"/>
      <w:lvlText w:val="(%1)"/>
      <w:numFmt w:val="lowerLetter"/>
      <w:start w:val="1"/>
    </w:lvl>
  </w:abstractNum>
  <w:abstractNum w:abstractNumId="843">
    <w:nsid w:val="7F9F698A"/>
    <w:multiLevelType w:val="hybridMultilevel"/>
    <w:lvl w:ilvl="0">
      <w:lvlJc w:val="left"/>
      <w:lvlText w:val="%1:"/>
      <w:numFmt w:val="lowerLetter"/>
      <w:start w:val="29"/>
    </w:lvl>
  </w:abstractNum>
  <w:abstractNum w:abstractNumId="844">
    <w:nsid w:val="5FD0822F"/>
    <w:multiLevelType w:val="hybridMultilevel"/>
    <w:lvl w:ilvl="0">
      <w:lvlJc w:val="left"/>
      <w:lvlText w:val="(%1)"/>
      <w:numFmt w:val="lowerLetter"/>
      <w:start w:val="2"/>
    </w:lvl>
  </w:abstractNum>
  <w:abstractNum w:abstractNumId="845">
    <w:nsid w:val="2D814889"/>
    <w:multiLevelType w:val="hybridMultilevel"/>
    <w:lvl w:ilvl="0">
      <w:lvlJc w:val="left"/>
      <w:lvlText w:val="(%1)"/>
      <w:numFmt w:val="lowerLetter"/>
      <w:start w:val="1"/>
    </w:lvl>
  </w:abstractNum>
  <w:abstractNum w:abstractNumId="846">
    <w:nsid w:val="7DB18352"/>
    <w:multiLevelType w:val="hybridMultilevel"/>
    <w:lvl w:ilvl="0">
      <w:lvlJc w:val="left"/>
      <w:lvlText w:val="%1."/>
      <w:numFmt w:val="decimal"/>
      <w:start w:val="1"/>
    </w:lvl>
    <w:lvl w:ilvl="1">
      <w:lvlJc w:val="left"/>
      <w:lvlText w:val="(%2)"/>
      <w:numFmt w:val="lowerLetter"/>
      <w:start w:val="1"/>
    </w:lvl>
  </w:abstractNum>
  <w:abstractNum w:abstractNumId="847">
    <w:nsid w:val="5C243F1"/>
    <w:multiLevelType w:val="hybridMultilevel"/>
    <w:lvl w:ilvl="0">
      <w:lvlJc w:val="left"/>
      <w:lvlText w:val="(%1)"/>
      <w:numFmt w:val="lowerLetter"/>
      <w:start w:val="2"/>
    </w:lvl>
  </w:abstractNum>
  <w:abstractNum w:abstractNumId="848">
    <w:nsid w:val="21BE2F84"/>
    <w:multiLevelType w:val="hybridMultilevel"/>
    <w:lvl w:ilvl="0">
      <w:lvlJc w:val="left"/>
      <w:lvlText w:val="%1."/>
      <w:numFmt w:val="decimal"/>
      <w:start w:val="2"/>
    </w:lvl>
  </w:abstractNum>
  <w:abstractNum w:abstractNumId="849">
    <w:nsid w:val="1E0491CD"/>
    <w:multiLevelType w:val="hybridMultilevel"/>
    <w:lvl w:ilvl="0">
      <w:lvlJc w:val="left"/>
      <w:lvlText w:val="***"/>
      <w:numFmt w:val="bullet"/>
      <w:start w:val="1"/>
    </w:lvl>
  </w:abstractNum>
  <w:abstractNum w:abstractNumId="850">
    <w:nsid w:val="1A0ED871"/>
    <w:multiLevelType w:val="hybridMultilevel"/>
    <w:lvl w:ilvl="0">
      <w:lvlJc w:val="left"/>
      <w:lvlText w:val="***"/>
      <w:numFmt w:val="bullet"/>
      <w:start w:val="1"/>
    </w:lvl>
  </w:abstractNum>
  <w:abstractNum w:abstractNumId="851">
    <w:nsid w:val="36D2D033"/>
    <w:multiLevelType w:val="hybridMultilevel"/>
    <w:lvl w:ilvl="0">
      <w:lvlJc w:val="left"/>
      <w:lvlText w:val="%1"/>
      <w:numFmt w:val="upperLetter"/>
      <w:start w:val="34"/>
    </w:lvl>
  </w:abstractNum>
  <w:abstractNum w:abstractNumId="852">
    <w:nsid w:val="73C7EB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jpeg"/><Relationship Id="rId937" Type="http://schemas.openxmlformats.org/officeDocument/2006/relationships/image" Target="media/image930.png"/><Relationship Id="rId938" Type="http://schemas.openxmlformats.org/officeDocument/2006/relationships/image" Target="media/image931.jpe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jpeg"/><Relationship Id="rId997" Type="http://schemas.openxmlformats.org/officeDocument/2006/relationships/image" Target="media/image990.png"/><Relationship Id="rId998" Type="http://schemas.openxmlformats.org/officeDocument/2006/relationships/image" Target="media/image991.jpe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jpe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jpeg"/><Relationship Id="rId1030" Type="http://schemas.openxmlformats.org/officeDocument/2006/relationships/image" Target="media/image1023.png"/><Relationship Id="rId1031" Type="http://schemas.openxmlformats.org/officeDocument/2006/relationships/image" Target="media/image1024.jpeg"/><Relationship Id="rId1032" Type="http://schemas.openxmlformats.org/officeDocument/2006/relationships/image" Target="media/image1025.png"/><Relationship Id="rId1033" Type="http://schemas.openxmlformats.org/officeDocument/2006/relationships/image" Target="media/image1026.jpeg"/><Relationship Id="rId1034" Type="http://schemas.openxmlformats.org/officeDocument/2006/relationships/image" Target="media/image1027.png"/><Relationship Id="rId1035" Type="http://schemas.openxmlformats.org/officeDocument/2006/relationships/image" Target="media/image1028.jpe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jpe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jpeg"/><Relationship Id="rId1063" Type="http://schemas.openxmlformats.org/officeDocument/2006/relationships/image" Target="media/image1056.png"/><Relationship Id="rId1064" Type="http://schemas.openxmlformats.org/officeDocument/2006/relationships/image" Target="media/image1057.jpe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2019-12-08T19:03:07Z</dcterms:created>
  <dcterms:modified xsi:type="dcterms:W3CDTF">2019-12-08T19:03:07Z</dcterms:modified>
</cp:coreProperties>
</file>