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Gossamer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Context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48,835,788.00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48,835,788.00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48,835,788.00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S. Rosen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48,835,788.00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48,835,788.00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48,835,788.00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D. Fertig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48,835,788.00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48,835,788.00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48,835,788.00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Charles E. Carnegie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48,835,788.00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48,835,788.00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48,835,788.00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Context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48,835,788.00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48,835,788.00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48,835,788.00</w:t>
      </w:r>
    </w:p>
    <w:p>
      <w:pPr>
        <w:spacing w:after="0" w:line="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Gossamer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3115 MERRYFIELD ROW, SUITE 120,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Context Capital Management, LLC ("LLC") Michael S. Rosen ("Rosen") William D. Fertig ("Fertig") Charles E. Carnegie ("Carnegie") Context Partners Master Fund, L.P. ("LP") LLC is the general partner and investment adviser</w:t>
      </w:r>
    </w:p>
    <w:p>
      <w:pPr>
        <w:spacing w:after="0" w:line="1" w:lineRule="exact"/>
        <w:rPr>
          <w:sz w:val="20"/>
          <w:szCs w:val="20"/>
          <w:color w:val="auto"/>
        </w:rPr>
      </w:pPr>
    </w:p>
    <w:p>
      <w:pPr>
        <w:ind w:left="92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LP. Rosen, Fertig and Carnegie are the control persons of LLC. The reporting persons are filing this Schedule 13G jointly, but not as members of a group, and each disclaims membership in a group. Each reporting person also disclaims beneficial ownership of the securities reported in this Schedule 13G, except to the extent of that person?s pecuniary interest therein. In addition, the filing of this Schedule 13G on behalf of LP should not be construed as an admission that it is, and it disclaims that it is, a beneficial owner, as defined in Rule 13d-3 under the Act, of any of the securities covered by this Schedule 13G.</w:t>
      </w:r>
    </w:p>
    <w:p>
      <w:pPr>
        <w:sectPr>
          <w:pgSz w:w="11900" w:h="16838" w:orient="portrait"/>
          <w:cols w:equalWidth="0" w:num="1">
            <w:col w:w="11120"/>
          </w:cols>
          <w:pgMar w:left="360" w:top="355" w:right="419" w:bottom="59"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Context Capital Management, LLC 7724 Girard Avenue Suite 300 La Jolla, CA 92037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cover page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200"/>
          </w:cols>
          <w:pgMar w:left="360" w:top="355" w:right="419" w:bottom="59"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items 5-9 and 11 of the cover page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See items 5-9 and 11 of the cover page for each reporting person. The shares beneficially owned by the Reporting Persons reported in this Schedule 13G consists of 48,835,788 shares held by the Reporting Persons. The percentages</w:t>
      </w:r>
    </w:p>
    <w:p>
      <w:pPr>
        <w:spacing w:after="0" w:line="1" w:lineRule="exact"/>
        <w:rPr>
          <w:sz w:val="20"/>
          <w:szCs w:val="20"/>
          <w:color w:val="auto"/>
        </w:rPr>
      </w:pPr>
    </w:p>
    <w:p>
      <w:pPr>
        <w:ind w:left="920" w:right="20" w:hanging="912"/>
        <w:spacing w:after="0" w:line="233"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reported in the Schedule 13G are based on 488,846,722 shares outstanding as of June 5, 2026, as reported by the Issuer (254,150,441 shares issued on June 4, 2026, as reported on the 8-K reported on June 3, 2026, plus the 234,696,281 shares outstanding previously reported on the 10-Q as of the quarterly period ended March 31, 2026). To clarify, the Form line 11 is limited to displaying only the tenth decimal place, but the ownership limitation prescribed in the agreement is 9.99%.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5-9 and 11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5-9 and 11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5-9 and 11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5-9 and 11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Context Capital Management, LLC</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S. Rosen</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Michael S. Rosen</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S. Rosen</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CEO</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William D. Fertig</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William D. Fertig</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Chairman</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Charles E. Carnegie</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Charles E. Carnegie</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CIO</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22"/>
          <w:szCs w:val="22"/>
          <w:color w:val="auto"/>
        </w:rPr>
        <w:t>Context Partners Master Fund, L.P.</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S. Rosen</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08" w:lineRule="exact"/>
        <w:rPr>
          <w:sz w:val="20"/>
          <w:szCs w:val="20"/>
          <w:color w:val="auto"/>
        </w:rPr>
      </w:pPr>
    </w:p>
    <w:p>
      <w:pPr>
        <w:jc w:val="center"/>
        <w:ind w:right="72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Statement</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2026-06-09T07:45:23Z</dcterms:created>
  <dcterms:modified xsi:type="dcterms:W3CDTF">2026-06-09T07:45:23Z</dcterms:modified>
</cp:coreProperties>
</file>