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369714.xml.htm"/>
      <w:bookmarkStart w:id="1" w:name="kswkform4_17903697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Drynan Skye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3115 MERRYFIELD ROW, SUITE 120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Gossamer Bio, Inc.</w:t>
              </w:r>
            </w:hyperlink>
            <w:r>
              <w:rPr/>
              <w:t xml:space="preserve"> [ </w:t>
            </w:r>
            <w:r>
              <w:rPr>
                <w:rFonts w:ascii="Times;serif" w:hAnsi="Times;serif"/>
                <w:color w:val="0000FF"/>
                <w:sz w:val="24"/>
                <w:shd w:fill="FFFFFF" w:val="clear"/>
              </w:rPr>
              <w:t>GOSS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10.99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entire number of shares subject to this option becomes fully vested and exercisable on the first anniversary of the grant date, subject to the Reporting Person's continued service on the board of directors of the Issuer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 Waage,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5102" TargetMode="External"/><Relationship Id="rId5" Type="http://schemas.openxmlformats.org/officeDocument/2006/relationships/hyperlink" Target="http://www.sec.gov/cgi-bin/browse-edgar?action=getcompany&amp;CIK=00017281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612</Words>
  <Characters>3317</Characters>
  <CharactersWithSpaces>3858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