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10-K</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w:t>
      </w:r>
    </w:p>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6"/>
        </w:rPr>
      </w:pPr>
      <w:r>
        <w:rPr>
          <w:rFonts w:ascii="Times New Roman;serif" w:hAnsi="Times New Roman;serif"/>
          <w:b/>
          <w:color w:val="000000"/>
          <w:sz w:val="16"/>
        </w:rPr>
        <w:t>For the fiscal year ended December 31,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6"/>
        </w:rPr>
      </w:pPr>
      <w:r>
        <w:rPr>
          <w:rFonts w:ascii="Times New Roman;serif" w:hAnsi="Times New Roman;serif"/>
          <w:b/>
          <w:color w:val="000000"/>
          <w:sz w:val="16"/>
        </w:rPr>
        <w:t>Commission file number: 001-38796</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GOSSAMER BIO,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w:t>
      </w:r>
    </w:p>
    <w:tbl>
      <w:tblPr>
        <w:tblW w:w="4735" w:type="dxa"/>
        <w:jc w:val="left"/>
        <w:tblInd w:w="0" w:type="dxa"/>
        <w:tblLayout w:type="fixed"/>
        <w:tblCellMar>
          <w:top w:w="28" w:type="dxa"/>
          <w:left w:w="28" w:type="dxa"/>
          <w:bottom w:w="28" w:type="dxa"/>
          <w:right w:w="28" w:type="dxa"/>
        </w:tblCellMar>
      </w:tblPr>
      <w:tblGrid>
        <w:gridCol w:w="1060"/>
        <w:gridCol w:w="929"/>
        <w:gridCol w:w="935"/>
        <w:gridCol w:w="109"/>
        <w:gridCol w:w="109"/>
        <w:gridCol w:w="109"/>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47-5461709</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3115 Merryfield Row, Suite 120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San Diego,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92121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(858) 684-1300</w:t>
      </w:r>
    </w:p>
    <w:p>
      <w:pPr>
        <w:pStyle w:val="TextBody"/>
        <w:bidi w:val="0"/>
        <w:spacing w:lineRule="auto" w:line="288" w:before="120" w:after="283"/>
        <w:jc w:val="center"/>
        <w:rPr/>
      </w:pPr>
      <w:r>
        <w:rPr>
          <w:rFonts w:ascii="Times New Roman;serif" w:hAnsi="Times New Roman;serif"/>
          <w:b/>
          <w:color w:val="000000"/>
          <w:sz w:val="16"/>
        </w:rPr>
        <w:t>Securities registered pursuant to Section 12(b) of the Act:</w:t>
      </w:r>
      <w:r>
        <w:rPr>
          <w:color w:val="000000"/>
        </w:rPr>
        <w:t> </w:t>
      </w:r>
    </w:p>
    <w:tbl>
      <w:tblPr>
        <w:tblW w:w="803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274"/>
        <w:gridCol w:w="274"/>
        <w:gridCol w:w="27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2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Indicate by check mark if the registrant is a well-known seasoned issuer, as defined in Rule 405 of the Securities Act.  Yes ☐  No ☒</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Indicate by check mark if the registrant is not required to file reports pursuant to Section 13 or Section 15(d) of the Act.  Yes ☐  No ☒</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tbl>
      <w:tblPr>
        <w:tblW w:w="507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4"/>
        </w:rPr>
      </w:pPr>
      <w:r>
        <w:rPr>
          <w:rFonts w:ascii="Times New Roman;serif" w:hAnsi="Times New Roman;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shell company (as defined in Rule 12b-2 of the Exchange Act).  Yes ☐  No ☒</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As of June 28, 2025 (the last business day of the registrant’s most recently completed second fiscal quarter), the aggregate market value of the registrant’s common stock held by non-affiliates of the registrant was approximately $270.8 million, based on the closing price of the registrant’s common stock on the Nasdaq Global Select Market of $1.23 per share.</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As of March 10, 2026, the registrant had 234,696,281 shares of common stock ($0.0001 par value) outstanding.</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Certain sections of the registrant’s definitive proxy statement for the 2026 annual meeting of stockholders to be filed with the Securities and Exchange Commission pursuant to Regulation 14A not later than 120 days after end of this fiscal year covered by this Form 10-K are incorporated by reference into Part III of this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231F20"/>
          <w:sz w:val="20"/>
        </w:rPr>
      </w:pPr>
      <w:r>
        <w:rPr>
          <w:rFonts w:ascii="Times New Roman;serif" w:hAnsi="Times New Roman;serif"/>
          <w:b/>
          <w:color w:val="231F20"/>
          <w:sz w:val="20"/>
        </w:rPr>
        <w:t>TABLE OF CONTENTS</w:t>
      </w:r>
    </w:p>
    <w:tbl>
      <w:tblPr>
        <w:tblW w:w="10205" w:type="dxa"/>
        <w:jc w:val="left"/>
        <w:tblInd w:w="0" w:type="dxa"/>
        <w:tblLayout w:type="fixed"/>
        <w:tblCellMar>
          <w:top w:w="28" w:type="dxa"/>
          <w:left w:w="28" w:type="dxa"/>
          <w:bottom w:w="28" w:type="dxa"/>
          <w:right w:w="28" w:type="dxa"/>
        </w:tblCellMar>
      </w:tblPr>
      <w:tblGrid>
        <w:gridCol w:w="329"/>
        <w:gridCol w:w="288"/>
        <w:gridCol w:w="292"/>
        <w:gridCol w:w="2972"/>
        <w:gridCol w:w="2965"/>
        <w:gridCol w:w="2983"/>
        <w:gridCol w:w="109"/>
        <w:gridCol w:w="109"/>
        <w:gridCol w:w="158"/>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0">
              <w:r>
                <w:rPr>
                  <w:rStyle w:val="InternetLink"/>
                  <w:rFonts w:ascii="Times New Roman;serif" w:hAnsi="Times New Roman;serif"/>
                  <w:b/>
                  <w:color w:val="0000FF"/>
                  <w:sz w:val="20"/>
                  <w:u w:val="single"/>
                </w:rPr>
                <w:t>PART I</w:t>
              </w:r>
            </w:hyperlink>
          </w:p>
        </w:tc>
        <w:tc>
          <w:tcPr>
            <w:tcW w:w="8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3">
              <w:r>
                <w:rPr>
                  <w:rStyle w:val="InternetLink"/>
                  <w:rFonts w:ascii="Times New Roman;serif" w:hAnsi="Times New Roman;serif"/>
                  <w:b w:val="false"/>
                  <w:color w:val="0000FF"/>
                  <w:sz w:val="20"/>
                  <w:u w:val="single"/>
                </w:rPr>
                <w:t>Item 1</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3">
              <w:r>
                <w:rPr>
                  <w:rStyle w:val="InternetLink"/>
                  <w:rFonts w:ascii="Times New Roman;serif" w:hAnsi="Times New Roman;serif"/>
                  <w:b w:val="false"/>
                  <w:color w:val="0000FF"/>
                  <w:sz w:val="20"/>
                  <w:u w:val="single"/>
                </w:rPr>
                <w:t>Business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13">
              <w:r>
                <w:rPr>
                  <w:rStyle w:val="InternetLink"/>
                  <w:rFonts w:ascii="Times New Roman;serif" w:hAnsi="Times New Roman;serif"/>
                  <w:b w:val="false"/>
                  <w:strike w:val="false"/>
                  <w:dstrike w:val="false"/>
                  <w:color w:val="000000"/>
                  <w:sz w:val="20"/>
                  <w:u w:val="none"/>
                  <w:effect w:val="none"/>
                </w:rPr>
                <w:t>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6">
              <w:r>
                <w:rPr>
                  <w:rStyle w:val="InternetLink"/>
                  <w:rFonts w:ascii="Times New Roman;serif" w:hAnsi="Times New Roman;serif"/>
                  <w:b w:val="false"/>
                  <w:color w:val="0000FF"/>
                  <w:sz w:val="20"/>
                  <w:u w:val="single"/>
                </w:rPr>
                <w:t>Item 1A</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6">
              <w:r>
                <w:rPr>
                  <w:rStyle w:val="InternetLink"/>
                  <w:rFonts w:ascii="Times New Roman;serif" w:hAnsi="Times New Roman;serif"/>
                  <w:b w:val="false"/>
                  <w:color w:val="0000FF"/>
                  <w:sz w:val="20"/>
                  <w:u w:val="single"/>
                </w:rPr>
                <w:t>Risk Factors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16">
              <w:r>
                <w:rPr>
                  <w:rStyle w:val="InternetLink"/>
                  <w:rFonts w:ascii="Times New Roman;serif" w:hAnsi="Times New Roman;serif"/>
                  <w:b w:val="false"/>
                  <w:strike w:val="false"/>
                  <w:dstrike w:val="false"/>
                  <w:color w:val="000000"/>
                  <w:sz w:val="20"/>
                  <w:u w:val="none"/>
                  <w:effect w:val="none"/>
                </w:rPr>
                <w:t>30</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9">
              <w:r>
                <w:rPr>
                  <w:rStyle w:val="InternetLink"/>
                  <w:rFonts w:ascii="Times New Roman;serif" w:hAnsi="Times New Roman;serif"/>
                  <w:b w:val="false"/>
                  <w:color w:val="0000FF"/>
                  <w:sz w:val="20"/>
                  <w:u w:val="single"/>
                </w:rPr>
                <w:t>Item 1B</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9">
              <w:r>
                <w:rPr>
                  <w:rStyle w:val="InternetLink"/>
                  <w:rFonts w:ascii="Times New Roman;serif" w:hAnsi="Times New Roman;serif"/>
                  <w:b w:val="false"/>
                  <w:color w:val="0000FF"/>
                  <w:sz w:val="20"/>
                  <w:u w:val="single"/>
                </w:rPr>
                <w:t>Unresolved Staff Comments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19">
              <w:r>
                <w:rPr>
                  <w:rStyle w:val="InternetLink"/>
                  <w:rFonts w:ascii="Times New Roman;serif" w:hAnsi="Times New Roman;serif"/>
                  <w:b w:val="false"/>
                  <w:strike w:val="false"/>
                  <w:dstrike w:val="false"/>
                  <w:color w:val="000000"/>
                  <w:sz w:val="20"/>
                  <w:u w:val="none"/>
                  <w:effect w:val="none"/>
                </w:rPr>
                <w:t>78</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22">
              <w:r>
                <w:rPr>
                  <w:rStyle w:val="InternetLink"/>
                  <w:rFonts w:ascii="Times New Roman;serif" w:hAnsi="Times New Roman;serif"/>
                  <w:b w:val="false"/>
                  <w:color w:val="0000FF"/>
                  <w:sz w:val="20"/>
                  <w:u w:val="single"/>
                </w:rPr>
                <w:t>Item 1C</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22">
              <w:r>
                <w:rPr>
                  <w:rStyle w:val="InternetLink"/>
                  <w:rFonts w:ascii="Times New Roman;serif" w:hAnsi="Times New Roman;serif"/>
                  <w:b w:val="false"/>
                  <w:color w:val="0000FF"/>
                  <w:sz w:val="20"/>
                  <w:u w:val="single"/>
                </w:rPr>
                <w:t>Cybersecurity</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22">
              <w:r>
                <w:rPr>
                  <w:rStyle w:val="InternetLink"/>
                  <w:rFonts w:ascii="Times New Roman;serif" w:hAnsi="Times New Roman;serif"/>
                  <w:b w:val="false"/>
                  <w:strike w:val="false"/>
                  <w:dstrike w:val="false"/>
                  <w:color w:val="000000"/>
                  <w:sz w:val="20"/>
                  <w:u w:val="none"/>
                  <w:effect w:val="none"/>
                </w:rPr>
                <w:t>78</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25">
              <w:r>
                <w:rPr>
                  <w:rStyle w:val="InternetLink"/>
                  <w:rFonts w:ascii="Times New Roman;serif" w:hAnsi="Times New Roman;serif"/>
                  <w:b w:val="false"/>
                  <w:color w:val="0000FF"/>
                  <w:sz w:val="20"/>
                  <w:u w:val="single"/>
                </w:rPr>
                <w:t>Item 2</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25">
              <w:r>
                <w:rPr>
                  <w:rStyle w:val="InternetLink"/>
                  <w:rFonts w:ascii="Times New Roman;serif" w:hAnsi="Times New Roman;serif"/>
                  <w:b w:val="false"/>
                  <w:color w:val="0000FF"/>
                  <w:sz w:val="20"/>
                  <w:u w:val="single"/>
                </w:rPr>
                <w:t>Properties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25">
              <w:r>
                <w:rPr>
                  <w:rStyle w:val="InternetLink"/>
                  <w:rFonts w:ascii="Times New Roman;serif" w:hAnsi="Times New Roman;serif"/>
                  <w:b w:val="false"/>
                  <w:strike w:val="false"/>
                  <w:dstrike w:val="false"/>
                  <w:color w:val="000000"/>
                  <w:sz w:val="20"/>
                  <w:u w:val="none"/>
                  <w:effect w:val="none"/>
                </w:rPr>
                <w:t>80</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28">
              <w:r>
                <w:rPr>
                  <w:rStyle w:val="InternetLink"/>
                  <w:rFonts w:ascii="Times New Roman;serif" w:hAnsi="Times New Roman;serif"/>
                  <w:b w:val="false"/>
                  <w:color w:val="0000FF"/>
                  <w:sz w:val="20"/>
                  <w:u w:val="single"/>
                </w:rPr>
                <w:t>Item 3</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28">
              <w:r>
                <w:rPr>
                  <w:rStyle w:val="InternetLink"/>
                  <w:rFonts w:ascii="Times New Roman;serif" w:hAnsi="Times New Roman;serif"/>
                  <w:b w:val="false"/>
                  <w:color w:val="0000FF"/>
                  <w:sz w:val="20"/>
                  <w:u w:val="single"/>
                </w:rPr>
                <w:t>Legal Proceedings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28">
              <w:r>
                <w:rPr>
                  <w:rStyle w:val="InternetLink"/>
                  <w:rFonts w:ascii="Times New Roman;serif" w:hAnsi="Times New Roman;serif"/>
                  <w:b w:val="false"/>
                  <w:strike w:val="false"/>
                  <w:dstrike w:val="false"/>
                  <w:color w:val="000000"/>
                  <w:sz w:val="20"/>
                  <w:u w:val="none"/>
                  <w:effect w:val="none"/>
                </w:rPr>
                <w:t>80</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31">
              <w:r>
                <w:rPr>
                  <w:rStyle w:val="InternetLink"/>
                  <w:rFonts w:ascii="Times New Roman;serif" w:hAnsi="Times New Roman;serif"/>
                  <w:b w:val="false"/>
                  <w:color w:val="0000FF"/>
                  <w:sz w:val="20"/>
                  <w:u w:val="single"/>
                </w:rPr>
                <w:t>Item 4</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31">
              <w:r>
                <w:rPr>
                  <w:rStyle w:val="InternetLink"/>
                  <w:rFonts w:ascii="Times New Roman;serif" w:hAnsi="Times New Roman;serif"/>
                  <w:b w:val="false"/>
                  <w:color w:val="0000FF"/>
                  <w:sz w:val="20"/>
                  <w:u w:val="single"/>
                </w:rPr>
                <w:t>Mine Safety Disclosures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31">
              <w:r>
                <w:rPr>
                  <w:rStyle w:val="InternetLink"/>
                  <w:rFonts w:ascii="Times New Roman;serif" w:hAnsi="Times New Roman;serif"/>
                  <w:b w:val="false"/>
                  <w:strike w:val="false"/>
                  <w:dstrike w:val="false"/>
                  <w:color w:val="000000"/>
                  <w:sz w:val="20"/>
                  <w:u w:val="none"/>
                  <w:effect w:val="none"/>
                </w:rPr>
                <w:t>80</w:t>
              </w:r>
            </w:hyperlink>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34">
              <w:r>
                <w:rPr>
                  <w:rStyle w:val="InternetLink"/>
                  <w:rFonts w:ascii="Times New Roman;serif" w:hAnsi="Times New Roman;serif"/>
                  <w:b/>
                  <w:color w:val="0000FF"/>
                  <w:sz w:val="20"/>
                  <w:u w:val="single"/>
                </w:rPr>
                <w:t>PART II</w:t>
              </w:r>
            </w:hyperlink>
          </w:p>
        </w:tc>
        <w:tc>
          <w:tcPr>
            <w:tcW w:w="8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37">
              <w:r>
                <w:rPr>
                  <w:rStyle w:val="InternetLink"/>
                  <w:rFonts w:ascii="Times New Roman;serif" w:hAnsi="Times New Roman;serif"/>
                  <w:b w:val="false"/>
                  <w:color w:val="0000FF"/>
                  <w:sz w:val="20"/>
                  <w:u w:val="single"/>
                </w:rPr>
                <w:t>Item 5</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37">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37">
              <w:r>
                <w:rPr>
                  <w:rStyle w:val="InternetLink"/>
                  <w:rFonts w:ascii="Times New Roman;serif" w:hAnsi="Times New Roman;serif"/>
                  <w:b w:val="false"/>
                  <w:strike w:val="false"/>
                  <w:dstrike w:val="false"/>
                  <w:color w:val="000000"/>
                  <w:sz w:val="20"/>
                  <w:u w:val="none"/>
                  <w:effect w:val="none"/>
                </w:rPr>
                <w:t>81</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40">
              <w:r>
                <w:rPr>
                  <w:rStyle w:val="InternetLink"/>
                  <w:rFonts w:ascii="Times New Roman;serif" w:hAnsi="Times New Roman;serif"/>
                  <w:b w:val="false"/>
                  <w:color w:val="0000FF"/>
                  <w:sz w:val="20"/>
                  <w:u w:val="single"/>
                </w:rPr>
                <w:t>Item 6</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40">
              <w:r>
                <w:rPr>
                  <w:rStyle w:val="InternetLink"/>
                  <w:rFonts w:ascii="Times New Roman;serif" w:hAnsi="Times New Roman;serif"/>
                  <w:b w:val="false"/>
                  <w:color w:val="0000FF"/>
                  <w:sz w:val="20"/>
                  <w:u w:val="single"/>
                </w:rPr>
                <w:t>Reserved</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40">
              <w:r>
                <w:rPr>
                  <w:rStyle w:val="InternetLink"/>
                  <w:rFonts w:ascii="Times New Roman;serif" w:hAnsi="Times New Roman;serif"/>
                  <w:b w:val="false"/>
                  <w:strike w:val="false"/>
                  <w:dstrike w:val="false"/>
                  <w:color w:val="000000"/>
                  <w:sz w:val="20"/>
                  <w:u w:val="none"/>
                  <w:effect w:val="none"/>
                </w:rPr>
                <w:t>81</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43">
              <w:r>
                <w:rPr>
                  <w:rStyle w:val="InternetLink"/>
                  <w:rFonts w:ascii="Times New Roman;serif" w:hAnsi="Times New Roman;serif"/>
                  <w:b w:val="false"/>
                  <w:color w:val="0000FF"/>
                  <w:sz w:val="20"/>
                  <w:u w:val="single"/>
                </w:rPr>
                <w:t>Item 7</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43">
              <w:r>
                <w:rPr>
                  <w:rStyle w:val="InternetLink"/>
                  <w:rFonts w:ascii="Times New Roman;serif" w:hAnsi="Times New Roman;serif"/>
                  <w:b w:val="false"/>
                  <w:strike w:val="false"/>
                  <w:dstrike w:val="false"/>
                  <w:color w:val="000000"/>
                  <w:sz w:val="20"/>
                  <w:u w:val="none"/>
                  <w:effect w:val="none"/>
                </w:rPr>
                <w:t>81</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64">
              <w:r>
                <w:rPr>
                  <w:rStyle w:val="InternetLink"/>
                  <w:rFonts w:ascii="Times New Roman;serif" w:hAnsi="Times New Roman;serif"/>
                  <w:b w:val="false"/>
                  <w:color w:val="0000FF"/>
                  <w:sz w:val="20"/>
                  <w:u w:val="single"/>
                </w:rPr>
                <w:t>Item 7A</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64">
              <w:r>
                <w:rPr>
                  <w:rStyle w:val="InternetLink"/>
                  <w:rFonts w:ascii="Times New Roman;serif" w:hAnsi="Times New Roman;serif"/>
                  <w:b w:val="false"/>
                  <w:color w:val="0000FF"/>
                  <w:sz w:val="20"/>
                  <w:u w:val="single"/>
                </w:rPr>
                <w:t>Quantitative and Qualitative Disclosures About Market Risk</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64">
              <w:r>
                <w:rPr>
                  <w:rStyle w:val="InternetLink"/>
                  <w:rFonts w:ascii="Times New Roman;serif" w:hAnsi="Times New Roman;serif"/>
                  <w:b w:val="false"/>
                  <w:strike w:val="false"/>
                  <w:dstrike w:val="false"/>
                  <w:color w:val="000000"/>
                  <w:sz w:val="20"/>
                  <w:u w:val="none"/>
                  <w:effect w:val="none"/>
                </w:rPr>
                <w:t>91</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67">
              <w:r>
                <w:rPr>
                  <w:rStyle w:val="InternetLink"/>
                  <w:rFonts w:ascii="Times New Roman;serif" w:hAnsi="Times New Roman;serif"/>
                  <w:b w:val="false"/>
                  <w:color w:val="0000FF"/>
                  <w:sz w:val="20"/>
                  <w:u w:val="single"/>
                </w:rPr>
                <w:t>Item 8</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67">
              <w:r>
                <w:rPr>
                  <w:rStyle w:val="InternetLink"/>
                  <w:rFonts w:ascii="Times New Roman;serif" w:hAnsi="Times New Roman;serif"/>
                  <w:b w:val="false"/>
                  <w:color w:val="0000FF"/>
                  <w:sz w:val="20"/>
                  <w:u w:val="single"/>
                </w:rPr>
                <w:t>Financial Statements and Supplementary Data</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67">
              <w:r>
                <w:rPr>
                  <w:rStyle w:val="InternetLink"/>
                  <w:rFonts w:ascii="Times New Roman;serif" w:hAnsi="Times New Roman;serif"/>
                  <w:b w:val="false"/>
                  <w:strike w:val="false"/>
                  <w:dstrike w:val="false"/>
                  <w:color w:val="000000"/>
                  <w:sz w:val="20"/>
                  <w:u w:val="none"/>
                  <w:effect w:val="none"/>
                </w:rPr>
                <w:t>91</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70">
              <w:r>
                <w:rPr>
                  <w:rStyle w:val="InternetLink"/>
                  <w:rFonts w:ascii="Times New Roman;serif" w:hAnsi="Times New Roman;serif"/>
                  <w:b w:val="false"/>
                  <w:color w:val="0000FF"/>
                  <w:sz w:val="20"/>
                  <w:u w:val="single"/>
                </w:rPr>
                <w:t>Item 9</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70">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70">
              <w:r>
                <w:rPr>
                  <w:rStyle w:val="InternetLink"/>
                  <w:rFonts w:ascii="Times New Roman;serif" w:hAnsi="Times New Roman;serif"/>
                  <w:b w:val="false"/>
                  <w:strike w:val="false"/>
                  <w:dstrike w:val="false"/>
                  <w:color w:val="000000"/>
                  <w:sz w:val="20"/>
                  <w:u w:val="none"/>
                  <w:effect w:val="none"/>
                </w:rPr>
                <w:t>91</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73">
              <w:r>
                <w:rPr>
                  <w:rStyle w:val="InternetLink"/>
                  <w:rFonts w:ascii="Times New Roman;serif" w:hAnsi="Times New Roman;serif"/>
                  <w:b w:val="false"/>
                  <w:color w:val="0000FF"/>
                  <w:sz w:val="20"/>
                  <w:u w:val="single"/>
                </w:rPr>
                <w:t>Item 9A</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73">
              <w:r>
                <w:rPr>
                  <w:rStyle w:val="InternetLink"/>
                  <w:rFonts w:ascii="Times New Roman;serif" w:hAnsi="Times New Roman;serif"/>
                  <w:b w:val="false"/>
                  <w:color w:val="0000FF"/>
                  <w:sz w:val="20"/>
                  <w:u w:val="single"/>
                </w:rPr>
                <w:t>Controls and Procedures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73">
              <w:r>
                <w:rPr>
                  <w:rStyle w:val="InternetLink"/>
                  <w:rFonts w:ascii="Times New Roman;serif" w:hAnsi="Times New Roman;serif"/>
                  <w:b w:val="false"/>
                  <w:strike w:val="false"/>
                  <w:dstrike w:val="false"/>
                  <w:color w:val="000000"/>
                  <w:sz w:val="20"/>
                  <w:u w:val="none"/>
                  <w:effect w:val="none"/>
                </w:rPr>
                <w:t>91</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76">
              <w:r>
                <w:rPr>
                  <w:rStyle w:val="InternetLink"/>
                  <w:rFonts w:ascii="Times New Roman;serif" w:hAnsi="Times New Roman;serif"/>
                  <w:b w:val="false"/>
                  <w:color w:val="0000FF"/>
                  <w:sz w:val="20"/>
                  <w:u w:val="single"/>
                </w:rPr>
                <w:t>Item 9B</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76">
              <w:r>
                <w:rPr>
                  <w:rStyle w:val="InternetLink"/>
                  <w:rFonts w:ascii="Times New Roman;serif" w:hAnsi="Times New Roman;serif"/>
                  <w:b w:val="false"/>
                  <w:color w:val="0000FF"/>
                  <w:sz w:val="20"/>
                  <w:u w:val="singl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76">
              <w:r>
                <w:rPr>
                  <w:rStyle w:val="InternetLink"/>
                  <w:rFonts w:ascii="Times New Roman;serif" w:hAnsi="Times New Roman;serif"/>
                  <w:b w:val="false"/>
                  <w:strike w:val="false"/>
                  <w:dstrike w:val="false"/>
                  <w:color w:val="000000"/>
                  <w:sz w:val="20"/>
                  <w:u w:val="none"/>
                  <w:effect w:val="none"/>
                </w:rPr>
                <w:t>92</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76">
              <w:r>
                <w:rPr>
                  <w:rStyle w:val="InternetLink"/>
                  <w:rFonts w:ascii="Times New Roman;serif" w:hAnsi="Times New Roman;serif"/>
                  <w:b w:val="false"/>
                  <w:color w:val="0000FF"/>
                  <w:sz w:val="20"/>
                  <w:u w:val="single"/>
                </w:rPr>
                <w:t>Item 9C</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79">
              <w:r>
                <w:rPr>
                  <w:rStyle w:val="InternetLink"/>
                  <w:rFonts w:ascii="Times New Roman;serif" w:hAnsi="Times New Roman;serif"/>
                  <w:b w:val="false"/>
                  <w:color w:val="0000FF"/>
                  <w:sz w:val="20"/>
                  <w:u w:val="single"/>
                </w:rPr>
                <w:t>Disclosure Regarding Foreign Jurisdictions that Prevent Inspections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76">
              <w:r>
                <w:rPr>
                  <w:rStyle w:val="InternetLink"/>
                  <w:rFonts w:ascii="Times New Roman;serif" w:hAnsi="Times New Roman;serif"/>
                  <w:b w:val="false"/>
                  <w:strike w:val="false"/>
                  <w:dstrike w:val="false"/>
                  <w:color w:val="000000"/>
                  <w:sz w:val="20"/>
                  <w:u w:val="none"/>
                  <w:effect w:val="none"/>
                </w:rPr>
                <w:t>92</w:t>
              </w:r>
            </w:hyperlink>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82">
              <w:r>
                <w:rPr>
                  <w:rStyle w:val="InternetLink"/>
                  <w:rFonts w:ascii="Times New Roman;serif" w:hAnsi="Times New Roman;serif"/>
                  <w:b/>
                  <w:color w:val="0000FF"/>
                  <w:sz w:val="20"/>
                  <w:u w:val="single"/>
                </w:rPr>
                <w:t>PART III</w:t>
              </w:r>
            </w:hyperlink>
          </w:p>
        </w:tc>
        <w:tc>
          <w:tcPr>
            <w:tcW w:w="8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85">
              <w:r>
                <w:rPr>
                  <w:rStyle w:val="InternetLink"/>
                  <w:rFonts w:ascii="Times New Roman;serif" w:hAnsi="Times New Roman;serif"/>
                  <w:b w:val="false"/>
                  <w:color w:val="0000FF"/>
                  <w:sz w:val="20"/>
                  <w:u w:val="single"/>
                </w:rPr>
                <w:t>Item 10</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85">
              <w:r>
                <w:rPr>
                  <w:rStyle w:val="InternetLink"/>
                  <w:rFonts w:ascii="Times New Roman;serif" w:hAnsi="Times New Roman;serif"/>
                  <w:b w:val="false"/>
                  <w:color w:val="0000FF"/>
                  <w:sz w:val="20"/>
                  <w:u w:val="single"/>
                </w:rPr>
                <w:t>Directors, Executive Officers and Corporate Governance</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85">
              <w:r>
                <w:rPr>
                  <w:rStyle w:val="InternetLink"/>
                  <w:rFonts w:ascii="Times New Roman;serif" w:hAnsi="Times New Roman;serif"/>
                  <w:b w:val="false"/>
                  <w:strike w:val="false"/>
                  <w:dstrike w:val="false"/>
                  <w:color w:val="000000"/>
                  <w:sz w:val="20"/>
                  <w:u w:val="none"/>
                  <w:effect w:val="none"/>
                </w:rPr>
                <w:t>93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88">
              <w:r>
                <w:rPr>
                  <w:rStyle w:val="InternetLink"/>
                  <w:rFonts w:ascii="Times New Roman;serif" w:hAnsi="Times New Roman;serif"/>
                  <w:b w:val="false"/>
                  <w:color w:val="0000FF"/>
                  <w:sz w:val="20"/>
                  <w:u w:val="single"/>
                </w:rPr>
                <w:t>Item 11</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88">
              <w:r>
                <w:rPr>
                  <w:rStyle w:val="InternetLink"/>
                  <w:rFonts w:ascii="Times New Roman;serif" w:hAnsi="Times New Roman;serif"/>
                  <w:b w:val="false"/>
                  <w:color w:val="0000FF"/>
                  <w:sz w:val="20"/>
                  <w:u w:val="single"/>
                </w:rPr>
                <w:t>Executive Compensation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88">
              <w:r>
                <w:rPr>
                  <w:rStyle w:val="InternetLink"/>
                  <w:rFonts w:ascii="Times New Roman;serif" w:hAnsi="Times New Roman;serif"/>
                  <w:b w:val="false"/>
                  <w:strike w:val="false"/>
                  <w:dstrike w:val="false"/>
                  <w:color w:val="000000"/>
                  <w:sz w:val="20"/>
                  <w:u w:val="none"/>
                  <w:effect w:val="none"/>
                </w:rPr>
                <w:t>93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91">
              <w:r>
                <w:rPr>
                  <w:rStyle w:val="InternetLink"/>
                  <w:rFonts w:ascii="Times New Roman;serif" w:hAnsi="Times New Roman;serif"/>
                  <w:b w:val="false"/>
                  <w:color w:val="0000FF"/>
                  <w:sz w:val="20"/>
                  <w:u w:val="single"/>
                </w:rPr>
                <w:t>Item 12</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91">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91">
              <w:r>
                <w:rPr>
                  <w:rStyle w:val="InternetLink"/>
                  <w:rFonts w:ascii="Times New Roman;serif" w:hAnsi="Times New Roman;serif"/>
                  <w:b w:val="false"/>
                  <w:strike w:val="false"/>
                  <w:dstrike w:val="false"/>
                  <w:color w:val="000000"/>
                  <w:sz w:val="20"/>
                  <w:u w:val="none"/>
                  <w:effect w:val="none"/>
                </w:rPr>
                <w:t>93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94">
              <w:r>
                <w:rPr>
                  <w:rStyle w:val="InternetLink"/>
                  <w:rFonts w:ascii="Times New Roman;serif" w:hAnsi="Times New Roman;serif"/>
                  <w:b w:val="false"/>
                  <w:color w:val="0000FF"/>
                  <w:sz w:val="20"/>
                  <w:u w:val="single"/>
                </w:rPr>
                <w:t>Item 13</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94">
              <w:r>
                <w:rPr>
                  <w:rStyle w:val="InternetLink"/>
                  <w:rFonts w:ascii="Times New Roman;serif" w:hAnsi="Times New Roman;serif"/>
                  <w:b w:val="false"/>
                  <w:color w:val="0000FF"/>
                  <w:sz w:val="20"/>
                  <w:u w:val="single"/>
                </w:rPr>
                <w:t>Certain Relationships and Related Transactions, and Director Independence</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94">
              <w:r>
                <w:rPr>
                  <w:rStyle w:val="InternetLink"/>
                  <w:rFonts w:ascii="Times New Roman;serif" w:hAnsi="Times New Roman;serif"/>
                  <w:b w:val="false"/>
                  <w:strike w:val="false"/>
                  <w:dstrike w:val="false"/>
                  <w:color w:val="000000"/>
                  <w:sz w:val="20"/>
                  <w:u w:val="none"/>
                  <w:effect w:val="none"/>
                </w:rPr>
                <w:t>93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97">
              <w:r>
                <w:rPr>
                  <w:rStyle w:val="InternetLink"/>
                  <w:rFonts w:ascii="Times New Roman;serif" w:hAnsi="Times New Roman;serif"/>
                  <w:b w:val="false"/>
                  <w:color w:val="0000FF"/>
                  <w:sz w:val="20"/>
                  <w:u w:val="single"/>
                </w:rPr>
                <w:t>Item 14</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97">
              <w:r>
                <w:rPr>
                  <w:rStyle w:val="InternetLink"/>
                  <w:rFonts w:ascii="Times New Roman;serif" w:hAnsi="Times New Roman;serif"/>
                  <w:b w:val="false"/>
                  <w:color w:val="0000FF"/>
                  <w:sz w:val="20"/>
                  <w:u w:val="single"/>
                </w:rPr>
                <w:t>Principal Accounting Fees and Services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97">
              <w:r>
                <w:rPr>
                  <w:rStyle w:val="InternetLink"/>
                  <w:rFonts w:ascii="Times New Roman;serif" w:hAnsi="Times New Roman;serif"/>
                  <w:b w:val="false"/>
                  <w:strike w:val="false"/>
                  <w:dstrike w:val="false"/>
                  <w:color w:val="000000"/>
                  <w:sz w:val="20"/>
                  <w:u w:val="none"/>
                  <w:effect w:val="none"/>
                </w:rPr>
                <w:t>93</w:t>
              </w:r>
            </w:hyperlink>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00">
              <w:r>
                <w:rPr>
                  <w:rStyle w:val="InternetLink"/>
                  <w:rFonts w:ascii="Times New Roman;serif" w:hAnsi="Times New Roman;serif"/>
                  <w:b/>
                  <w:color w:val="0000FF"/>
                  <w:sz w:val="20"/>
                  <w:u w:val="single"/>
                </w:rPr>
                <w:t>PART IV</w:t>
              </w:r>
            </w:hyperlink>
          </w:p>
        </w:tc>
        <w:tc>
          <w:tcPr>
            <w:tcW w:w="8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03">
              <w:r>
                <w:rPr>
                  <w:rStyle w:val="InternetLink"/>
                  <w:rFonts w:ascii="Times New Roman;serif" w:hAnsi="Times New Roman;serif"/>
                  <w:b w:val="false"/>
                  <w:color w:val="0000FF"/>
                  <w:sz w:val="20"/>
                  <w:u w:val="single"/>
                </w:rPr>
                <w:t>Item 15</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03">
              <w:r>
                <w:rPr>
                  <w:rStyle w:val="InternetLink"/>
                  <w:rFonts w:ascii="Times New Roman;serif" w:hAnsi="Times New Roman;serif"/>
                  <w:b w:val="false"/>
                  <w:color w:val="0000FF"/>
                  <w:sz w:val="20"/>
                  <w:u w:val="single"/>
                </w:rPr>
                <w:t>Exhibits, Financial Statement Schedules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103">
              <w:r>
                <w:rPr>
                  <w:rStyle w:val="InternetLink"/>
                  <w:rFonts w:ascii="Times New Roman;serif" w:hAnsi="Times New Roman;serif"/>
                  <w:b w:val="false"/>
                  <w:strike w:val="false"/>
                  <w:dstrike w:val="false"/>
                  <w:color w:val="000000"/>
                  <w:sz w:val="20"/>
                  <w:u w:val="none"/>
                  <w:effect w:val="none"/>
                </w:rPr>
                <w:t>94</w:t>
              </w:r>
            </w:hyperlink>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06">
              <w:r>
                <w:rPr>
                  <w:rStyle w:val="InternetLink"/>
                  <w:rFonts w:ascii="Times New Roman;serif" w:hAnsi="Times New Roman;serif"/>
                  <w:b w:val="false"/>
                  <w:color w:val="0000FF"/>
                  <w:sz w:val="20"/>
                  <w:u w:val="single"/>
                </w:rPr>
                <w:t>Item 16</w:t>
              </w:r>
            </w:hyperlink>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06">
              <w:r>
                <w:rPr>
                  <w:rStyle w:val="InternetLink"/>
                  <w:rFonts w:ascii="Times New Roman;serif" w:hAnsi="Times New Roman;serif"/>
                  <w:b w:val="false"/>
                  <w:color w:val="0000FF"/>
                  <w:sz w:val="20"/>
                  <w:u w:val="single"/>
                </w:rPr>
                <w:t>Form 10-K Summary</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47212dae704ad3b44bc4591516367d_106">
              <w:r>
                <w:rPr>
                  <w:rStyle w:val="InternetLink"/>
                  <w:rFonts w:ascii="Times New Roman;serif" w:hAnsi="Times New Roman;serif"/>
                  <w:b w:val="false"/>
                  <w:strike w:val="false"/>
                  <w:dstrike w:val="false"/>
                  <w:color w:val="000000"/>
                  <w:sz w:val="20"/>
                  <w:u w:val="none"/>
                  <w:effect w:val="none"/>
                </w:rPr>
                <w:t>94</w:t>
              </w:r>
            </w:hyperlink>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84">
              <w:r>
                <w:rPr>
                  <w:rStyle w:val="InternetLink"/>
                  <w:rFonts w:ascii="Times New Roman;serif" w:hAnsi="Times New Roman;serif"/>
                  <w:b w:val="false"/>
                  <w:color w:val="0000FF"/>
                  <w:sz w:val="20"/>
                  <w:u w:val="single"/>
                </w:rPr>
                <w:t>Signatures</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231F20"/>
          <w:sz w:val="20"/>
        </w:rPr>
      </w:pPr>
      <w:r>
        <w:rPr>
          <w:rFonts w:ascii="Times New Roman;serif" w:hAnsi="Times New Roman;serif"/>
          <w:b/>
          <w:color w:val="231F20"/>
          <w:sz w:val="20"/>
        </w:rPr>
        <w:t>PART I</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FORWARD-LOOKING STATEMENTS AND MARKET DATA</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Section 21E of the Securities Exchange Act of 1934, as amended, or the Exchange Act, and Section 27A of the Securities Act of 1933, as amended, or the Securities Act. All statements other than statements of historical facts contained in this annual report, including statements regarding our future results of operations and financial position, business strategies and plans, research and development plans, the anticipated timing, costs, design and conduct of our ongoing and potential preclinical studies and potential clinical trials for seralutinib, our and Chiesi’s performance under our collaboration agreement, the timing and likelihood of regulatory filings and approvals for seralutinib, timing and likelihood of success, plans and objectives of management for future operations and future results of seralutinib,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on Form 10-K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including those described in Part I, Item 1A, “Risk Factors.”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This annual report includes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This Annual Report also contains industry, market and competitive position data from our own internal estimates and research, as well as from independent market research, industry and general publications and surveys, governmental agencies and publicly available information.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report is reliable and based on reasonable assumptions, such data involve risks and uncertainties and are subject to change based on various factors, including those discussed in Part I, Item 1A, “Risk Factors.” These and other factors could cause results to differ materially from those expressed in the estimates made by the independent parties or by us.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maintain a website at www.gossamerbio.com, to which we regularly post copies of our press releases as well as additional information about us. Our filings with the Securities and Exchange Commission, or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1. Business.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biopharmaceutical company focused on the development and commercialization of seralutinib for the treatment of pulmonary hypertension, or PH, including pulmonary arterial hypertension, or PAH, and PH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associated with interstitial lung disease, or PH-ILD. Our goal is to be an industry leader in, and to enhance the lives of patients living with, PH. To accomplish this goal, we have assembled a deeply experienced and highly skilled group of industry veterans, scientists, clinicians and key opinion leaders from leading biotechnology and pharmaceutical companies, as well as leading academic centers from around the world. We intend to maintain a scientifically rigorous and inclusive corporate culture where employees strive to bring improved therapeutic options to patients.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Our Team</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founders and management team have held senior positions at leading biopharmaceutical companies and possess substantial experience and expertise across the spectrum of drug development and commercialization.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Faheem Hasnain is our Co-Founder and has served as our Chief Executive Officer since November 2020 and as our Chairman since our inception. Mr. Hasnain also served as our Chief Executive Officer from our inception through July 2018 and our Executive Chairman from July 2018 through June 2019. Prior to co-founding Gossamer Bio, Mr. Hasnain served as President, CEO and as a Director of Receptos, Inc. from November 2010 to August 2015. Receptos was a public company formed in 2009 focused on developing treatments in immunology and metabolic disorders and was purchased by Celgene Corporation in August 2015. Previously, Mr. Hasnain was the President and Chief Executive Officer and a director of Facet Biotech Corporation, a biology-driven antibody company with a focus in multiple sclerosis and oncology. He held that position from December 2008 until the company's acquisition by Abbott Laboratories in April 2010.</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Bryan Giraudo, our Chief Financial Officer and Chief Operating Officer, has extensive biotechnology and medical technology finance experience, having previously served as Senior Managing Director at Leerink Partners and Managing Director at Merrill Lynch, Pierce, Fenner &amp; Smith Incorporated. Bob Smith, our Chief Commercial Officer, has over 30 years of experience in pharmaceuticals, with a strong focus on PAH and rare disease. Prior to Gossamer, Mr. Smith was the National Sales Lead in charge of preparing for the commercial launch of sotatercept for the treatment of PAH in the US at Merck &amp; Co., or Merck. Previously until 2018, Mr. Smith was the Senior Vice President of Sales and an Executive Leadership Team member at Actelion Pharmaceuticals US, Inc., where he spearheaded two successful PAH drug launches, Opsumit (macitentan) and Uptravi (selexipag). Christian Waage, our Executive Vice President, Technical Operations &amp; Administration, has meaningful management biotechnology experience, having previously held various positions at Receptos, most recently as Managing Director after its acquisition by Celgene, and at Ardea Biosciences, Inc. as Vice President, General Counsel. Caryn Peterson, our Executive Vice President, Regulatory Affairs, has considerable experience and regulatory expertise as a Managing Director of Development &amp; Strategic Consulting Associates, as well as management positions leading regulatory affairs at Syndax Pharmaceuticals and FeRx Incorporated.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near-term strategy is to focus our resources on advancing seralutinib for the treatment of PAH and to pursue regulatory alignment and potential approval as efficiently as possible. Based on the totality of data from the Phase 3 PROSERA Study and the Phase 2 TORREY Study, including general consistency across endpoints and within higher risk subgroups, we believe seralutinib demonstrates a risk benefit profile that supports continued regulatory dialogue. Following our February 2026 announcement of topline results from PROSERA, we are prioritizing (i) completing in-depth analyses of the PROSERA dataset, (ii) engaging with the U.S. Food and Drug Administration, or FDA, to obtain feedback regarding potential regulatory paths forward, and (iii) evaluating our strategic options and resource allocation as a company, in addition to strengthening our capital structure. The key elements of our near-term strategy include:</w:t>
      </w:r>
    </w:p>
    <w:p>
      <w:pPr>
        <w:pStyle w:val="TextBody"/>
        <w:bidi w:val="0"/>
        <w:spacing w:lineRule="auto" w:line="288" w:before="200" w:after="283"/>
        <w:ind w:left="0" w:right="0" w:hanging="720"/>
        <w:jc w:val="left"/>
        <w:rPr/>
      </w:pPr>
      <w:r>
        <w:rPr>
          <w:color w:val="000000"/>
        </w:rPr>
        <w:t>•</w:t>
      </w:r>
      <w:r>
        <w:rPr>
          <w:rFonts w:ascii="Times New Roman;serif" w:hAnsi="Times New Roman;serif"/>
          <w:b/>
          <w:color w:val="000000"/>
          <w:sz w:val="20"/>
        </w:rPr>
        <w:t xml:space="preserve">Obtain FDA feedback and seek to define a regulatory path forward in PAH. </w:t>
      </w:r>
      <w:r>
        <w:rPr>
          <w:rFonts w:ascii="Times New Roman;serif" w:hAnsi="Times New Roman;serif"/>
          <w:b w:val="false"/>
          <w:color w:val="000000"/>
          <w:sz w:val="20"/>
        </w:rPr>
        <w:t xml:space="preserve">We are completing analyses of the PROSERA dataset and plan to engage with the FDA, including through requesting a Type C meeting, to understand their perspective on the totality of the PROSERA and TORREY datasets and potential regulatory paths forward. </w:t>
      </w:r>
    </w:p>
    <w:p>
      <w:pPr>
        <w:pStyle w:val="TextBody"/>
        <w:bidi w:val="0"/>
        <w:spacing w:lineRule="auto" w:line="288" w:before="200" w:after="283"/>
        <w:ind w:left="0" w:right="0" w:hanging="720"/>
        <w:jc w:val="left"/>
        <w:rPr/>
      </w:pPr>
      <w:r>
        <w:rPr>
          <w:color w:val="000000"/>
        </w:rPr>
        <w:t>•</w:t>
      </w:r>
      <w:r>
        <w:rPr>
          <w:rFonts w:ascii="Times New Roman;serif" w:hAnsi="Times New Roman;serif"/>
          <w:b/>
          <w:color w:val="000000"/>
          <w:sz w:val="20"/>
        </w:rPr>
        <w:t xml:space="preserve">Advance preparations toward a potential NDA submission. </w:t>
      </w:r>
      <w:r>
        <w:rPr>
          <w:rFonts w:ascii="Times New Roman;serif" w:hAnsi="Times New Roman;serif"/>
          <w:b w:val="false"/>
          <w:color w:val="000000"/>
          <w:sz w:val="20"/>
        </w:rPr>
        <w:t>We are advancing NDA</w:t>
        <w:noBreakHyphen/>
        <w:t>readiness activities and plan to engage with the FDA to clarify the appropriate regulatory path forward. Our decision to submit an NDA, and the timing of any submission, will be informed by ongoing analyses of the PROSERA dataset, the totality of clinical data to date, and FDA feedback.</w:t>
      </w:r>
    </w:p>
    <w:p>
      <w:pPr>
        <w:pStyle w:val="TextBody"/>
        <w:bidi w:val="0"/>
        <w:spacing w:lineRule="auto" w:line="288" w:before="200" w:after="283"/>
        <w:ind w:left="0" w:right="0" w:hanging="720"/>
        <w:jc w:val="left"/>
        <w:rPr/>
      </w:pPr>
      <w:r>
        <w:rPr>
          <w:color w:val="000000"/>
        </w:rPr>
        <w:t>•</w:t>
      </w:r>
      <w:r>
        <w:rPr>
          <w:rFonts w:ascii="Times New Roman;serif" w:hAnsi="Times New Roman;serif"/>
          <w:b/>
          <w:color w:val="000000"/>
          <w:sz w:val="20"/>
        </w:rPr>
        <w:t>Advance toward potential approval while maintaining disciplined resource allocation.</w:t>
      </w:r>
      <w:r>
        <w:rPr>
          <w:color w:val="000000"/>
        </w:rPr>
        <w:t xml:space="preserve"> </w:t>
      </w:r>
      <w:r>
        <w:rPr>
          <w:rFonts w:ascii="Times New Roman;serif" w:hAnsi="Times New Roman;serif"/>
          <w:b w:val="false"/>
          <w:color w:val="000000"/>
          <w:sz w:val="20"/>
        </w:rPr>
        <w:t xml:space="preserve">If an NDA is submitted and accepted for substantive review, the timing of any FDA action would depend on the applicable review timeline and other factors. While timing remains subject to FDA feedback and other variables, we currently anticipate a potential approval action date by year end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pPr>
      <w:r>
        <w:rPr>
          <w:color w:val="000000"/>
        </w:rPr>
        <w:t>•</w:t>
      </w:r>
      <w:r>
        <w:rPr>
          <w:rFonts w:ascii="Times New Roman;serif" w:hAnsi="Times New Roman;serif"/>
          <w:b/>
          <w:color w:val="000000"/>
          <w:sz w:val="20"/>
        </w:rPr>
        <w:t xml:space="preserve">Continue ongoing open-label extension studies: </w:t>
      </w:r>
      <w:r>
        <w:rPr>
          <w:rFonts w:ascii="Times New Roman;serif" w:hAnsi="Times New Roman;serif"/>
          <w:b w:val="false"/>
          <w:color w:val="000000"/>
          <w:sz w:val="20"/>
        </w:rPr>
        <w:t>The open-label extension studies remain active, and continued follow</w:t>
        <w:noBreakHyphen/>
        <w:t>up is intended to further characterize longer</w:t>
        <w:noBreakHyphen/>
        <w:t>term exposure and potential durability of effect.</w:t>
      </w:r>
    </w:p>
    <w:p>
      <w:pPr>
        <w:pStyle w:val="TextBody"/>
        <w:bidi w:val="0"/>
        <w:spacing w:lineRule="auto" w:line="288" w:before="200" w:after="283"/>
        <w:ind w:left="0" w:right="0" w:hanging="720"/>
        <w:jc w:val="left"/>
        <w:rPr/>
      </w:pPr>
      <w:r>
        <w:rPr>
          <w:color w:val="000000"/>
        </w:rPr>
        <w:t>•</w:t>
      </w:r>
      <w:r>
        <w:rPr>
          <w:rFonts w:ascii="Times New Roman;serif" w:hAnsi="Times New Roman;serif"/>
          <w:b/>
          <w:color w:val="000000"/>
          <w:sz w:val="20"/>
        </w:rPr>
        <w:t>Pause SERANATA enrollment while evaluating implications of PROSERA and next steps.</w:t>
      </w:r>
      <w:r>
        <w:rPr>
          <w:color w:val="000000"/>
        </w:rPr>
        <w:t xml:space="preserve"> </w:t>
      </w:r>
      <w:r>
        <w:rPr>
          <w:rFonts w:ascii="Times New Roman;serif" w:hAnsi="Times New Roman;serif"/>
          <w:b w:val="false"/>
          <w:color w:val="000000"/>
          <w:sz w:val="20"/>
        </w:rPr>
        <w:t>While we have paused SERANATA enrollment to support disciplined resource allocation and to evaluate the implications of PROSERA as we engage with regulators, we continue to believe seralutinib may have meaningful potential in fibrotic lung disease, including PH</w:t>
        <w:noBreakHyphen/>
        <w:t>ILD, informed in part by the connective tissue disease-associated PAH, or CTD</w:t>
        <w:noBreakHyphen/>
        <w:t>APAH, findings in PROSERA.</w:t>
      </w:r>
    </w:p>
    <w:p>
      <w:pPr>
        <w:pStyle w:val="TextBody"/>
        <w:bidi w:val="0"/>
        <w:spacing w:lineRule="auto" w:line="288" w:before="200" w:after="283"/>
        <w:ind w:left="0" w:right="0" w:hanging="720"/>
        <w:jc w:val="left"/>
        <w:rPr/>
      </w:pPr>
      <w:r>
        <w:rPr>
          <w:color w:val="000000"/>
        </w:rPr>
        <w:t>•</w:t>
      </w:r>
      <w:r>
        <w:rPr>
          <w:rFonts w:ascii="Times New Roman;serif" w:hAnsi="Times New Roman;serif"/>
          <w:b/>
          <w:color w:val="000000"/>
          <w:sz w:val="20"/>
        </w:rPr>
        <w:t>Enhance our capital structure through proactive engagement with stakeholders.</w:t>
      </w:r>
      <w:r>
        <w:rPr>
          <w:color w:val="000000"/>
        </w:rPr>
        <w:t xml:space="preserve"> </w:t>
      </w:r>
      <w:r>
        <w:rPr>
          <w:rFonts w:ascii="Times New Roman;serif" w:hAnsi="Times New Roman;serif"/>
          <w:b w:val="false"/>
          <w:color w:val="000000"/>
          <w:sz w:val="20"/>
        </w:rPr>
        <w:t>This includes evaluating a range of potential alternatives related to our outstanding convertible notes to support our strategic priorities. We may also seek to raise additional capital through equity offerings, debt financings or other capital sources to support our strategic priorities.</w:t>
      </w:r>
    </w:p>
    <w:p>
      <w:pPr>
        <w:pStyle w:val="TextBody"/>
        <w:bidi w:val="0"/>
        <w:spacing w:lineRule="auto" w:line="288" w:before="200" w:after="283"/>
        <w:ind w:left="0" w:right="0" w:hanging="720"/>
        <w:jc w:val="left"/>
        <w:rPr/>
      </w:pPr>
      <w:r>
        <w:rPr>
          <w:color w:val="000000"/>
        </w:rPr>
        <w:t>•</w:t>
      </w:r>
      <w:r>
        <w:rPr>
          <w:rFonts w:ascii="Times New Roman;serif" w:hAnsi="Times New Roman;serif"/>
          <w:b/>
          <w:color w:val="000000"/>
          <w:sz w:val="20"/>
        </w:rPr>
        <w:t>Advance RT234 under our option agreement with Respira in a capital</w:t>
        <w:noBreakHyphen/>
        <w:t>efficient manner.</w:t>
      </w:r>
      <w:r>
        <w:rPr>
          <w:color w:val="000000"/>
        </w:rPr>
        <w:t xml:space="preserve"> </w:t>
      </w:r>
      <w:r>
        <w:rPr>
          <w:rFonts w:ascii="Times New Roman;serif" w:hAnsi="Times New Roman;serif"/>
          <w:b w:val="false"/>
          <w:color w:val="000000"/>
          <w:sz w:val="20"/>
        </w:rPr>
        <w:t>We intend to continue advancing RT234 pursuant to our option agreement with Respira Therapeutics, which is structured to support limited foundational manufacturing and device readiness activities while preserving our focus and operational resources for seralutinib. We believe RT234 represents a complementary, on</w:t>
        <w:noBreakHyphen/>
        <w:t>demand therapeutic opportunity in PAH and PH</w:t>
        <w:noBreakHyphen/>
        <w:t>ILD and could be ready to re</w:t>
        <w:noBreakHyphen/>
        <w:t>enter clinical development as early as 2027.</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Seralutinib (Inhaled PDGFR, CSF1R and c-KIT Inhibitor)</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Seralutinib, also known as GB002, is an investigational inhaled, small molecule, platelet-derived growth factor receptor, or PDGFR, colony-stimulating factor 1 receptor, or CSF1R, and c-KIT inhibitor, currently being evaluated in a Phase 3 clinical trial for the treatment of PAH. We believe that seralutinib has the potential to reverse pathological remodeling by addressing mechanisms that underlie PAH. Inhaled seralutinib, which is designed to act on both isoforms of the PDGFR, α and β, as well as the CSF1R and c-KIT pathways, inhibited and reversed cellular overgrowth in lung blood vessels in multiple animal PAH models.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February 2026, we announced topline results from the 48-week Phase 3 PROSERA Trial in 390 PAH patients. Seralutinib demonstrated a placebo-adjusted improvement in the primary endpoint, six-minute walk distance (6MWD) at Week 24, of 13.3 meters (p = 0.0320), missing the prespecified alpha threshold of 0.025. At Week 24, in this well treated patient population, patients receiving seralutinib had a median change of 28.2 meters from baseline, while patients receiving placebo had a median change from baseline of 13.5 meters. Consistent with the completed Phase 2 TORREY Study, seralutinib delivered a compelling signal in the prespecified intermediate</w:t>
        <w:noBreakHyphen/>
        <w:t xml:space="preserve"> and high</w:t>
        <w:noBreakHyphen/>
        <w:t>risk subgroup (n = 234), as defined by the REVEAL 2 Lite Risk Score ≥ 6 at screening, with a 20.0m placebo</w:t>
        <w:noBreakHyphen/>
        <w:t xml:space="preserve">adjusted improvement in 6MWD (nominal p = 0.0207). Three of four key secondary endpoints also demonstrated a nominal p-value below 0.0125 in this subpopulation, underscoring seralutinib’s activity in patients with higher risk. Additional analyses are ongoing.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Additionally, we believe seralutinib may have meaningful potential in fibrotic lung disease, including PH</w:t>
        <w:noBreakHyphen/>
        <w:t>ILD. In PROSERA, the subgroup of patients with CTD-APAH (n = 87) demonstrated a placebo</w:t>
        <w:noBreakHyphen/>
        <w:t>adjusted improvement in 6MWD at Week 24 of 37.0 meters (nominal p = 0.0104). We believe the biology of connective tissue disease</w:t>
        <w:noBreakHyphen/>
        <w:t>associated PAH may be relevant to broader fibrotic lung disease populations, including PH-ILD. CTD APAH has historically been associated with poorer outcomes and less clinical response to PAH therapies compared with idiopathic PAH, and patients may experience higher rates of treatment related adverse events that can limit therapy options. We activated clinical sites and began screening patients for the SERANATA Phase 3 study in PH</w:t>
        <w:noBreakHyphen/>
        <w:t xml:space="preserve">ILD, but following our February 2026 announcement of topline results from PROSERA, we paused enrollment in SERANATA to allow for further evaluation of the PROSERA dataset, including regional variability, and to support disciplined resource allocation as we engage with regulators regarding potential paths forward.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we announced positive topline results from the 24-week Phase 2 TORREY trial in 86 PAH patients. In this well-treated patient population, the seralutinib arm demonstrated a statistically significant, placebo-adjusted improvement of 14.3% in its primary efficacy endpoint, pulmonary vascular resistance, or PVR. In the pre-specified elevated-risk subgroup (REVEAL 2.0 Risk Score ≥ 6), seralutinib showed notable improvements at Week 24 compared to placebo, including a 21.9-meter increase in 6-minute walk distance (6MWD; nominal p = 0.2482), a 23% reduction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pulmonary vascular resistance (PVR; nominal p = 0.0134), and a 732 ng/L decrease in NT-proBNP levels (nominal p = 0.0002).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are completing analyses of the PROSERA dataset and plan to engage with the FDA, including through requesting a Type C meeting, to understand their perspective on the PROSERA and TORREY datasets and potential regulatory paths forward. Across the Phase 2 TORREY and Phase 3 PROSERA studies, we believe that the totality of evidence supports that seralutinib has been generally well tolerated in PAH in heavily treated populations.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May 2024, we entered into a collaboration agreement with Chiesi. Under the collaboration agreement, we will jointly develop seralutinib with Chiesi. We will lead global development of seralutinib in PAH and PH-ILD and will lead potential commercialization for PAH and PH-ILD in the United States, with both parties contributing 50% of commercial efforts, including performing 50% of the commercialization activities. Chiesi will lead global development in any additional indications and will lead potential commercialization in the United States in any additional indications. Chiesi will also have the exclusive right to commercialize seralutinib outside of the United States. We in-licensed seralutinib from Pulmokine, Inc. The FDA, the European Commission, or EC, and the Pharmaceuticals and Medical Devices Agency, or PMDA, of Japan have granted seralutinib orphan drug designation for the treatment of patients with PAH. Chiesi is currently evaluating the totality of the PROSERA dataset.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Mechanism of Action in PAH</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PAH is driven by abnormal cellular proliferation within and around the small blood vessels of the lung that carry blood from the right side of the heart to the lungs. Functional and structural changes in the pulmonary vasculature, known as vascular remodeling, can lead to smooth muscle cell proliferation and migration from the middle layer of the blood vessel into the inner layer. This can result in the development of plexiform and neointimal lesions that can obstruct blood flow. The obstruction of blood flow in the pulmonary vessels can also predispose patients to thrombosis, or blood clots, within these small pulmonary vessels that further blocks blood flow. This progressive obstruction of blood flow from the right side of the heart to the lungs can cause the right ventricle to fail, thus leading to severe breathlessness, reduced exercise tolerance and death. Seralutinib was designed to inhibit multiple kinases that play a role in the pathology of PAH, including PDGFRα/β, CSF1R and c-KIT.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PDGFR is a tyrosine kinase receptor which, when activated by its agonist, induces cellular proliferation. PDGF expression is known to be particularly important to stimulating smooth muscle cell proliferation in PAH patients. PDGFRs and their ligands are both upregulated in PAH. Upregulated PDGFR signaling results in endothelial cell and fibroblast dysfunction and the proliferation and migration of smooth muscle cells. This effect results in the overgrowth and occlusion of blood vessels in the lung. Kinase inhibitors with activity against the PDGFR pathway have shown the ability to reverse PAH in animal models.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Inhaled seralutinib is designed to act on both isoforms of the PDGFR, α and β. Data from preclinical animal models and human lung histology from PAH patients suggests that it is important to inhibit both of these isoforms of the PDGF receptor. PDGFRα is highly expressed in pulmonary arteriole vascular smooth muscle cells, or PAVSMCs. Inhibiting PDGFRα may help reduce the abnormal cell proliferation of PAVSMCs that results in blood vessel thickening. PDGFRβ is more highly expressed in fibroblasts and myofibroblasts that are involved with the abnormal cell proliferation within the blood vessel that leads to the obstruction of the pulmonary arterioles. We believe inhibiting PDGFRβ is therefore important in decreasing the abnormal cell proliferation of these cell types.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 c-KIT pathway was also identified as an important growth factor involved in pulmonary vascular remodeling, particularly in the cells implicated in perivascular inflammation. An analysis of lung and pulmonary arteriole samples has also shown increased gene expression of c-KIT in idiopathic PAH. C-KIT positive endothelial cells may also secrete PDGF, and perivascular c-KIT positive mast cells have been shown to secrete pro-inflammatory cytokines and tryptase that further contribute to the inflammatory process in PAH.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Mechanistic validation of a PDGFR and c-KIT kinase inhibitor has been observed in clinical trials of imatinib (Gleevec), an oral tyrosine kinase inhibitor with known activity against the PDGFR and c-KIT pathways, which demonstrated proof-of-concept in humans in a Phase 3 clinical trial in PAH. In preclinical models, as compared to imatinib, seralutinib was a more potent inhibitor of the PDGFRα isoform, and seralutinib was a ten-fold more potent inhibitor of the PDGFRβ isoform and c-KIT.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Macrophages have also been identified as one of the most important inflammatory cells in the development and exacerbation of PAH. Macrophages, which express the CSF1 receptor, are now recognized to play an important role in PAH pathology. Activated CSF1R positive macrophages accumulate around pulmonary arterioles in PAH, which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shown in vivo in PAH patients with positron emission tomography. Additionally, macrophage activity in PAH is associated with bone morphogenetic protein receptor type II, or BMPR2, levels. The decrease in BMPR2 characteristic of PAH results in induction of granulocyte-macrophage colony-stimulating factor, or GM-CSF, and macrophage recruitment. Notably, in the BMPR2 knock out mouse, there is significant pulmonary inflammation due to activation of tissue macrophages.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inflammatory macrophages secrete PDGF and stimulate pulmonary artery smooth muscle cell migration and proliferation, accelerating the feedback loop of inflammation, hyperproliferation and fibrosis that characterize PAH.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Prior PDGF Pathway Development in PAH - The IMPRES Phase 3 Clinical Trial of Imatinib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IMPRES trial was a Phase 3 clinical trial conducted by Novartis of imatinib (Gleevec) in patients with PAH. Imatinib has known activity against multiple tyrosine kinases, including the PDGFR, c-KIT receptors and Abelson murine leukemia viral oncogene homolog 1, or c-ABL. The trial met its primary endpoint, improvement in 6-minute walk distance, or 6MWD, versus placebo at week 24.</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However, systemic adverse events such as bleeding and poor tolerability and frequent drug discontinuation led to a high drop-out rate within the active arm of the trial. Subdural hematomas occurred in eight patients who were also being administered oral anticoagulants during the trial. Novartis withdrew its supplemental regulatory applications in PAH in 2013 and, to our knowledge, did not pursue further development of imatinib in the indication.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Overview of PAH (WHO Group 1 Pulmonary Hypertension)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PAH, classified as World Health Organization, or WHO, Group 1 Pulmonary Hypertension, is a rare disease that is characterized by abnormally high blood pressure in the blood vessels carrying deoxygenated blood from the right side of the heart to the lungs and is progressive and often fatal. Symptoms include shortness of breath at rest or with minimal exertion. Other symptoms include fatigue, chest pain, dizzy spells and fainting. The progressive nature of this disease causes the right side of the heart to work much harder and eventually weaken or fail.</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Patients are often evaluated by functional class, which categorizes patients by their ability to carry out physical activity and their symptom severity. Worsening symptoms, and thus higher numbered functional classes, are associated with higher mortality. The four functional classes established by the WHO are detailed below in Table 1.</w:t>
      </w:r>
    </w:p>
    <w:p>
      <w:pPr>
        <w:pStyle w:val="TextBody"/>
        <w:bidi w:val="0"/>
        <w:spacing w:lineRule="auto" w:line="288" w:before="200" w:after="283"/>
        <w:ind w:left="0" w:right="0" w:firstLine="1440"/>
        <w:jc w:val="center"/>
        <w:rPr>
          <w:rFonts w:ascii="Times New Roman;serif" w:hAnsi="Times New Roman;serif"/>
          <w:b/>
          <w:color w:val="000000"/>
          <w:sz w:val="20"/>
        </w:rPr>
      </w:pPr>
      <w:r>
        <w:rPr>
          <w:rFonts w:ascii="Times New Roman;serif" w:hAnsi="Times New Roman;serif"/>
          <w:b/>
          <w:color w:val="000000"/>
          <w:sz w:val="20"/>
        </w:rPr>
        <w:t>Table 1. PAH Functional Classes</w:t>
      </w:r>
    </w:p>
    <w:tbl>
      <w:tblPr>
        <w:tblW w:w="10205" w:type="dxa"/>
        <w:jc w:val="left"/>
        <w:tblInd w:w="0" w:type="dxa"/>
        <w:tblLayout w:type="fixed"/>
        <w:tblCellMar>
          <w:top w:w="28" w:type="dxa"/>
          <w:left w:w="28" w:type="dxa"/>
          <w:bottom w:w="28" w:type="dxa"/>
          <w:right w:w="28" w:type="dxa"/>
        </w:tblCellMar>
      </w:tblPr>
      <w:tblGrid>
        <w:gridCol w:w="326"/>
        <w:gridCol w:w="287"/>
        <w:gridCol w:w="288"/>
        <w:gridCol w:w="109"/>
        <w:gridCol w:w="109"/>
        <w:gridCol w:w="109"/>
        <w:gridCol w:w="2682"/>
        <w:gridCol w:w="2596"/>
        <w:gridCol w:w="3699"/>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Functional</w:t>
              <w:b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Patients with PAH, but without resulting limitation of physical activity. Ordinary physical activity does not cause undue dyspnea or fatigue, chest pain or near syncope.</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Patients with PAH resulting in slight limitation of physical activity. They are comfortable at rest. Ordinary physical activity causes undue dyspnea or fatigue, chest pain or near syncope.</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Patients with PAH resulting in marked limitation of physical activity. They are comfortable at rest. Less than ordinary activity causes undue dyspnea or fatigue, chest pain or near syncope.</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Patients with PAH with inability to carry out any physical activity without symptoms. These patients manifest signs of right heart failure. Dyspnea and/or fatigue may even be present at rest. Discomfort is increased by any physical activity.</w:t>
            </w:r>
          </w:p>
        </w:tc>
      </w:tr>
    </w:tbl>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Additionally, recent medical society guidelines have identified intermediate and high-risk categories of PAH based on several variables including signs of right heart failure, rate of symptom progression, functional class, 6MWD, maximum oxygen consumption and NT-proBNP, which is a biomarker for heart failure and measures of right heart function. One of these risk categorization tools, the REVEAL 2.0 Risk Score, was utilized in the completed Phase 2 TORREY Study.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Multiple PAH-specific treatments have been introduced in the past two decades, however PAH continues to have a high morbidity and mortality. Based on REVEAL registry data, newly diagnosed functional class III and IV patients have 5-year survival rates of 60% and 44%, respectively, while rates for previously diagnosed patients were even lower at 57% and 27%,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Overview of PAH Market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PAH most commonly affects women between the ages of 30 and 60. The true incidence and prevalence of PAH are unknown. The estimated PAH patient population in the US is about 50,000 patients, and the estimated patient population in the European Union, or EU, is over 70,000 patients. The number of diagnosed PAH patients continues to increase, and we believe this increase is likely due to enhanced awareness and diagnosis of the disease. Worldwide branded drug sales for therapies used in PAH and PH ILD represent a multi-billion dollar global market.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Treatment Paradigm in PAH</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Currently approved PAH therapies consist of three classes of vasodilators and one activin ligand trap therapy. The three classes of vasodilatory therapy are phosphodiesterase type 5, or PDE5, inhibitors (and guanylate cyclase stimulators), ERAs, and prostanoids (and prostacyclin receptor agonists). PDE5 inhibitors are often used in combination with ERAs as an early treatment strategy. In patients who fail to respond to combination therapy of an ERA and a PDE5 inhibitor, it is common practice to add a prostanoid. Prostanoids are also commonly used to treat patients with evidence of right heart failure. The recent introduction of an activin ligand trap therapy (sotatercept) to the market has provided patients with an additional treatment option. While some existing treatments have led to significant improvements in time to clinical worsening and other composite endpoints in PAH patients, there are no cures. The effects of approved PAH therapies, while capable of improving blood flow through the lungs, may eventually be overtaken by the worsening cellular proliferation and arterial remodeling underlying the condition, given the progressive nature of the disease. We believe an agent with the ability to safely reverse pathological remodeling could provide utility across functional classes and risk categories.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Overview of PH-ILD (WHO Group 3 Pulmonary Hypertension)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believe that seralutinib has potential as a therapeutic treatment for PH-ILD, a subtype of WHO Group 3 Pulmonary Hypertension. PH-ILD is a collection of progressive and often fatal forms of PH that affect the small airways of the lungs. PH-ILD includes PH related to idiopathic pulmonary fibrosis and PH related connective tissue disease-associated interstitial lung disease, amongst other diseases. These diseases are characterized by pulmonary vascular pathology associated with PH, in addition to thickening and scarring of the lung interstitium from interstitial lung disease. While the prevalence of PH-ILD is unknown, we believe PH-ILD is at least as prevalent as PAH. Patients living with PH-ILD generally have a poor disease prognosis and have an increased mortality rate, as compared to PAH patients. We believe seralutinib may have potential in fibrotic lung disease, including PH</w:t>
        <w:noBreakHyphen/>
        <w:t>ILD. In PROSERA, the subgroup of patients with CTD</w:t>
        <w:noBreakHyphen/>
        <w:t>APAH demonstrated a placebo</w:t>
        <w:noBreakHyphen/>
        <w:t>adjusted improvement in 6MWD at Week 24 of 37.0 meters (nominal p=0.0104). We believe the biology of connective tissue disease</w:t>
        <w:noBreakHyphen/>
        <w:t>associated disease may be relevant to broader fibrotic lung disease populations, including PH</w:t>
        <w:noBreakHyphen/>
        <w:t xml:space="preserve">ILD. There is only one FDA-approved treatment for PH-ILD, and there are no approved therapies in the EU.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Seralutinib Product Differentiation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Seralutinib is an inhaled kinase inhibitor designed to build on the evidence of efficacy seen in trials of imatinib while overcoming imatinib’s observed systemic safety and tolerability issues and improving on imatinib's kinase inhibitory profile. Seralutinib is designed to have a differentiated selectivity profile as compared to imatinib with increased potency against the PDGFRα isoform, ten-fold higher potency against the PDGFRβ isoform and c-KIT, and no activity against c-ABL or the tyrosine kinase, LCK. Additionally, seralutinib is multiple orders of magnitude more potent against CSF1R, as compared to imatinib. We believe seralutinib has the potential to be a therapeutic option for PH that may provide a:</w:t>
      </w:r>
    </w:p>
    <w:p>
      <w:pPr>
        <w:pStyle w:val="TextBody"/>
        <w:bidi w:val="0"/>
        <w:spacing w:lineRule="auto" w:line="288" w:before="200" w:after="283"/>
        <w:ind w:left="0" w:right="0" w:hanging="720"/>
        <w:jc w:val="left"/>
        <w:rPr>
          <w:color w:val="000000"/>
        </w:rPr>
      </w:pPr>
      <w:r>
        <w:rPr>
          <w:color w:val="000000"/>
        </w:rPr>
        <w:t>•    </w:t>
      </w:r>
      <w:r>
        <w:rPr>
          <w:rFonts w:ascii="Times New Roman;serif" w:hAnsi="Times New Roman;serif"/>
          <w:b w:val="false"/>
          <w:color w:val="000000"/>
          <w:sz w:val="20"/>
        </w:rPr>
        <w:t>differentiated, anti-proliferative mechanism that addresses the underlying mechanisms of both PAH and PH-ILD;</w:t>
      </w:r>
    </w:p>
    <w:p>
      <w:pPr>
        <w:pStyle w:val="TextBody"/>
        <w:bidi w:val="0"/>
        <w:spacing w:lineRule="auto" w:line="288" w:before="200" w:after="283"/>
        <w:ind w:left="0" w:right="0" w:hanging="720"/>
        <w:jc w:val="left"/>
        <w:rPr>
          <w:color w:val="000000"/>
        </w:rPr>
      </w:pPr>
      <w:r>
        <w:rPr>
          <w:color w:val="000000"/>
        </w:rPr>
        <w:t>•    </w:t>
      </w:r>
      <w:r>
        <w:rPr>
          <w:rFonts w:ascii="Times New Roman;serif" w:hAnsi="Times New Roman;serif"/>
          <w:b w:val="false"/>
          <w:color w:val="000000"/>
          <w:sz w:val="20"/>
        </w:rPr>
        <w:t>more tolerable safety profile than systemic imatinib; and</w:t>
      </w:r>
    </w:p>
    <w:p>
      <w:pPr>
        <w:pStyle w:val="TextBody"/>
        <w:bidi w:val="0"/>
        <w:spacing w:lineRule="auto" w:line="288" w:before="200" w:after="283"/>
        <w:ind w:left="0" w:right="0" w:hanging="720"/>
        <w:jc w:val="left"/>
        <w:rPr>
          <w:color w:val="000000"/>
        </w:rPr>
      </w:pPr>
      <w:r>
        <w:rPr>
          <w:color w:val="000000"/>
        </w:rPr>
        <w:t>•    </w:t>
      </w:r>
      <w:r>
        <w:rPr>
          <w:rFonts w:ascii="Times New Roman;serif" w:hAnsi="Times New Roman;serif"/>
          <w:b w:val="false"/>
          <w:color w:val="000000"/>
          <w:sz w:val="20"/>
        </w:rPr>
        <w:t>convenient, simple and portable inhalation delivery system.</w: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Summary of Preclinical Program</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Seralutinib inhibits both PDGFR α and β, and it inhibited and reversed cell overgrowth in lung blood vessels in a PAH rat model, which replicates many features of human PAH, including the abnormal cell proliferation that can block the small vessels of the lung. Seralutinib substantially reduced the occlusive lesions in the small lung blood vessels in this model. Additionally, seralutinib demonstrated a statistically significant reduction in right ventricular systolic pressure as compared to placebo.    In a separate rat model of PAH, the SU5416 hypoxia model, seralutinib demonstrated a statistically significant reduction in circulating plasma NT-proBNP as compared to placebo, while the difference between imatinib and placebo was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significant for this PAH biomarker. Seralutinib also restored rat lung BMPR2 expression to healthy levels, which was a statistically significant improvement as compared to placebo and imatinib. Irregularities in BMPR2 expression have been linked to PAH.</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Clinical Development History of Seralutinib</w:t>
      </w:r>
    </w:p>
    <w:p>
      <w:pPr>
        <w:pStyle w:val="TextBody"/>
        <w:bidi w:val="0"/>
        <w:spacing w:lineRule="auto" w:line="288" w:before="200" w:after="283"/>
        <w:ind w:left="0" w:right="0" w:firstLine="1440"/>
        <w:jc w:val="left"/>
        <w:rPr>
          <w:rFonts w:ascii="Times New Roman;serif" w:hAnsi="Times New Roman;serif"/>
          <w:b w:val="false"/>
          <w:i/>
          <w:color w:val="000000"/>
          <w:sz w:val="20"/>
        </w:rPr>
      </w:pPr>
      <w:r>
        <w:rPr>
          <w:rFonts w:ascii="Times New Roman;serif" w:hAnsi="Times New Roman;serif"/>
          <w:b w:val="false"/>
          <w:i/>
          <w:color w:val="000000"/>
          <w:sz w:val="20"/>
        </w:rPr>
        <w:t>Summary of Completed Phase 1a Studies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completed Phase 1a SAD and MAD double-blind, placebo-controlled, randomized studies of orally inhaled seralutinib in 82 healthy adult volunteers. We assessed pharmacokinetics, or PK, parameters and safety. Seralutinib was well-tolerated, and there were no dose-limiting toxicities. No serious adverse events, or SAEs, were reported, and no reported adverse events, or AEs, led to study drug discontinuation. The most common AEs were throat irritation and cough, which were mild in severity and similar in incidence to placebo. Following single and multiple oral inhalations, seralutinib was rapidly absorbed into and cleared from the systemic circulation. Seralutinib exposure increased in a dose-proportional manner following single and multiple dose administration.</w:t>
      </w:r>
    </w:p>
    <w:p>
      <w:pPr>
        <w:pStyle w:val="TextBody"/>
        <w:bidi w:val="0"/>
        <w:spacing w:lineRule="auto" w:line="288" w:before="200" w:after="283"/>
        <w:ind w:left="0" w:right="0" w:firstLine="1440"/>
        <w:jc w:val="left"/>
        <w:rPr>
          <w:rFonts w:ascii="Times New Roman;serif" w:hAnsi="Times New Roman;serif"/>
          <w:b w:val="false"/>
          <w:i/>
          <w:color w:val="000000"/>
          <w:sz w:val="20"/>
        </w:rPr>
      </w:pPr>
      <w:r>
        <w:rPr>
          <w:rFonts w:ascii="Times New Roman;serif" w:hAnsi="Times New Roman;serif"/>
          <w:b w:val="false"/>
          <w:i/>
          <w:color w:val="000000"/>
          <w:sz w:val="20"/>
        </w:rPr>
        <w:t>Summary of Completed Phase 1b PAH Clinical Trial</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2020, we announced topline results from the completed Phase 1b randomized, double-blind, placebo-controlled, multi-center trial of seralutinib in functional class II and III PAH patients. Eight patients completed the two-week blinded portion of the trial. Enrollment for this trial was temporarily paused due to the COVID-19 pandemic but was reopened in the third quarter of 2020. The primary outcome of this 2-week trial was safety and tolerability. Seralutinib was generally well tolerated in PAH patients, and all eight patients completed the 2-week study. There were no SAEs, and the most frequently reported AEs were mild-to-moderate cough and mild headache. Systemic PK was characterized by low systemic exposure and rapid drug clearance in PAH patients, which was consistent with PK data from the Phase 1a studies in healthy volunteers. Target engagement in PAH patients was demonstrated via whole blood CSF1R stabilization assay across all tested dose levels.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Upon completion of the two-week Phase 1b trial, two PAH patients were able to enroll and complete a six-month open label extension trial of seralutinib. Both patients were able to titrate up to the maximum allowed dose, 90 mg twice daily. No SAEs were reported during the extension trial. Both patients demonstrated a decrease in NT-proBNP levels from baseline, and both patients demonstrated an increase in 6MWD from baseline. </w:t>
      </w:r>
    </w:p>
    <w:p>
      <w:pPr>
        <w:pStyle w:val="TextBody"/>
        <w:bidi w:val="0"/>
        <w:spacing w:lineRule="auto" w:line="288" w:before="200" w:after="283"/>
        <w:ind w:left="0" w:right="0" w:firstLine="1440"/>
        <w:jc w:val="left"/>
        <w:rPr>
          <w:rFonts w:ascii="Times New Roman;serif" w:hAnsi="Times New Roman;serif"/>
          <w:b w:val="false"/>
          <w:i/>
          <w:color w:val="000000"/>
          <w:sz w:val="20"/>
        </w:rPr>
      </w:pPr>
      <w:r>
        <w:rPr>
          <w:rFonts w:ascii="Times New Roman;serif" w:hAnsi="Times New Roman;serif"/>
          <w:b w:val="false"/>
          <w:i/>
          <w:color w:val="000000"/>
          <w:sz w:val="20"/>
        </w:rPr>
        <w:t>Summary of Completed Phase 2 PAH Clinical Trial (TORREY Study)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December 2022, we announced positive topline results from the completed Phase 2 TORREY Study, a randomized, double-blind, placebo-controlled, multi-center clinical trial in PAH patients. We enrolled 86 functional class II and III PAH patients who were not meeting treatment goal despite background PAH treatment. 57% of enrolled patients were on triple background PAH therapy, and 40% were on double background PAH therapy. Patients on the active arm received seralutinib at doses starting at 60 mg twice daily, and they titrated up to 90 mg twice daily. While the protocol allowed for down-titration to 45 mg twice daily as necessary, the substantial majority of patients on the seralutinib arm were able to achieve and maintain 90 mg twice daily. Patients remained on their background PAH therapies throughout the trial.</w:t>
      </w:r>
    </w:p>
    <w:p>
      <w:pPr>
        <w:pStyle w:val="TextBody"/>
        <w:bidi w:val="0"/>
        <w:spacing w:lineRule="auto" w:line="288" w:before="180" w:after="180"/>
        <w:ind w:left="0" w:right="0" w:firstLine="1440"/>
        <w:jc w:val="left"/>
        <w:rPr/>
      </w:pPr>
      <w:r>
        <w:rPr>
          <w:rFonts w:ascii="Times New Roman;serif" w:hAnsi="Times New Roman;serif"/>
          <w:b w:val="false"/>
          <w:color w:val="000000"/>
          <w:sz w:val="20"/>
        </w:rPr>
        <w:t>Seralutinib demonstrated a statistically significant improvement on the primary endpoint, change from baseline in PVR over a 24-week treatment period. A mean improvement in PVR between the placebo and seralutinib arms of 96.1 dynes × seconds/cm</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 xml:space="preserve">(p = 0.0310), equating to a placebo-adjusted improvement of 14.3%, was observed in the study. The p-value is the probability that the difference between two data sets was due to chance. The smaller the p-value, the more likely the differences are not due to chance alone. In general, if the p-value is less than or equal to 0.05, the outcome is considered statistically significant. Improvements in PVR favored the seralutinib arm across all pre-specified patient sub-groups. The key secondary endpoint in the TORREY Study was change from baseline to week 24 in 6MWD. An observed mean difference in 6MWD between placebo and seralutinib of 6.5 meters numerically favored the seralutinib arm. Changes in 6MWD also favored seralutinib in the majority of pre-specified sub-groups. The trial was neither powered nor designed for statistical significance in 6MWD.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Enhanced effects for both PVR and 6MWD were observed in patients with more severe baseline disease, as defined by WHO functional class, or FC, and REVEAL 2.0 Risk Scores. In FC III patients, a 21% placebo-adjusted reduction in PVR (p = 0.0427) and 37-meter placebo-adjusted improvement in 6MWD (p = 0.0476) were observed for the seralutinib arm. In patients with a baseline REVEAL 2.0 Risk Score of 6 or greater, seralutinib demonstrated a 23% placebo-adjusted reduction in PVR (p = 0.0134) and a placebo-adjusted 22-meter improvement in 6MWD (p = 0.2482).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Seralutinib treatment resulted in a statistically significant reduction in NT-proBNP, a biomarker of right heart stress, as early as 12 weeks, increasing to a placebo-adjusted 408.3 ng/L mean difference at Week 24 (p = 0.0012). This biomarker change was accompanied by clinically relevant and statistically significant changes for seralutinib vs. placebo in key assessments of right heart structure and function, including right atrium area, right ventricle free wall strain and pulmonary artery compliance.</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Seralutinib was generally well tolerated in the TORREY study, with treatment emergent adverse events, or TEAEs, reported in 36 (86%) and 41 (93%) of the patients in the placebo and seralutinib arms, respectively. The vast majority of TEAEs reported in the study were mild to moderate in severity. In the seralutinib arm, there was one SAE related to study drug reported, while no SAEs related to study drug were reported in the placebo arm. The most frequently reported TEAE in the study was cough, reported in 16 (38%) and 19 (43%) of the patients in the placebo and seralutinib arms, respectively. Of the 19 patients reporting cough in the seralutinib arm, 17 experienced mild cough, while 2 experienced moderate cough. The most frequently reported TEAEs in the IMPRES Phase 3 study of imatinib in PAH, including nausea, peripheral edema, diarrhea, and vomiting, were observed at substantially lower frequency in the TORREY study, and reported cases were generally well balanced between the seralutinib and placebo arms. No cases of subdural hematoma were reported in the study.</w:t>
      </w:r>
    </w:p>
    <w:p>
      <w:pPr>
        <w:pStyle w:val="TextBody"/>
        <w:bidi w:val="0"/>
        <w:spacing w:lineRule="auto" w:line="288" w:before="18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the TORREY open</w:t>
        <w:noBreakHyphen/>
        <w:t>label extension (OLE), participants who continued on seralutinib demonstrated continued improvement in PVR through later follow</w:t>
        <w:noBreakHyphen/>
        <w:t>up, with median PVR decreasing from 620 dyne·s/cm⁵ at baseline to 505 at Week 24 and 475 at Week 72. These OLE findings are descriptive and provide additional longer</w:t>
        <w:noBreakHyphen/>
        <w:t>term context beyond the 24</w:t>
        <w:noBreakHyphen/>
        <w:t>week blinded period.</w:t>
      </w:r>
    </w:p>
    <w:p>
      <w:pPr>
        <w:pStyle w:val="TextBody"/>
        <w:bidi w:val="0"/>
        <w:spacing w:lineRule="auto" w:line="288" w:before="180" w:after="180"/>
        <w:ind w:left="0" w:right="0" w:firstLine="1440"/>
        <w:jc w:val="left"/>
        <w:rPr>
          <w:rFonts w:ascii="Times New Roman;serif" w:hAnsi="Times New Roman;serif"/>
          <w:b w:val="false"/>
          <w:i/>
          <w:color w:val="000000"/>
          <w:sz w:val="20"/>
        </w:rPr>
      </w:pPr>
      <w:r>
        <w:rPr>
          <w:rFonts w:ascii="Times New Roman;serif" w:hAnsi="Times New Roman;serif"/>
          <w:b w:val="false"/>
          <w:i/>
          <w:color w:val="000000"/>
          <w:sz w:val="20"/>
        </w:rPr>
        <w:t>Summary of Completed Phase 3 PAH Clinical Trial (PROSERA Study)</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PROSERA was a randomized, double</w:t>
        <w:noBreakHyphen/>
        <w:t>blind, placebo</w:t>
        <w:noBreakHyphen/>
        <w:t>controlled, global Phase 3 study in patients with WHO Functional Class II and III PAH on background therapy, randomized 1:1 to seralutinib or placebo and treated for up to 48 weeks. The primary endpoint was change from baseline in 6MWD at Week 24 in the intent</w:t>
        <w:noBreakHyphen/>
        <w:t>to</w:t>
        <w:noBreakHyphen/>
        <w:t>treat population, with key secondary endpoints including time to clinical worsening, clinical improvement, change in NT</w:t>
        <w:noBreakHyphen/>
        <w:t>proBNP, and reduction in REVEAL Lite 2 risk score.</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February 2026, we announced topline results from PROSERA. At Week 24, seralutinib demonstrated a placebo adjusted improvement in 6MWD of 13.3 meters versus placebo (p = 0.0320), which did not meet the prespecified statistical alpha threshold of 0.025. At Week 24, patients receiving seralutinib had a median change in 6MWD from baseline of 28.2 meters, compared with 13.5 meters for patients receiving placebo.</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key secondary endpoint, change in NT</w:t>
        <w:noBreakHyphen/>
        <w:t xml:space="preserve">proBNP at Week 24, demonstrated an estimated location shift of </w:t>
        <w:noBreakHyphen/>
        <w:t>120.4 ng/L compared with placebo (nominal p = 0.0002) in the overall population, with separation between the arms favoring seralutinib observed starting at Week 4 (-96.0 ng/L; nominal p = 0.0002). Key secondary endpoints time-to-clinical worsening (TTCW), clinical improvement and proportion of patients with a one point or greater reduction in REVEAL Lite 2 Risk Score all favored seralutinib as compared to placebo in the overall population.</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 prespecified subgroup analysis of patients with REVEAL Lite 2 score ≥6 at screening, corresponding to intermediate- and high-risk patients, seralutinib demonstrated a potentially clinically meaningful response profile across the primary and key secondary endpoints. All key secondary endpoints favored seralutinib, with placebo</w:t>
        <w:noBreakHyphen/>
        <w:t>adjusted effects including NT</w:t>
        <w:noBreakHyphen/>
        <w:t>proBNP at Week 24 (location shift = -265.8 ng/L; nominal p = 0.0002), ≥1</w:t>
        <w:noBreakHyphen/>
        <w:t>point improvement in REVEAL Lite 2 risk score at Week 24 (odds ratio = 2.033; nominal p = 0.0083), clinical improvement at Week 24 (odds ratio = 3.318; nominal p = 0.0101), and TTCW through Week 48 (hazard ratio = 0.744; nominal p = 0.4360).</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Notably, in patients with CTD</w:t>
        <w:noBreakHyphen/>
        <w:t>APAH, seralutinib demonstrated an improvement in six</w:t>
        <w:noBreakHyphen/>
        <w:t>minute walk distance, achieving a placebo</w:t>
        <w:noBreakHyphen/>
        <w:t>adjusted gain of 37.0 meters at Week 24 (n = 87; nominal p = 0.0104), indicating a potentially strong clinically meaningful treatment effect in this clinically challenging subgroup.</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interrogate our computed tomography (CT) functional respiratory imaging (FRI) exploratory substudy data. Given the exploratory nature of the technology, we are taking the appropriate steps to understand the totality of the data and the utility of the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Overall, seralutinib was generally well tolerated in the PROSERA Study. TEAEs were reported in 86.5% of patients receiving seralutinib and 80.5% of patients receiving placebo. Treatment-emergent SAEs occurred in 16.0% of patients receiving seralutinib and 18.9% of patients receiving placebo. Transaminase elevations of three times or greater of the upper limit of normal were observed in 13% of patients receiving seralutinib and 1% of patients receiving placebo. In seralutinib treated patients, liver enzyme elevations tended to occur early in treatment, and generally resolved with drug interruption or discontinuation, with rapid recovery reported in observed cases. The most frequently reported adverse event in patients treated with seralutinib was cough, reported in 37.0% of patients.</w:t>
      </w:r>
    </w:p>
    <w:p>
      <w:pPr>
        <w:pStyle w:val="TextBody"/>
        <w:bidi w:val="0"/>
        <w:spacing w:lineRule="auto" w:line="288" w:before="180" w:after="180"/>
        <w:ind w:left="0" w:right="0" w:firstLine="1440"/>
        <w:jc w:val="left"/>
        <w:rPr>
          <w:rFonts w:ascii="Times New Roman;serif" w:hAnsi="Times New Roman;serif"/>
          <w:b w:val="false"/>
          <w:i/>
          <w:color w:val="000000"/>
          <w:sz w:val="20"/>
        </w:rPr>
      </w:pPr>
      <w:r>
        <w:rPr>
          <w:rFonts w:ascii="Times New Roman;serif" w:hAnsi="Times New Roman;serif"/>
          <w:b w:val="false"/>
          <w:i/>
          <w:color w:val="000000"/>
          <w:sz w:val="20"/>
        </w:rPr>
        <w:t>Summary of Ongoing Open-Label Extensions (Phase 1b, Phase 2 &amp; Phase 3)</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Patients from the Phase 1b study, the Phase 2 TORREY Study, and the Phase 3 PROSERA Study continue in ongoing open</w:t>
        <w:noBreakHyphen/>
        <w:t>label extension studies of seralutinib, where we are monitoring longer</w:t>
        <w:noBreakHyphen/>
        <w:t>term safety and tolerability and where we are further characterizing the durability of clinical response.</w:t>
      </w:r>
    </w:p>
    <w:p>
      <w:pPr>
        <w:pStyle w:val="TextBody"/>
        <w:bidi w:val="0"/>
        <w:spacing w:lineRule="auto" w:line="288" w:before="180" w:after="283"/>
        <w:ind w:left="0" w:right="0" w:firstLine="1440"/>
        <w:jc w:val="left"/>
        <w:rPr>
          <w:rFonts w:ascii="Times New Roman;serif" w:hAnsi="Times New Roman;serif"/>
          <w:b w:val="false"/>
          <w:i/>
          <w:color w:val="000000"/>
          <w:sz w:val="20"/>
        </w:rPr>
      </w:pPr>
      <w:r>
        <w:rPr>
          <w:rFonts w:ascii="Times New Roman;serif" w:hAnsi="Times New Roman;serif"/>
          <w:b w:val="false"/>
          <w:i/>
          <w:color w:val="000000"/>
          <w:sz w:val="20"/>
        </w:rPr>
        <w:t>Summary of Paused SERANATA Phase 3 Clinical Trial in PH-ILD</w:t>
      </w:r>
    </w:p>
    <w:p>
      <w:pPr>
        <w:pStyle w:val="TextBody"/>
        <w:bidi w:val="0"/>
        <w:spacing w:lineRule="auto" w:line="288" w:before="18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Starting in the fourth quarter of 2025, we activated clinical sites and began screening patients for the SERANATA Phase 3 study in PH</w:t>
        <w:noBreakHyphen/>
        <w:t>ILD. Following our February 2026 announcement of topline results from PROSERA, we paused enrollment in SERANATA to allow for further evaluation of the PROSERA dataset, including regional variability, and to support disciplined resource allocation as we engage with regulators regarding potential paths forward.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RT234 (Inhaled, On</w:t>
        <w:noBreakHyphen/>
        <w:t>Demand PDE5 Inhibitor)</w:t>
      </w:r>
    </w:p>
    <w:p>
      <w:pPr>
        <w:pStyle w:val="TextBody"/>
        <w:bidi w:val="0"/>
        <w:spacing w:lineRule="auto" w:line="288" w:before="18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RT234 is an investigational inhaled, as</w:t>
        <w:noBreakHyphen/>
        <w:t>needed, or PRN, dry</w:t>
        <w:noBreakHyphen/>
        <w:t>powder formulation of vardenafil, a PDE5 inhibitor, being developed for PAH and PH</w:t>
        <w:noBreakHyphen/>
        <w:t>ILD. PDE5 inhibitors are an established class with multiple approved oral therapies for chronic use in PAH; however, there are no approved inhaled PDE5 therapies and no approved PRN treatments designed for on</w:t>
        <w:noBreakHyphen/>
        <w:t>demand symptom relief in PAH or PH</w:t>
        <w:noBreakHyphen/>
        <w:t>ILD. Oral vardenafil is approved for erectile dysfunction. PRN use refers to administration at the time of need, rather than on a scheduled, chronic dosing regimen, with the objective of providing rapid symptom relief. In September 2025, we entered into an option agreement with Respira Therapeutics to acquire RT234. RT234 has completed open</w:t>
        <w:noBreakHyphen/>
        <w:t>label Phase 2 clinical trials and is intended to address an unmet need for on</w:t>
        <w:noBreakHyphen/>
        <w:t>demand symptom management that may complement existing chronic PH therapies. Current activities by Respira Therapeutics are focused on foundational manufacturing and device readiness, and subject to those ongoing activities, RT234 could reenter clinical development as early as 2027. See Note 14 to our consolidated financial statements included elsewhere in this annual report for additional details regarding the Respira option agreement.</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current therapies and new therapies that may become available in the future. Our commercial opportunity could be reduced or eliminated if our competitors develop and commercialize products that are safer, more effective, have fewer or less severe side effects or more convenient than any products that we may develop. Our competitors also may obtain FDA or other regulatory approval for their products more rapidly than we do. We believe that the key competitive factors affecting the success of any of our product candidates will include efficacy, safety profile, convenience, cost, level of promotional activity devoted to them and intellectual property protection.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expect to face competition for seralutinib and RT234 from existing products and products in development. Seralutinib is a PDGFR, CSF1R and c-KIT inhibitor initially targeted for PAH and PH-ILD patients. We expect competition within the PAH indication will include prostanoids / prostacyclin receptor agonists, including Orenitram (United Therapeutics), Uptravi (Janssen), Tyvaso (United Therapeutics), Yutrepia (Liquidia) and Remodulin (United Therapeutics), and activin ligand traps, including Winrevair (Merck). We also may face some competition from products used as frontline therapy for PAH, such as the oral PDE5 inhibitors, including Revatio (Pfizer Inc.) and Adcirca (United Therapeutics); the sGC stimulator Adempas (Bayer AG); and oral ERAs, including Tracleer (Janssen), Letairis (Gilead Sciences, Inc.) and Opsumit (Janssen); and combination PDE5 inhibitor / ERA therapies, such as Opsynvi (Janssen). We believe that, if approved, seralutinib could be used alongside all classes of approved therapies. PAH is also an active indication for investigational drugs, and we may face competition in the future from L606 (Liquidia / Pharmosa Biopharma Inc.), CS1 (Cereno Scientific), treprostinil palmitil inhalation powder (Insmed, Inc.), ralinepag (United Therapeutics), REGN13335 (Regeneron), HS235 (35Pharma, Inc.), LTP001 (Novartis), APL</w:t>
        <w:noBreakHyphen/>
        <w:t>9796 (Apollo Therapeutics Ltd), and ROC</w:t>
        <w:noBreakHyphen/>
        <w:t xml:space="preserve">101 (AllRock Bio, Inc.). Additionally, although not approved for the treatment of PAH, we may face competition from formulations of imatinib, including the one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development from Inhibikase Therapeutics. While there are multiple classes of therapies with marketing approval for PAH, there are currently no therapies approved for PRN use to provide rapid, on</w:t>
        <w:noBreakHyphen/>
        <w:t>demand symptom relief.</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expect to face competition from Tyvaso (United Therapeutics) and Yutrepia (Liquidia) within the PH-ILD indication, as they are the only approved therapies for PH-ILD in the United States. There are no approved therapies for PH-ILD in the EU. PH-ILD is also an active indication for investigational drugs, and we may face competition in the future from L606 (Liquidia / Pharmosa Biopharma Inc.), sirolimus (OrphAI Therapeutics), treprostinil palmitil inhalation powder (Insmed, Inc.), mosliciguat (Pulmovant, Inc.), mirivadelgat (ForeSee Pharmaceuticals Co., Ltd.), APL</w:t>
        <w:noBreakHyphen/>
        <w:t>9796 (Apollo Therapeutics Ltd), and ROC</w:t>
        <w:noBreakHyphen/>
        <w:t>101 (AllRock Bio, Inc.). While there is one class of therapy with marketing approval for PH-ILD, there are currently no therapies approved for PRN use to provide rapid, on</w:t>
        <w:noBreakHyphen/>
        <w:t>demand symptom relief.</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There may be other earlier stage clinical programs that, if approved, would compete with seralutinib. Many of our competitors have substantially greater financial, technical and human resources than we have. Additional mergers and acquisitions in the pharmaceutical industry may result in even more resources being concentrated in our competitors. Competition may increase further as a result of advances made in the commercial applicability of technologies and greater availability of capital for investment in these fields. Our success will be based in part on our ability to build and actively manage a portfolio of drugs that addresses unmet medical needs and creates value in patient therapy.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License and Collaboration Agreements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Pulmokine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October 2017, we entered into a license agreement, or the Pulmokine Agreement, with Pulmokine, Inc., under which we were granted an exclusive worldwide license and sublicense to certain intellectual property rights owned or controlled by Pulmokine, including intellectual property rights co-owned by Pulmokine and Gilead Sciences, to develop and commercialize seralutinib and certain backup compounds for the treatment, prevention and diagnosis of any and all disease or conditions. On November 26, 2024, Pulmokine became a wholly-owned subsidiary of XOMA Royalty Corporation. We also have the right to sublicense our rights under the Pulmokine Agreement, subject to certain conditions. We are required to use commercially reasonable efforts to develop and commercialize at least one licensed product in the United States and in at least two countries in the European Union.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Under the terms of the Pulmokine Agreement, we made an upfront payment of $5.5 million and milestone payments of $5.0 million and are obligated to make future development and regulatory milestone payments of up to $48 million, which includes a payment of $5.0 million due upon the initiation of a Phase 3 clinical trial in a second indication, commercial milestone payments of up to $45 million, and sales milestone payments of up to $190 million. In January 2024, the Company made a payment of $10.0 million in connection with the initiation of the Phase 3 clinical trial of seralutinib. We are also obligated to pay tiered royalties on sales for each licensed product, at percentages ranging from the mid-single digits to the high single-digits. In addition, if we choose to sublicense or assign to any third parties our rights under the Pulmokine Agreement with respect to a licensed product, or our seralutinib operating subsidiary undergoes a change of control, we must pay to Pulmokine a specified percentage of all revenue to be received in connection with such transaction.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royalty obligations and the Pulmokine Agreement will expire on a licensed product-by-licensed product and country-by-country basis on the later of ten years from the date of first commercial sale or when there is no longer a valid patent claim covering such licensed product or specified regulatory exclusivity for the licensed product in such country. The Pulmokine Agreement may be terminated in its entirety either by Pulmokine or by us in the event of an uncured material breach by the other party, in the event the other party is subject to specified bankruptcy, insolvency or similar circumstances, or in the event of a force majeure event under certain circumstances. The agreement may be terminated by Pulmokine if we commence a legal action challenging the validity or enforceability of any licensed patents. We may terminate the agreement, either in its entirety or on a product-by-product basis, in the event of potential safety or efficacy concerns affecting a licensed product.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intellectual property rights co-owned by Pulmokine and Gilead Sciences are subject to a license agreement, or the Gilead Agreement, between Pulmokine and Gilead Sciences. Under the Gilead Agreement, Pulmokine is required to use commercially reasonable efforts to develop and commercialize at least one licensed product, which obligation can be satisfied through our development efforts required under the Pulmokine Agreement, and to pay Gilead Sciences future regulatory milestone payments and royalties. Upon termination of the Gilead Agreement for any reason, our sublicense under the Pulmokine Agreement will survive provided that we did not cause a material breach that was the basis for such termination and we agree to be bound by the terms of the Gilead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Upon termination of the Pulmokine Agreement for any reason, all rights and licenses granted to us under the agreement will terminate and revert to Pulmokine, and in the event of certain termination events, we would grant Pulmokine worldwide rights to the terminated program.</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Chiesi</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May 3, 2024, we, GB002, Inc., our wholly-owned subsidiary, and Gossamer Bio 002 Ltd., our indirect wholly-owned subsidiary, entered into a collaboration agreement with Chiesi. The collaboration is focused on the development and commercialization of seralutinib and licensed products including seralutinib and related licensed compounds, or Licensed Products, in the United States and the rest of the world, or the ROW Territory, for the treatment of PAH and PH-ILD and other indications, as may be permitted under the collaboration agreement.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Pursuant to the collaboration agreement, we granted exclusive, sublicensable (with our consent required in the United States for third party sublicenses) licenses to Chiesi under intellectual property rights controlled by us relating to Licensed Products, for the worldwide development, manufacture and commercialization of seralutinib and Licensed Products for therapeutic, prophylactic and diagnostic uses in humans and animals. The licenses granted to Chiesi are subject to retained rights of our Company for the worldwide development and manufacture of seralutinib and Licensed Products, commercialization of Licensed Products in the United States, and performance of our obligations and exercise of our rights that may be set forth in the global development plan and U.S. commercialization plan, in each case in accordance with the collaboration agreement.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Chiesi granted us a non-exclusive, sublicensable (with Chiesi’s consent required in the US Territory for third party sublicenses) licenses under certain practiced intellectual property rights relating to seralutinib and Licensed Products and arising intellectual property rights, in each case as controlled by Chiesi, for the worldwide development and manufacture of seralutinib and Licensed Product and a co-exclusive license (with Chiesi) to commercialize seralutinib and Licensed Products in the US Territory.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agreed to use commercially reasonable efforts to conduct development and commercialization activities in relation to seralutinib and Licensed Products, under the global development plan and U.S. commercialization plan in accordance with the timelines therein. We will continue to lead global development of seralutinib in PAH and PH-ILD, and we and Chiesi will equally share the costs for the activities included in the global development plan for all Licensed Products, with the exception of the PROSERA Phase 3 study, which we will be solely responsible for conducting at our own cost and expense. With respect to each country in the ROW Territory, such obligation to equally share such development costs shall end when regulatory approval is received for a Licensed Product in such country. With respect to United States, the development costs incurred following regulatory approval shall continue to be shared equally. We will lead commercialization for PAH and PH-ILD in the United States, with both parties contributing 50 percent of commercial efforts, including performing 50 percent of the commercialization activities. Chiesi will lead commercialization in the United States in additional indications, and Chiesi will have the exclusive right to commercialize Licensed Products in the ROW Territory. Chiesi further agreed to use commercially reasonable efforts to commercialize Licensed Product in certain specified countries in the ROW Territory following receipt of regulatory approvals. Generally, we will have the right to lead in manufacturing commercial supply of seralutinib and Licensed Products for the United States for PAH and PH-ILD, and, subject to any of our existing obligations of to third party manufacturers, Chiesi will have the right to lead in manufacturing commercial supply of seralutinib and Licensed Products in the ROW Territory, in each case in accordance with the collaboration agreement.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Pursuant to the collaboration agreement, neither party nor its affiliates is permitted to develop or commercialize any compound or product throughout the term whose primary mechanism of action is inhibition of a tyrosine kinase for the treatment of PAH or PH-ILD in the United States or ROW Territory, subject to certain restrictions for the EU and UK.</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consideration and as reimbursement for our development costs, Chiesi agreed to pay us $160.0 million. Additionally, we will be eligible to receive up to $146.0 million in regulatory milestones and $180.0 million in sales milestones. In the United States, the parties agreed to share commercial profits and losses equally. In the ROW Territory, Chiesi will pay us an escalating mid-to-high teens percentage royalty, subject to standard deductions, on net sales of Licensed Product for PAH and additional indications on a Licensed Product-by-Licensed Product and country-by-country basis with such payment obligations beginning on the first commercial sale of Licensed Product in such country and expiring on a country-by-country basis on the latest of (a) the expiration of a valid claim to our patent right in such country, (b) the expiration of regulatory exclusivity, and (c) the date that is 10 years after the first commercial sale of such Licensed Product in such country.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Unless earlier terminated, the collaboration agreement will remain in force until no Licensed Products are being developed or commercialized in the United States and in the ROW Territory, on a country-by-country basis, until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royalty terms are in effect for all countries. Either party may terminate the collaboration agreement for the other party’s material breach, subject to a specified notice and cure periods, or due to an insolvency event of the other party. In lieu of termination upon a party’s material breach due to non-payment of development costs within a specified time the non-breaching party may elect an alternative remedy which may involve modifications to their performance and payment obligations. We have the right to terminate by providing written notice in the event Chiesi or its affiliates or sublicensee brings a patent challenge and Chiesi does not take certain steps to withdraw from or cease supporting such challenge. Chiesi may terminate the collaboration agreement for any reason upon prior written notice to us, subject to a notice period.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currently rely on multiple third-party manufacturers for the manufacture of seralutinib for preclinical and clinical testing. We intend to rely on third-party contract manufacturers for commercial manufacturing if seralutinib receives marketing approval. Typically, there are multiple sources for all of the materials required for the manufacture of seralutinib. Our manufacturing strategy enables us to more efficiently direct financial resources to the research, development and commercialization of seralutinib rather than diverting resources to internally develop manufacturing facilities. As seralutinib advances through development, we expect to enter into longer-term commercial supply agreements with key suppliers and manufacturers to fulfill and secure our production needs.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strive to protect the proprietary technology, inventions and improvements that are commercially important to our business, including seeking, maintaining, and defending patent rights, whether developed internally or licensed from third parties. We also rely on trade secrets and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preserve the confidentiality of our trade secrets; to defend and enforce our proprietary rights, including any patents that we may own in the future; and to operate without infringing on the valid and enforceable patents and other proprietary rights of third parties. Intellectual property rights may not address all potential threats to our competitive advantage.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December 31, 2025, with respect to seralutinib, we have exclusively licensed two issued U.S. patents owned by Pulmokine, which are not due to expire before 2037, excluding any additional term for patent term extension; one pending U.S. Patent application, which, if issued, is not due to expire before 2037, excluding any additional term for patent term extension; and a number of patents and pending applications in other jurisdictions, including issued patents in Mexico, Russia, Australia, India, Japan, South Korea, and New Zealand, and pending applications in, Brazil, Canada, China, the European Patent Convention, and New Zealand, which, if issued, are not due to expire before 2037, excluding any additional term for patent term extension. These patents and patent applications are directed to method of use claims. We have also exclusively licensed four issued U.S. patents co-owned by Pulmokine and Gilead Sciences, Inc., which are not due to expire before 2034, excluding any additional term for patent term extension; two pending U.S. patent applications which, if issued, are not due to expire before 2034, excluding any additional term for patent term extension; and a number of patents and pending patent applications in other jurisdictions, including issued patents in Australia, Canada, China, the European Patent Convention, Japan, and Hong Kong. These patents and patent applications are directed to seralutinib compound, formulation and method of use claims. We also own a pending patent application, which, if issued, is not due to expire before 2042, directed to forms of seralutinib, and a pending application, which, if issued, is not due to expire before 2043, directed to combination treatment with seralutinib.</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new drug application, or NDA, process before it may be legally marketed in the United States.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Seralutinib is subject to regulation as a combination product, which means that it is composed of both a drug product and device product. If marketed individually, each component would be subject to different regulatory pathways and reviewed by different centers within the FDA. A combination product, however, is assigned to a Center that will have primary jurisdiction over its regulation based on a determination of the combination product’s primary mode of action, which is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single mode of action that provides the most important therapeutic action. In the case of seralutinib, the primary mode of action is attributable to the drug component of the product, which means that the FDA’s Center for Drug Evaluation and Research has primary jurisdiction over the premarket development, review and approval. Accordingly, we plan to investigate seralutinib through the Investigational New Drug, or IND, framework and seek approval through the NDA pathway. We do not anticipate that the FDA will require a separate medical device authorization for the device, but this could change during the course of its review of any marketing application that we may submit.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 Drug Development Process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the United States, the FDA regulates drugs under the federal Food, Drug, and Cosmetic Act, or the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process required by the FDA before a drug may be marketed in the United States generally involves the following: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completion of certain preclinical laboratory tests, animal studies and formulation studies in accordance with Good Laboratory Practice, or GLP, regulations and other applicable regulations;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submission to the FDA of an IND, which must become effective before human clinical trials may begin;</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approval by an independent institutional review board, or IRB, or ethics committee at each clinical site before each trial may be initiated;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performance of adequate and well-controlled human clinical trials in accordance with Good Clinical Practice, or GCP, regulations to establish the safety and efficacy of the proposed drug for its intended use;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submission to the FDA of an NDA;</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satisfactory completion of an FDA advisory committee review, if applicable;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satisfactory completion of an FDA inspection of the manufacturing facility or facilities at which the drug is produced to assess compliance with current GMP, or cGMP, requirements to assure that the facilities, methods and controls are adequate to preserve the drug’s identity, strength, quality and purity, and potential inspection of selected clinical investigation sites to assess compliance with GCPs;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FDA review and approval of the NDA to permit commercial marketing of the product for particular indications for use in the United States.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Once a pharmaceutical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the IND. An IND is a request for allowance from the FDA to administer an investigational drug product to humans. The sponsor will also include a protocol detailing, among other things, the objectives of the clinical trial, the parameters to be used in monitoring safety, and the effectiveness criteria to be evaluated, if the clinical trial lends itself to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trials may not begin or continue under the IND until the FDA notifies the sponsor that the hold has been lifted. Submission of an IND therefore may or may not result in FDA allowance to begin a clinical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All clinical trials must be conducted under the supervision of one or more qualified investigators in accordance with GCP regulations, which among other things, include the requirement that all research subjects provide their informed consent in writing for their participation in any clinical trial. Clinical Trials must be conducted under protocols detailing, among other things, the objectives of the trial, dosing procedures, subject selection and exclusion criteria and the safety and effectiveness criteria to be evaluated. Each protocol must be submitted to the FDA as part of the IND as well as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Furthermore, an independent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trials and completed trial results to public registries. Sponsors of certain clinical trials of FDA-regulated products are required to register and disclose specified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these trials can be delayed until the new product or new indication being studied has been approved.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Human clinical trials are typically conducted in three sequential phases that may overlap or be combined: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i/>
          <w:color w:val="000000"/>
          <w:sz w:val="20"/>
        </w:rPr>
        <w:t>Phase 1</w:t>
      </w:r>
      <w:r>
        <w:rPr>
          <w:rFonts w:ascii="Times New Roman;serif" w:hAnsi="Times New Roman;serif"/>
          <w:b w:val="false"/>
          <w:color w:val="000000"/>
          <w:sz w:val="20"/>
        </w:rPr>
        <w:t>: The product candidate is initially introduced into healthy human volunteers and tested for safety, dosage tolerance, absorption, metabolism, distribution and excretion and, if possible, to gain an early indication of its effectiveness. In the case of some products for severe or life-threatening diseases, such as cancer, especially when the product may be too inherently toxic to ethically administer to healthy volunteers, the initial human testing is often conducted in patients.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i/>
          <w:color w:val="000000"/>
          <w:sz w:val="20"/>
        </w:rPr>
        <w:t>Phase 2</w:t>
      </w:r>
      <w:r>
        <w:rPr>
          <w:rFonts w:ascii="Times New Roman;serif" w:hAnsi="Times New Roman;serif"/>
          <w:b w:val="false"/>
          <w:color w:val="000000"/>
          <w:sz w:val="20"/>
        </w:rPr>
        <w:t>: The product candidate is evaluated in a limited patient population to identify possible adverse effects and safety risks, to preliminarily evaluate the efficacy of the product for specific targeted diseases and to determine dosage tolerance and appropriate dosage.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i/>
          <w:color w:val="000000"/>
          <w:sz w:val="20"/>
        </w:rPr>
        <w:t>Phase 3</w:t>
      </w:r>
      <w:r>
        <w:rPr>
          <w:rFonts w:ascii="Times New Roman;serif" w:hAnsi="Times New Roman;serif"/>
          <w:b w:val="false"/>
          <w:color w:val="000000"/>
          <w:sz w:val="20"/>
        </w:rPr>
        <w:t>: The product candidate is further evaluated for dosage, clinical efficacy and safety in an expanded patient population, generally at geographically dispersed clinical study sites. These clinical trials are intended to establish the overall risk-benefit ratio of the product candidate and provide an adequate basis for product labeling.</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and/or for the sponsor and the FDA to reach agreement on the next phase of development.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Regulation of Combination Products in the United States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Certain products may be comprised of components, such as drug components and device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 product comprised of two or more regulated components that are physically, chemically, or otherwise combined or mixed and produced as a single entity;</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two or more separate products packaged together in a single package or as a unit and comprised of drug and device products, device and biological products, or biological and drug products;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any investigational drug, or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combination product with a drug primary mode of action generally would be reviewed and approved pursuant to the drug approval processes under the FDCA.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Quality System, regulations applicable to medical devices.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NDA Review and Approval Process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results of product development, including results from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The FDA conducts a preliminary review of an NDA within the first 60 days after submission, before accepting the application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or other significant and time consuming requirements related to clinical trials, nonclinical studies or manufacturing. If a Complete Response Letter is issued, the sponsor must resubmit the NDA or, addressing all of the deficiencies identified in the letter, or withdraw the application. Even if such data and information are submitted, the FDA may decide that the NDA does not satisfy the criteria for approval.</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additional clinical or non-clinical testing, including Phase 4 testing, to further assess a drug’s safety and effectiveness after NDA approval, and may require additional testing and surveillance programs to monitor the safety of approved products. The FDA may also place other conditions on approval including the requirement for a risk evaluation and mitigation strategy, or REMS, to assure the safe use of the drug. If the FDA concludes a REMS is needed, the sponsor of the NDA must submit a proposed REMS, and the FDA will not approve the application without an approved REMS.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Orphan Drug Designation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approved use or indication within such rare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 clinical trial costs, tax advantages and user-fee waivers. However, competitors, may receive approval of different products for the indication for which the orphan product has exclusivity or obtain approval for the same product but for a different indication for which the orphan product has exclusivity.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if an orphan designated product receives marketing approval for a disease or condition broader than what is designated, it may not be entitled to orphan exclusivity.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within the relevant approved use or indication or the manufacturer of the approved product is unable to assure sufficient quantities of the product to meet the needs relating to the approved use or indication of patients with the rare disease or condition.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Expedited Development and Review Programs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sponsor may seek approval of its product candidate under programs designed to expedite FDA’s review and approval of new drugs and biological products that meet certain criteria. For example, the FDA has a fast track designation program that is intended to expedite or facilitate the process for reviewing new drug products that meet certain criteria. Specifically, a product candidate is eligible for fast track designation if it is intended to treat a serious or life-threatening disease or condition and demonstrates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development. With regard to a fast track product, the FDA may also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Any NDA for a product candidate submitted to the FDA for approval, including for a product candidate with a fast track designation or breakthrough designation, may also be eligible for other types of FDA programs intended to expedite development and review, such as priority review.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The FDA will attempt to direct additional resources to the evaluation of an application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depending on the design of the applicable clinical trials, a product candidate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will generally require that a sponsor of a drug receiving accelerated approval perform adequate and well-controlled confirmatory clinical trials and may require that such confirmatory trials be underway prior to granting accelerated approval. In addition, the FDA currently requires as a condition for accelerated approval pre-approval of promotional materials, which could adversely impact the timing of the commercial launch of the product. FDA may withdraw approval of a drug or indication approved under accelerated approval on an expedited basis if, for example, the confirmatory trial fails to verify the predicted clinical benefit of the product or if the sponsor fails to conduct such trials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candidate no longer meets the conditions for qualification or decide that the time period for FDA review or approval will not be shortened.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Post-Approval Requirements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Once an approval is granted, the FDA may withdraw the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After approval, some types of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regulations and other laws and regulations. In addition, 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Any drug products manufactured or distributed pursuant to FDA approvals will be subject to pervasive and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and imposes requirements and restrictions on drug manufacturers,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on post-approval clinical trials,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Marketing Exclusivity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Pediatric exclusivity is another type of marketing exclusivity available in the United States. Pediatric exclusivity provides for an additional six months of marketing exclusivity attached to an existing period of regulatory exclusivity or patent term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 Coverage and Reimbursement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seralutinib can be subject to challenge, reduction or denial by third-party payors.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process for determining whether a third-party payor will provide coverage for a product is typically separate from the process for setting the reimbursement rate that the payor will pay for the product. A third-party payor’s decision to provide coverage for a product does not imply that an adequate reimbursement rate will be available. Additionally, in the United States there is no uniform policy among payors for coverage or reimbursement.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If coverage and adequate reimbursement are not available, or are available only at limited levels, successful commercialization of, and obtaining a satisfactory financial return on, any product we develop may not be possible.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marketing, we may need to conduct expensive studies in order to demonstrate the medical necessity and cost-effectiveness of any products, which would be in addition to the costs expended to obtain regulatory approvals. Third-party payors may not consider seralutinib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Healthcare Reform</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the United States and some foreign jurisdictions, there has been, and we expect there will continue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and regulations, as well as other healthcare reform measures that may be adopted in the future, may result in more rigorous coverage criteria and additional downward pressure on the price that we may receive for seralutinib. In particular, there have been and continue to be a number of initiatives at the U.S. federal and state levels that seek to reduce healthcare costs and improve the quality of healthcare.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For example, in 2010, the ACA was enacted in the United States. Among the provisions of the ACA of importance to seralutinib,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established a new Patient-Centered Outcomes Research Institute to oversee, and established a Center for Medicare and Medicaid Innovation at CMS to test innovative payment and service delivery models to lower Medicare and Medicaid spending.</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Since its enactment, there have been judicial and political challenges to certain aspects of the ACA. On June 17, 2021, the U.S. Supreme Court dismissed the most recent judicial challenge to the ACA brought by several states without specifically ruling on the constitutionality of the ACA.</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there has been heightened governmental scrutiny in the United States of pharmaceutical pricing practices in light of the rising cost of prescription drugs. Such scrutiny has resulted in several recent congressional inquiries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proposed and enacted federal and state legislation designed to, among other things, bring more transparency to product pricing, review the relationship between pricing and manufacturer patient programs, and reform government program reimbursement methodologies for products.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Inflation Reduction Act, or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became effective in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ability to generate revenue, attain profitability or commercialize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Furthermore, 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seralutinib.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seralutinib, if approved, or put pressure on our product pricing, which could negatively affect our business, results of operations, financial condition and prospects.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similar political, economic and regulatory developments may affect our or Chiesi's ability to profitably commercialize, or co-commercialize, seralutinib, if approved. For instance, on December 13, 2021, Regulation No 2021/2282 on Health Technology Assessment, or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expect that healthcare reform measures that may be adopted in the future may result in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Healthcare Fraud and Abuse Laws and Compliance Requirements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Federal, state and foreign healthcare laws and regulations restrict business practices in the biopharmaceutical industry. These laws include anti-kickback and false claims laws and regulations, and transparency laws and regulations.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federal civil and criminal false claims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civil False Claims Act.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federal Health Insurance Portability and Accountability Act of 1996, or HIPAA, created additional federal civil and criminal statutes that prohibit, among other things, knowingly and willfully executing a scheme to defraud any healthcare benefit program. Similar to the federal Anti-Kickback Statute, A person or entity does not need to have actual knowledge of this statute or specific intent to violate it in order to have committed a violation.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certain non-physician providers including physician assistants and nurse practitioners, and teaching hospitals, and applicable manufacturers and applicable group purchasing organizations to report annually to CMS ownership and investment interests held by physicians (as defined by statute) and their immediate family members.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Similar state, local and foreign laws and regulations may also restrict business practices in the biopharmaceutical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and state and local laws that require the registration of pharmaceutical sales representatives.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Foreign laws and regulations may be broader in scope than the provisions described above and may apply regardless of payor. These laws and regulations may differ from one another in significant ways, thus further complicating compliance efforts. For instance, 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Efforts to ensure compliance with applicable healthcare laws and regulations can involve substantial costs. Violations of healthcare laws can result in significant penalties, including the imposition of significant civil, criminal and administrative penalties, damages, monetary fines, disgorgement, individual imprisonment, possible exclusion from participation in Medicare, Medicaid and other U.S. and foreign healthcare programs, integrity oversight and reporting obligations, contractual damages, reputational harm, diminished profits and future earnings, and curtailment or restructuring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 Data Privacy and Security Laws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Numerous state and federal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federal and state consumer protection laws and regulations that govern the collection, use, disclosure, and protection of health-related and other personal information could apply to our operations or the operations of our partners.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Regulation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market any product outside of the United States, we need to comply with numerous and varying regulatory requirements of other countries and jurisdictions regarding quality, safety and efficacy and governing, among other things, clinical trials, marketing authorization, or MA, commercial sales and distribution of our products.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EU,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Failure to comply with applicable foreign regulatory requirements, may be subject to, among other things, fines, suspension or withdrawal of regulatory approvals, product recalls, seizure of products, operating restrictions and criminal prosecution.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Non-clinical studies and clinical trials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Similar to the U.S., the various phases of non-clinical and clinical research in the EU are subject to significant regulatory controls.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Non-clinical studies are performed to demonstrate the health or environmental safety of new chemical or biological substances. Non-clinical (pharmaco-toxicological) studies must be conducted in compliance with the principles of good laboratory practice, or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Certain countries outside of the United States have a similar process that requires the submission of a clinical trial application, or CTA, much like the IND prior to the commencement of human clinical trials. Clinical trials of medicinal products in the EU must be conducted in accordance with EU and national regulations and the International Council for Harmonization of Technical Requirements for Pharmaceuticals for Human Use, or ICH, guidelines on GCP as well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While the EU Clinical Trials Directive required a separate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trial development may proceed.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CTR transition period ended on January 31, 2025, and all clinical trials (and related applications) are now fully subject to the provisions of the CTR.</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Medicines used in clinical trials must be manufactured in accordance with Good Manufacturing Practices, or GMP. Other national and EU-wide regulatory requirements may also apply.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Marketing Authorization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To market a medicinal product in the EU, we must obtain a MA. To obtain regulatory approval of an investigational medicinal product under EU regulatory systems, we must submit a MA application, or MAA. The process for doing this depends, among other things, on the nature of the medicinal product. There are two types of MAs: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Centralized MAs” are issued by the EC through the centralized procedure, based on the opinion of the Committee for Medicinal Products for Human Use, or CHMP, of the European Medicines Agency, or EMA, and are valid throughout the EU. The centralized procedure is mandatory for certain types of products, such as: (i) medicinal products derived from biotechnology medicinal products, (ii) designated orphan medicinal products, (iii) advanced therapy medicinal products, or ATMPs, and (iv) medicinal products containing a new active substance indicated for the treatment certain diseases, such as HIV/AIDS, cancer, neurodegenerative diseases, diabetes, auto-immune and other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National MAs” are issued by the competent authorities of the EU member states, only cover their respective territory, and are available for products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Under the above described procedures, before granting the MA, the regulatory authorities make an assessment of the risk-benefit balance of the product on the basis of scientific criteria concerning its quality, safety and efficacy.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centralized procedure the maximum timeframe for the evaluation of a MAA by the EMA is 210 days.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Moreover, 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 Furthermore,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severe diseases or unmet medical needs and the applicant does not hold the complete data set legally required for the grant of a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MAs have an initial duration of five years. After these five years, the authorization may be renewed for an unlimited period on the basis of a reevaluation of the risk-benefit balance.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Data and marketing exclusivity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the EU, new products authorized for marketing, or reference products,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During the additional two</w:t>
        <w:noBreakHyphen/>
        <w:t>year period of market exclusivity, a generic or biosimilar MAA can be submitted, and the innovator’s data may be referenced, but no generic or biosimilar product can be marketed until 10 years have elapsed from the initial MA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Pediatric development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MAAs for new medicinal product candidates have to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information, even when negative, the product is eligible for six months’ supplementary protection certificate extension (if any is in effect at the time of approval) or, in the case of orphan medicinal products, a two year extension of the orphan market exclusivity is granted.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Orphan designation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 criteria for designating an “orphan medicinal product” in the EU are similar in principle to those in the United States. A medicinal product may be designated as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an application for designation as an orphan product can be made any time prior to the filing of an MAA. Orphan designation entitles a party to incentives such fee reductions or fee waivers, protocol assistance, and access to the centralized procedure. Upon grant of a MA, orphan medicinal products are entitled to a ten-year period of market exclusivity for the approved therapeutic indication, which means that the regulatory authorities cannot accept another MAA, or grant a MA, or accept an application to extend a MA for a similar product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designation does not convey any advantage in, or shorten the duration of, the regulatory review and approval process.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orphan exclusivity period may, however, be reduced to six years if, at the end of the fifth year, it is established that the product no longer meets the criteria for orphan designation, for example because the product is sufficiently profitable not to justify market exclusivity, or where the prevalence of the condition has increased above the threshold. Granting of an authorization for another similar orphan medicinal product can happen at any time if: (i) the second applicant can establish that its product, although similar to the authorized product, is safer, more effective or otherwise clinically superior, (ii) inability of the applicant to supply sufficient quantities of the orphan medicinal product or (iii) where the applicant consents to a second orphan medicinal product application. A company may voluntarily remove a product from the orphan register.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Post-Approval Requirements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Similar to the United States, both MA holders and manufacturers of medicinal products are subject to comprehensive regulatory oversight by the EMA, the EC and/or the competent regulatory authorities of the member states. The holder of a MA must establish and maintain a pharmacovigilance system and appoint an individual qualified person for pharmacovigilance, or QPPV, who is responsible for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All new MAA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aforementioned EU rules are generally applicable in the European Economic Area, or EEA, which consists of the 27 EU member states plus Norway, Liechtenstein and Iceland.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pStyle w:val="TextBody"/>
        <w:bidi w:val="0"/>
        <w:spacing w:lineRule="auto" w:line="268" w:before="200" w:after="283"/>
        <w:jc w:val="left"/>
        <w:rPr>
          <w:rFonts w:ascii="Times New Roman;serif" w:hAnsi="Times New Roman;serif"/>
          <w:b/>
          <w:i/>
          <w:color w:val="000000"/>
          <w:sz w:val="20"/>
        </w:rPr>
      </w:pPr>
      <w:r>
        <w:rPr>
          <w:rFonts w:ascii="Times New Roman;serif" w:hAnsi="Times New Roman;serif"/>
          <w:b/>
          <w:i/>
          <w:color w:val="000000"/>
          <w:sz w:val="20"/>
        </w:rPr>
        <w:t>Regulation of Combination Products in the EU</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Drug-delivery products intended to administer a medicinal product where the medicinal product and the device form a single integral product are regulated as medicinal products in the EU. The EMA is responsible for evaluating the quality, safety and efficacy of MAAs submitted through the centralized procedure, including the safety and performance of the medical device in relation to its use with the medicinal product. The EMA or the EU member state national competent authority will assess the product in accordance with the rules for medicinal products described above but the device part must comply with the Medical Devices Regulation (including the general safety and performance requirements provided in Annex I). MAA must include – where available – the results of the assessment of the conformity of the device part with the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competent authority must require the applicant to provide a notified body opinion on the conformity of the device.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Medical Devices Regulation.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MAA for the medicinal product on the characteristics of the medical device(s) that may impact on the quality, safety and/or efficacy of the medicinal product.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 requirements regarding quality documentation for medicinal products when used with a medical device, including single integral products, co-packaged and referenced products, are outlined in the EMA guideline of July 22, 2021, which became applicable as of January 1, 2022.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aforementioned EU rules are generally applicable in the EEA.</w:t>
      </w:r>
    </w:p>
    <w:p>
      <w:pPr>
        <w:pStyle w:val="TextBody"/>
        <w:bidi w:val="0"/>
        <w:spacing w:lineRule="auto" w:line="268" w:before="200" w:after="283"/>
        <w:jc w:val="left"/>
        <w:rPr>
          <w:rFonts w:ascii="Times New Roman;serif" w:hAnsi="Times New Roman;serif"/>
          <w:b/>
          <w:i/>
          <w:color w:val="000000"/>
          <w:sz w:val="20"/>
        </w:rPr>
      </w:pPr>
      <w:r>
        <w:rPr>
          <w:rFonts w:ascii="Times New Roman;serif" w:hAnsi="Times New Roman;serif"/>
          <w:b/>
          <w:i/>
          <w:color w:val="000000"/>
          <w:sz w:val="20"/>
        </w:rPr>
        <w:t>Brexit and the Regulatory Framework in the United Kingdom</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Since the end of the Brexit transition period on January 1, 2021, and the implementation of the Windsor Framework on January 1, 2025, the United Kingdom, or UK, has not generally been directly subject to EU laws with respect to medicinal products. The EU laws that have been transposed into UK law through secondary legislation remain applicable in Great Britain (England, Scotland and Wales), or GB, however, new legislation such as the (EU) CTR is not generally applicable in GB. Whilst the EU-UK Trade and Cooperation Agreement, or TCA, includes the mutual recognition of GMP inspections of manufacturing facilities for medicinal products and GMP documents issued, it does not contain wholesale mutual recognition of UK and EU pharmaceutical regulations and product standards.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UK Medicines and Medical Devices Act 2021 has introduced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Since January 1, 2021, the Medicines and Healthcare products Regulatory Agency, or MHRA, has been the UK’s standalone medicines and medical devices regulator. As a result of the Northern Ireland Protocol, different rules applied in Northern Ireland than in GB; broadly, Northern Ireland continued to follow the EU regulatory regime. However, on January 1, 2025, an arrangement called the “Windsor Framework” came into effect and reintegrated Northern Ireland under the regulatory authority of the MHRA with respect to medicinal products. The Windsor Framework removes EU licensing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processes, and EU labelling and serialization requirements in relation to Northern Ireland, and introduces a UK-wide licensing process for medicinal products.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MAs in the UK are governed by the Human Medicines Regulations (SI 2012/1916), as amended. Under the terms of the Windsor Framework, these MAs became valid for the whole of the UK from January 1, 2025. In order to use the centralized procedure to obtain an MA that will be valid throughout the EEA, companies must be established in the EEA. Therefore, since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Applications are governed by the Human Medicines Regulations (SI 2012/1916), as amended, and are made electronically through the MHRA Submissions Portal. The MHRA has introduced changes to national licensing procedures, including procedures to prioritize access to new medicinal products that will benefit patients, including a 150-day assessment (subject to clock-stops) and a rolling review procedure. In addition, an international recognition procedure, or IRP, has been in place since January 1, 2024, whereby the MHRA will have regard to decisions on the approval of MAs made by the EMA and certain other regulators when determining an application for a new UK MA. Pursuant to the IRP, the MHRA will take into account the expertise and decision-making of trusted regulatory partners (i.e. the regulators in Australia, Canada, Switzerland, Singapore, Japan, the U.S. and the EU). The MHRA will conduct a targeted assessment of IRP applications but retain the authority to reject applications if the evidence provided is considered insufficiently robust. The IRP allows medicinal products approved by such trusted regulatory partners that meet certain criteria to undergo a fast-tracked MHRA review to obtain and/or update an MA in the UK. Applications should be decided within a maximum of 60 days if there are no major objections identified that cannot be resolved within such 60-day period and the approval from the trusted regulatory partner selected has been granted within the previous 2 years or if there are such major objections identified or such approval has not been granted within the previous 2 years within 110 days. Applicants can submit initial MAAs to the IRP but the procedure can also be used throughout the lifecycle of a product for post-authorization procedures including line extensions, variations and renewals. In the UK, the initial duration of an MA is five years and following renewal will be valid for an unlimited period unless the MHRA decides on justified grounds relating to pharmacovigilance, to proceed with only one additional 5-year renewal. Any authorization which is not followed by the actual placing of the medicinal product on the market in the UK within 3 years shall cease to be in force.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pre-MA orphan designation in the UK. Instead, the MHRA reviews applications for orphan designation in parallel to the corresponding MA application. The criteria are essentially the same,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UK regulatory framework in relation to clinical trials is derived from the now-repealed EU Clinical Trials Directive (as implemented into UK law, through the Medicines for Human Use (Clinical Trials) Regulations 2004, as amended). In April 2025, the UK government introduced the Medicines for Human Use (Clinical Trials) Amendment Regulations 2024. The amendment, which will take effect from April 2026, aims to provide a more flexible regime to make it easier to conduct clinical trials in the UK, increase the transparency of clinical trials conducted in the UK and make clinical trials more patient centered.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Data Privacy and Security Laws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are also subject to laws and regulations in non-U.S. countries governing data privacy and the protection of personal data, including health-related data. Laws and regulations in the EU and other jurisdictions apply broadly to the collection, use, storage, disclosure, processing and security of personal data, and have generally become more stringent over time.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have assembled a deeply experienced and highly skilled group of industry veterans, scientists, clinicians and key opinion leaders from leading biotechnology and pharmaceutical companies, as well as leading academic centers from around the world. Our employees are a team of highly dedicated, passionate individuals who pride themselves on a culture of respect, humility, transparency, inclusion, dedication, collaboration and fun. Our ultimate goal is to enhance and extend the lives of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philosophy is to offer a comprehensive compensation and benefits package to support our greatest assets, our people, and our human capital resources objectives include, as applicable, identifying, attracting, retaining and motivating our highly qualified management and our clinical, scientific and other employees and consultants. The principal purposes of our equity and cash incentive plans are to attract, retain and motivate personnel through the granting of stock-based and cash-based compensation awards, in order to align our interests and the interests of our stockholders with those of our employees and consultants.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March 10, 2026, we had 161 full-time employees and 1 part-time employee. Of those 162 employees, 32, or 20%, have a Ph.D. or M.D., and 95, or 59%, are women. None of our employees are represented by labor unions or covered by collective bargaining agreements. We consider our relationship with our employees to be good.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were incorporated under the laws of the state of Delaware on October 26, 2015 under the name FSG, Bio, Inc. and changed our name to Gossamer Bio, Inc. in 2017. Our principal executive offices are located at 3115 Merryfield Row, Suite 120, San Diego, California 92121, and our telephone number is (858) 684-1300.</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internet address is www.gossamerbio.com. Our investor relations website is located at http://ir.gossamerbio.com. We make available free of charge on our investor relations website under “filings” our annual reports on Form 10-K, quarterly reports on Form 10-Q, current reports on Form 8-K, our directors’ and officers’ Section 16 reports and any amendments to those reports as soon as reasonably practicable after filing or furnishing such materials to the US Securities and Exchange Commission, or SEC. They are also available for free on the SEC’s website at www.sec.gov. We use our investor relations website as a means of disclosing material non-public information and for complying with our disclosure obligations under Regulation FD. Investors should monitor such website, in addition to following our press releases, SEC filings and public conference calls and webcasts. Information relating to our corporate governance is also included on our investor relations website. The information in or accessible through the SEC and our website are not incorporated into, and are not considered part of, this filing. Further, our references to the URLs for these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1A. Risk Factors.</w:t>
      </w:r>
    </w:p>
    <w:p>
      <w:pPr>
        <w:pStyle w:val="TextBody"/>
        <w:bidi w:val="0"/>
        <w:spacing w:lineRule="auto" w:line="288" w:before="200" w:after="283"/>
        <w:ind w:left="0" w:right="0" w:firstLine="1440"/>
        <w:jc w:val="left"/>
        <w:rPr>
          <w:rFonts w:ascii="Times New Roman;serif" w:hAnsi="Times New Roman;serif"/>
          <w:b w:val="false"/>
          <w:i/>
          <w:color w:val="000000"/>
          <w:sz w:val="20"/>
        </w:rPr>
      </w:pPr>
      <w:r>
        <w:rPr>
          <w:rFonts w:ascii="Times New Roman;serif" w:hAnsi="Times New Roman;serif"/>
          <w:b w:val="false"/>
          <w:i/>
          <w:color w:val="000000"/>
          <w:sz w:val="20"/>
        </w:rPr>
        <w:t>You should carefully consider the following risk factors, together with the other information contained in this annual report on Form 10-K, including our financial statements and the related notes and “Management’s Discussion and Analysis of Financial Condition and Results of Operations,” before making a decision to purchase or sell shares of our common stock.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The risk factors described below are a summary of the principal risk factors associated with an investment in us. These are not the only risks we face. You should carefully consider these risk factors, together with the risk factors set forth in this Item 1A. </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have a limited operating history, a history of losses and expect to incur additional losses in the future.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will require substantial additional financing to achieve our goals.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 xml:space="preserve">We depend heavily on the ability to advance seralutinib through clinical development successfully. </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results from the PROSERA Phase 3 clinical trial may not be sufficient to support FDA approval or continued development of seralutinib, which would materially and adversely harm our business.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may not realize the expected benefits from our recent workforce reduction.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Clinical drug development involves a lengthy and expensive process with an uncertain outcome, and the results of preclinical studies and early clinical trials are not necessarily predictive of future results.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business may be adversely affected by difficulties or delays in enrolling patients in our current or future clinical trials or the commencement or completion, or termination or suspension, of our current or future clinical trials.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operate in a highly regulated industry and such regulation may cause unanticipated delays or prevent the receipt of the required approvals to commercialize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are dependent on third parties to conduct our pre-clinical and clinical trials.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business activities could be adversely affected by a global pandemic and other epidemic diseases.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are dependent on third parties to manufacture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may not be successful in entering into or maintaining collaborations, licenses and other similar arrangements, including the maintenance of our collaboration with Chiesi.</w:t>
      </w:r>
    </w:p>
    <w:p>
      <w:pPr>
        <w:pStyle w:val="TextBody"/>
        <w:bidi w:val="0"/>
        <w:spacing w:lineRule="auto" w:line="288" w:before="200" w:after="283"/>
        <w:ind w:left="0" w:right="0" w:hanging="720"/>
        <w:jc w:val="left"/>
        <w:rPr/>
      </w:pPr>
      <w:r>
        <w:rPr>
          <w:color w:val="231F20"/>
        </w:rPr>
        <w:t>•</w:t>
      </w:r>
      <w:r>
        <w:rPr>
          <w:rFonts w:ascii="Times New Roman;serif" w:hAnsi="Times New Roman;serif"/>
          <w:b w:val="false"/>
          <w:color w:val="231F20"/>
          <w:sz w:val="20"/>
        </w:rPr>
        <w:t>I</w:t>
      </w:r>
      <w:r>
        <w:rPr>
          <w:rFonts w:ascii="Times New Roman;serif" w:hAnsi="Times New Roman;serif"/>
          <w:b w:val="false"/>
          <w:color w:val="000000"/>
          <w:sz w:val="20"/>
        </w:rPr>
        <w:t>f approved, the success of seralutinib will depend on meeting ongoing regulatory obligations, market acceptance and adequate coverage by governmental authorities and insurers.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face significant competition from other biotechnology and pharmaceutical companies, and our operating results will suffer if we fail to compete effectively.</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results of operations may fluctuate significantly.</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business relies on our ability to attract, retain and motivate highly qualified management, clinical and scientific personnel.</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If product liability lawsuits are brought against us, we may incur substantial liabilities and may be required to limit commercialization of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business relies on our ability to protect our intellectual property and our proprietary technologies.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must comply with our license agreements or we could lose our license rights to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stock price is volatile, and investors may incur substantial losses.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have been involved in securities class action litigation and could be subject in the future to securities class action litigation.</w:t>
      </w:r>
    </w:p>
    <w:p>
      <w:pPr>
        <w:pStyle w:val="TextBody"/>
        <w:bidi w:val="0"/>
        <w:spacing w:lineRule="auto" w:line="288" w:before="200" w:after="283"/>
        <w:jc w:val="both"/>
        <w:rPr>
          <w:rFonts w:ascii="Times New Roman;serif" w:hAnsi="Times New Roman;serif"/>
          <w:b/>
          <w:color w:val="231F20"/>
          <w:sz w:val="20"/>
        </w:rPr>
      </w:pPr>
      <w:r>
        <w:rPr>
          <w:rFonts w:ascii="Times New Roman;serif" w:hAnsi="Times New Roman;serif"/>
          <w:b/>
          <w:color w:val="231F20"/>
          <w:sz w:val="20"/>
        </w:rPr>
        <w:t>Risks Related to Our Limited Operating History, Financial Position and Capital Requirements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have a relatively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pStyle w:val="TextBody"/>
        <w:bidi w:val="0"/>
        <w:spacing w:lineRule="auto" w:line="288" w:before="200" w:after="283"/>
        <w:ind w:left="0" w:right="0" w:firstLine="1440"/>
        <w:jc w:val="both"/>
        <w:rPr>
          <w:rFonts w:ascii="Times New Roman;serif" w:hAnsi="Times New Roman;serif"/>
          <w:b w:val="false"/>
          <w:color w:val="231F20"/>
          <w:sz w:val="20"/>
        </w:rPr>
      </w:pPr>
      <w:r>
        <w:rPr>
          <w:rFonts w:ascii="Times New Roman;serif" w:hAnsi="Times New Roman;serif"/>
          <w:b w:val="false"/>
          <w:color w:val="231F20"/>
          <w:sz w:val="20"/>
        </w:rPr>
        <w:t>Biopharmaceutical product development is a highly speculative undertaking and involves a substantial degree of risk. We are a clinical-stage biopharmaceutical company with a relatively limited operating history upon which you can evaluate our business and prospects. We commenced operations in 2017, and to date, we have focused primarily on organizing and staffing our company, business planning, raising capital, identifying, acquiring and in-licensing product candidates and conducting preclinical studies and clinical trials. Seralutinib is in active clinical development. We have not yet demonstrated an ability to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both"/>
        <w:rPr/>
      </w:pPr>
      <w:r>
        <w:rPr>
          <w:rFonts w:ascii="Times New Roman;serif" w:hAnsi="Times New Roman;serif"/>
          <w:b w:val="false"/>
          <w:color w:val="231F20"/>
          <w:sz w:val="20"/>
        </w:rPr>
        <w:t xml:space="preserve">We have incurred significant operating losses since our inception. If seralutinib is not successfully developed and approved, we may never generate any revenue. Our net losses were </w:t>
      </w:r>
      <w:r>
        <w:rPr>
          <w:rFonts w:ascii="Times New Roman;serif" w:hAnsi="Times New Roman;serif"/>
          <w:b w:val="false"/>
          <w:color w:val="000000"/>
          <w:sz w:val="20"/>
        </w:rPr>
        <w:t>$170.4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$56.5 million</w:t>
      </w:r>
      <w:r>
        <w:rPr>
          <w:color w:val="231F20"/>
        </w:rPr>
        <w:t xml:space="preserve"> </w:t>
      </w:r>
      <w:r>
        <w:rPr>
          <w:rFonts w:ascii="Times New Roman;serif" w:hAnsi="Times New Roman;serif"/>
          <w:b w:val="false"/>
          <w:color w:val="231F20"/>
          <w:sz w:val="20"/>
        </w:rPr>
        <w:t xml:space="preserve">for the years ended December 31,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2024</w:t>
      </w:r>
      <w:r>
        <w:rPr>
          <w:rFonts w:ascii="Times New Roman;serif" w:hAnsi="Times New Roman;serif"/>
          <w:b w:val="false"/>
          <w:color w:val="231F20"/>
          <w:sz w:val="20"/>
        </w:rPr>
        <w:t xml:space="preserve">, respectively. As of December 31, </w:t>
      </w:r>
      <w:r>
        <w:rPr>
          <w:rFonts w:ascii="Times New Roman;serif" w:hAnsi="Times New Roman;serif"/>
          <w:b w:val="false"/>
          <w:color w:val="000000"/>
          <w:sz w:val="20"/>
        </w:rPr>
        <w:t>2025</w:t>
      </w:r>
      <w:r>
        <w:rPr>
          <w:rFonts w:ascii="Times New Roman;serif" w:hAnsi="Times New Roman;serif"/>
          <w:b w:val="false"/>
          <w:color w:val="231F20"/>
          <w:sz w:val="20"/>
        </w:rPr>
        <w:t xml:space="preserve">, we had an accumulated deficit of </w:t>
      </w:r>
      <w:r>
        <w:rPr>
          <w:rFonts w:ascii="Times New Roman;serif" w:hAnsi="Times New Roman;serif"/>
          <w:b w:val="false"/>
          <w:color w:val="000000"/>
          <w:sz w:val="20"/>
        </w:rPr>
        <w:t>$1,438.9 million</w:t>
      </w:r>
      <w:r>
        <w:rPr>
          <w:rFonts w:ascii="Times New Roman;serif" w:hAnsi="Times New Roman;serif"/>
          <w:b w:val="false"/>
          <w:color w:val="231F20"/>
          <w:sz w:val="20"/>
        </w:rPr>
        <w:t>. Substantially all of our losses have resulted from expenses incurred in connection with our research and development programs and from general and administrative costs associated with our operations. Seralutinib will require substantial additional time and resources, and may require additional development, before we would be able to receive regulatory approvals and begin generating revenue from product sales, if ever. We expect to continue to incur losses for the foreseeable future as we continue our development of, seek regulatory approval for and potentially commercialize seralutinib and seek to identify, assess, acquire, in-license or develop additional product candidates.</w:t>
      </w:r>
    </w:p>
    <w:p>
      <w:pPr>
        <w:pStyle w:val="TextBody"/>
        <w:bidi w:val="0"/>
        <w:spacing w:lineRule="auto" w:line="288" w:before="200" w:after="283"/>
        <w:ind w:left="0" w:right="0" w:firstLine="1440"/>
        <w:jc w:val="both"/>
        <w:rPr>
          <w:rFonts w:ascii="Times New Roman;serif" w:hAnsi="Times New Roman;serif"/>
          <w:b w:val="false"/>
          <w:color w:val="231F20"/>
          <w:sz w:val="20"/>
        </w:rPr>
      </w:pPr>
      <w:r>
        <w:rPr>
          <w:rFonts w:ascii="Times New Roman;serif" w:hAnsi="Times New Roman;serif"/>
          <w:b w:val="false"/>
          <w:color w:val="231F20"/>
          <w:sz w:val="20"/>
        </w:rPr>
        <w:t>To become and remain profitable, we must succeed in developing and eventually commercializing products that generate significant revenue. This will require us to be successful in a range of challenging activities, including completing clinical trials and preclinical studies of seralutinib, obtaining regulatory approval for seralutinib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candidates beyond seralutinib or even continue our operations. A decline in the value of our company could also cause you to lose all or part of your investment.</w:t>
      </w:r>
    </w:p>
    <w:p>
      <w:pPr>
        <w:pStyle w:val="TextBody"/>
        <w:bidi w:val="0"/>
        <w:spacing w:lineRule="auto" w:line="288" w:before="200" w:after="283"/>
        <w:jc w:val="both"/>
        <w:rPr/>
      </w:pPr>
      <w:r>
        <w:rPr>
          <w:rFonts w:ascii="Times New Roman;serif" w:hAnsi="Times New Roman;serif"/>
          <w:b/>
          <w:i/>
          <w:color w:val="231F20"/>
          <w:sz w:val="20"/>
        </w:rPr>
        <w:t>We will require substantial additional financing to achieve our goals, and a failure to obtain this necessary capital when needed on acceptable terms, or at all, could force us to delay, limit, reduce or terminate our seralutinib development program, commercialization efforts or other operations</w:t>
      </w:r>
      <w:r>
        <w:rPr>
          <w:rFonts w:ascii="Times New Roman;serif" w:hAnsi="Times New Roman;serif"/>
          <w:b/>
          <w:i/>
          <w:color w:val="000000"/>
          <w:sz w:val="20"/>
        </w:rPr>
        <w:t>.</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The development of biopharmaceutical product candidates is capital-intensive. We expect our expenses to remain high in connection with our ongoing activities, particularly as we conduct our ongoing and future clinical trials of seralutinib, continue research and development, and seek regulatory approval for seralutinib. In addition, as seralutinib progresses through development and toward commercialization, we will need to make milestone payments to Pulmokine from whom we have in-licensed seralutinib. Furthermore, if and to the extent we seek to acquire or in-license additional product candidates in the future, we may be required to make significant upfront payments, milestone payments, and/or licensing payments. If we obtain regulatory approval for seralutinib, we also expect to incur significant commercialization expenses related to product manufacturing, marketing, sales and distribution. Because the outcome of any clinical trial or preclinical study is highly uncertain, we cannot reasonably estimate the actual amounts necessary to successfully complete the development and commercialization of seralutinib.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We believe that our existing cash, cash equivalents and marketable securities will enable us to fund our operations into the first quarter of 2027. In particular, we expect that these funds will allow us to meet with the FDA to discuss a potential path forward for seralutinib in PAH and, subject to those discussions, to file an NDA with the FDA, although we will be required to raise additional capital to support any additional development required by the FDA prior to any NDA submission.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seralutinib.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Our future capital requirements will depend on many factors, including:</w:t>
      </w:r>
    </w:p>
    <w:p>
      <w:pPr>
        <w:pStyle w:val="TextBody"/>
        <w:bidi w:val="0"/>
        <w:spacing w:lineRule="auto" w:line="288" w:before="200" w:after="283"/>
        <w:ind w:left="0" w:right="0" w:hanging="720"/>
        <w:jc w:val="left"/>
        <w:rPr/>
      </w:pPr>
      <w:r>
        <w:rPr>
          <w:color w:val="231F20"/>
        </w:rPr>
        <w:t>•</w:t>
      </w:r>
      <w:r>
        <w:rPr>
          <w:rFonts w:ascii="Times New Roman;serif" w:hAnsi="Times New Roman;serif"/>
          <w:b w:val="false"/>
          <w:color w:val="231F20"/>
          <w:sz w:val="20"/>
        </w:rPr>
        <w:t>the outcome of our discussions with the FDA on a potential path forward for seralutinib in PAH;</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costs, timing and outcome of regulatory review of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type, number, scope, progress, expansions, results, costs and timing of, our clinical trials and preclinical studies of seralutinib or product candidates we may choose to pursue in the future or that may be required by regulatory agencies;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costs and timing of manufacturing for seralutinib, including commercial manufacturing if seralutinib is approved;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costs of obtaining, maintaining and enforcing our patents and other intellectual property rights;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efforts to enhance operational systems and hire additional personnel to satisfy our obligations as a public company, including enhanced internal controls over financial reporting;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costs associated with hiring additional personnel and consultants as our clinical activities increase;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timing and amount of the milestone or other payments we must make to Pulmokine from whom we have in-licensed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costs and timing of establishing or securing sales and marketing capabilities if seralutinib is approved;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ability to achieve sufficient market acceptance, coverage and adequate reimbursement from third-party payors and adequate market share and revenue for seralutinib, if approved;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terms and timing of establishing and maintaining collaborations, licenses and other similar arrangements;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costs associated with any products or technologies that we may in-license or acquire.</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Conducting clinical trials and preclinical studies is a time consuming, expensive and uncertain process that takes years to complete, and we may never generate the necessary data or results required to obtain regulatory approval and achieve product sales. In addition, seralutinib, if approved, may not achieve commercial success. Our commercial revenues, if any, will be derived from sales of products that we do not expect to be commercially available for many years, if at all.</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 In addition, we may seek additional capital due to favorable market conditions or liquidity or strategic considerations, even if we believe we have sufficient funds for our current or future operating plans.</w:t>
      </w:r>
    </w:p>
    <w:p>
      <w:pPr>
        <w:pStyle w:val="TextBody"/>
        <w:bidi w:val="0"/>
        <w:spacing w:lineRule="auto" w:line="288" w:before="200" w:after="283"/>
        <w:jc w:val="left"/>
        <w:rPr>
          <w:rFonts w:ascii="Times New Roman;serif" w:hAnsi="Times New Roman;serif"/>
          <w:b/>
          <w:i/>
          <w:color w:val="231F20"/>
          <w:sz w:val="20"/>
        </w:rPr>
      </w:pPr>
      <w:r>
        <w:rPr>
          <w:rFonts w:ascii="Times New Roman;serif" w:hAnsi="Times New Roman;serif"/>
          <w:b/>
          <w:i/>
          <w:color w:val="231F20"/>
          <w:sz w:val="20"/>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As of December 31, 2025, we have sold $200.0 million in aggregate principal amount of 5.00% convertible senior notes due 2027 and have approximately $96.5 million of other liabilities, including trade payables. We may also incur additional indebtedness or liabilities to meet our future financing needs. Our indebtedness and liabilities could have significant negative consequences for our stockholders and our business, results of operations and financial condition by, among other things: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increasing our vulnerability to adverse economic and industry conditions;</w:t>
      </w:r>
    </w:p>
    <w:p>
      <w:pPr>
        <w:pStyle w:val="TextBody"/>
        <w:bidi w:val="0"/>
        <w:spacing w:lineRule="auto" w:line="288" w:before="200" w:after="283"/>
        <w:ind w:left="0" w:right="0" w:hanging="720"/>
        <w:jc w:val="left"/>
        <w:rPr/>
      </w:pPr>
      <w:r>
        <w:rPr>
          <w:color w:val="231F20"/>
        </w:rPr>
        <w:t>•</w:t>
      </w:r>
      <w:r>
        <w:rPr>
          <w:rFonts w:ascii="Times New Roman;serif" w:hAnsi="Times New Roman;serif"/>
          <w:b w:val="false"/>
          <w:color w:val="231F20"/>
          <w:sz w:val="20"/>
        </w:rPr>
        <w:t>limiting our ability to obtain additional financing;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231F20"/>
          <w:sz w:val="20"/>
        </w:rPr>
        <w:t>requiring the dedication of a substantial portion of our cash flow from operations to service our indebtedness, which will reduce the amount of cash available for other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231F20"/>
          <w:sz w:val="20"/>
        </w:rPr>
        <w:t>limiting our flexibility to plan for, or react to, changes in our business;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231F20"/>
          <w:sz w:val="20"/>
        </w:rPr>
        <w:t>making it more difficult or expensive for a third party to acquire us;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231F20"/>
          <w:sz w:val="20"/>
        </w:rPr>
        <w:t>diluting the interests of our existing stockholders as a result of issuing shares of our common stock upon conversion of the notes;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231F20"/>
          <w:sz w:val="20"/>
        </w:rPr>
        <w:t>placing us at a possible competitive disadvantage with competitors that are less leveraged than us or have better access to capital; and</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 xml:space="preserve">Our business may not generate sufficient funds, and we may otherwise be unable to maintain sufficient cash reserves, to pay amounts due under our indebtedness, including the notes, and our cash needs may increase in the future. Given the uncertainty regarding the path forward for seralutinib following the results of our Phase 3 PROSERA study, we may be unable to raise additional capital or repay or refinance our existing indebtedness on acceptable terms, or at all. Our ability to refinance our outstanding notes, which mature in May 2027, will depend on the capital markets, investor sentiment on our prospects and our financial condition. If we are unable to repay or refinance the notes at maturity, we could be required to restructure our indebtedness and/or obtain additional equity capital on terms that may be onerous, unfavorable and highly dilutive, delay or curtail our development programs, sell assets, or seek protection under applicable bankruptcy or insolvency laws, any of which could have a material adverse effect on our business, prospects, financial condition and results of operations. </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In addition,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Additionally, if our liquidity position is impaired, we may be required to take further actions in relation to management of liabilities on our balance sheet. Any actions in relation to liability management and balance sheet restructuring may materially reduce the value of our common stock, dilute existing holders of our common stock by the conversion of existing liabilities into equity or result in the cancellation of existing common stock.</w:t>
      </w:r>
    </w:p>
    <w:p>
      <w:pPr>
        <w:pStyle w:val="TextBody"/>
        <w:bidi w:val="0"/>
        <w:spacing w:lineRule="auto" w:line="288" w:before="200" w:after="283"/>
        <w:jc w:val="left"/>
        <w:rPr/>
      </w:pPr>
      <w:r>
        <w:rPr>
          <w:rFonts w:ascii="Times New Roman;serif" w:hAnsi="Times New Roman;serif"/>
          <w:b/>
          <w:i/>
          <w:color w:val="231F20"/>
          <w:sz w:val="20"/>
        </w:rPr>
        <w:t>Raising additional capital may cause dilution to our stockholders, restrict our operations or require us to relinquish rights to our technologies or seralutinib</w:t>
      </w:r>
      <w:r>
        <w:rPr>
          <w:rFonts w:ascii="Times New Roman;serif" w:hAnsi="Times New Roman;serif"/>
          <w:b w:val="false"/>
          <w:color w:val="231F20"/>
          <w:sz w:val="20"/>
        </w:rPr>
        <w:t>.</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Until such time, if ever, as we can generate substantial product revenues, we expect to finance our cash needs through equity offerings, debt financings or other capital sources including potentially collaborations, licenses and other similar arrangements.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If we raise funds through future collaborations, licenses and other similar arrangements, we may have to relinquish valuable rights to our future revenue streams or grant licenses on terms that may not be favorable to us and/or that may reduce the value of our common stock.</w:t>
      </w: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Risks Related to the Development and Regulatory Approval of Seralutinib</w:t>
      </w:r>
    </w:p>
    <w:p>
      <w:pPr>
        <w:pStyle w:val="TextBody"/>
        <w:bidi w:val="0"/>
        <w:spacing w:lineRule="auto" w:line="288" w:before="200" w:after="283"/>
        <w:jc w:val="left"/>
        <w:rPr>
          <w:rFonts w:ascii="Times New Roman;serif" w:hAnsi="Times New Roman;serif"/>
          <w:b/>
          <w:i/>
          <w:color w:val="231F20"/>
          <w:sz w:val="20"/>
        </w:rPr>
      </w:pPr>
      <w:r>
        <w:rPr>
          <w:rFonts w:ascii="Times New Roman;serif" w:hAnsi="Times New Roman;serif"/>
          <w:b/>
          <w:i/>
          <w:color w:val="231F20"/>
          <w:sz w:val="20"/>
        </w:rPr>
        <w:t>The results from the PROSERA Phase 3 clinical trial may not be sufficient to support FDA approval or continued development of seralutinib, which would materially and adversely harm our business.</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 xml:space="preserve">In February 2026, we announced topline results from the Phase 3 PROSERA clinical trial of seralutinib in PAH, including that the study did not meet its primary endpoint. We plan to meet with the FDA in the second quarter of 2026 to review the PROSERA results with the aim to determine the path forward for seralutinib in PAH. In general, the FDA has substantial discretion in the approval process and may decide that the totality of our datasets are insufficient for approval and require additional preclinical, clinical or other trials, before we are able to submit an NDA for seralutinib, especially given that the PROSERA study did not meet its primary endpoint. Any such decision or feedback from the FDA would result in additional development costs and could significantly delay the potential for regulatory approval. We also may be unable to identify a viable development path towards approval for seralutinib, based on FDA feedback, our internal analysis of the data and market opportunity, or other factors. Even if we do identify a path to approval for seralutinib, we may require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additional capital and other resources to pursue such a path, and may be unable to raise such capital in the amounts needed or on attractive terms. There is also no assurance that any future trials or studies we may need to conduct will be successful. </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We may also pursue business development arrangements or other strategic collaborations; however, we may be unable to secure such arrangements on a timely basis or at all. If we are unable to develop or seek marketing approval for seralutinib or secure other strategic arrangements with third parties, or if we experience delays as a result of any of the above factors or otherwise, our business would be significantly harmed.</w:t>
      </w:r>
    </w:p>
    <w:p>
      <w:pPr>
        <w:pStyle w:val="TextBody"/>
        <w:bidi w:val="0"/>
        <w:spacing w:lineRule="auto" w:line="288" w:before="200" w:after="283"/>
        <w:jc w:val="left"/>
        <w:rPr>
          <w:rFonts w:ascii="Times New Roman;serif" w:hAnsi="Times New Roman;serif"/>
          <w:b/>
          <w:i/>
          <w:color w:val="231F20"/>
          <w:sz w:val="20"/>
        </w:rPr>
      </w:pPr>
      <w:r>
        <w:rPr>
          <w:rFonts w:ascii="Times New Roman;serif" w:hAnsi="Times New Roman;serif"/>
          <w:b/>
          <w:i/>
          <w:color w:val="231F20"/>
          <w:sz w:val="20"/>
        </w:rPr>
        <w:t>We may not realize the expected benefits from our recent workforce reduction.</w:t>
      </w:r>
    </w:p>
    <w:p>
      <w:pPr>
        <w:pStyle w:val="TextBody"/>
        <w:bidi w:val="0"/>
        <w:spacing w:lineRule="auto" w:line="288" w:before="200" w:after="283"/>
        <w:ind w:left="0" w:right="0" w:firstLine="1440"/>
        <w:jc w:val="left"/>
        <w:rPr/>
      </w:pPr>
      <w:r>
        <w:rPr>
          <w:rFonts w:ascii="Times New Roman;serif" w:hAnsi="Times New Roman;serif"/>
          <w:b w:val="false"/>
          <w:color w:val="231F20"/>
          <w:sz w:val="20"/>
        </w:rPr>
        <w:t xml:space="preserve">Following the topline results from PROSERA, in March 2026 we announced a workforce reduction of approximately </w:t>
      </w:r>
      <w:r>
        <w:rPr>
          <w:rFonts w:ascii="Times New Roman;serif" w:hAnsi="Times New Roman;serif"/>
          <w:b w:val="false"/>
          <w:color w:val="000000"/>
          <w:sz w:val="20"/>
        </w:rPr>
        <w:t>77</w:t>
      </w:r>
      <w:r>
        <w:rPr>
          <w:color w:val="231F20"/>
        </w:rPr>
        <w:t xml:space="preserve"> </w:t>
      </w:r>
      <w:r>
        <w:rPr>
          <w:rFonts w:ascii="Times New Roman;serif" w:hAnsi="Times New Roman;serif"/>
          <w:b w:val="false"/>
          <w:color w:val="231F20"/>
          <w:sz w:val="20"/>
        </w:rPr>
        <w:t>individuals, or approximately 48% of our total workforce, intended to preserve cash while maintaining our core capabilities as we discuss the path forward for seralutinib with the FDA. We also may not realize the benefits expected from the workforce reduction, including our ability to conserve cash, and such actions may make it more difficult to retain key personnel. This reduction-in-force may result in unintended consequences and costs, such as the loss of institutional knowledge and expertise and decreased morale among our remaining employees. Further, there can be no assurance that any particular course of action, development path or strategic arrangement will be pursued, successfully consummated or lead to increased stockholder value.</w:t>
      </w:r>
    </w:p>
    <w:p>
      <w:pPr>
        <w:pStyle w:val="TextBody"/>
        <w:bidi w:val="0"/>
        <w:spacing w:lineRule="auto" w:line="288" w:before="200" w:after="283"/>
        <w:jc w:val="left"/>
        <w:rPr/>
      </w:pPr>
      <w:r>
        <w:rPr>
          <w:rFonts w:ascii="Times New Roman;serif" w:hAnsi="Times New Roman;serif"/>
          <w:b/>
          <w:i/>
          <w:color w:val="000000"/>
          <w:sz w:val="20"/>
        </w:rPr>
        <w:t xml:space="preserve">We depend entirely on the success of </w:t>
      </w:r>
      <w:r>
        <w:rPr>
          <w:rFonts w:ascii="Times New Roman;serif" w:hAnsi="Times New Roman;serif"/>
          <w:b/>
          <w:i/>
          <w:color w:val="231F20"/>
          <w:sz w:val="20"/>
        </w:rPr>
        <w:t>seralutinib</w:t>
      </w:r>
      <w:r>
        <w:rPr>
          <w:rFonts w:ascii="Times New Roman;serif" w:hAnsi="Times New Roman;serif"/>
          <w:b/>
          <w:i/>
          <w:color w:val="000000"/>
          <w:sz w:val="20"/>
        </w:rPr>
        <w:t>, which is currently in Phase 3 clinical development. If we are unable to advance seralutinib in clinical development, obtain regulatory approval and ultimately commercialize seralutinib, or experience significant delays in doing so, our business will be materially harmed. In addition, we intend to continue advancing RT234 pursuant to our option agreement with Respira Therapeutics. We may not have sufficient capital or other resources to continue such program, and even if we do, any development efforts may not be successful or warrant continued development.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only product candidate is currently in Phase 3 clinical development. We are conducting an open-label extension of our Phase 2 clinical trial of seralutinib in PAH, which commenced in 2020, and an open-label extension of our Phase 3 clinical trial of seralutinib in PAH, which commenced in 2025. In February 2026, we also announced that we paused enrollment of our Phase 3 clinical trial of seralutinib in PH-ILD. In addition, we intend to continue advancing RT234 pursuant to our option agreement with Respira Therapeutics.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assumptions about why seralutinib is worthy of future development and potential approval in PAH, or any additional indications including PH-ILD, are based in part on data collected by other companies. Our ability to generate product revenues, which we do not expect will occur for many years, if ever, will depend heavily on the successful development and eventual commercialization of seralutinib. The success of seralutinib or RT234, if we exercise our option to acquire Respira Therapeutics, will depend on several factors, including the following: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regulatory authority acceptance of our proposed design of future clinical trials and allowance to proceed with such clinical trials under INDs by the FDA or under similar applications by comparable regulatory authorities;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demonstrating safety and efficacy to the satisfaction of applicable regulatory authorities;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receipt of marketing approvals from applicable regulatory authorities, including NDAs from the FDA and maintaining such approvals;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making arrangements with our third-party manufacturers for, or establishing, commercial manufacturing capabilities;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establishing sales, marketing and distribution capabilities and launching commercial sales of seralutinib, if and when approved, whether alone or in collaboration with others;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successful enrollment in clinical trials and completion of clinical trials and preclinical studies with favorable results;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establishment and maintenance of patent and trade secret protection or regulatory exclusivity for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maintaining an acceptable safety profile of seralutinib following any approval;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maintaining and growing an organization of people who can develop seralutinib and our technology.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Seralutinib is subject to regulation as a combination product, which means that it is composed of both a drug product and device product. If marketed individually, each component would be subject to different regulatory pathways and reviewed by different centers within the FDA. Seralutinib, will therefore require review and coordination by FDA’s drug and device centers prior to approval, which may delay approval. Under FDA regulations, combination products are subject to current good manufacturing practice, or cGMP, requirements applicable to both drugs and devices, including the Quality Management System regulation currently applicable to medical devices in the United States. The EU regulates medical devices and medicinal products separately, through different legislative instruments, and the applicable requirements will vary depending on the type of drug-device combination product. Problems associated with the device component of seralutinib may delay or prevent approval. If the manufacturer of the device products make modifications, or if we elect to change a device component or develop our own proprietary device component, we will need to perform validation testing and obtain FDA and other regulatory authorization or certification prior to using the modified device component. If the FDA, any other regulatory authority or notified body fails to authorize or certify use of those modified devices in combination with seralutinib or take significant enforcement action against the manufacturer of the device component, we would not be able to market or may have to suspend marketing seralutinib in certain jurisdictions.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success of our business, including our ability to finance our company and generate any revenue in the future, will primarily depend on the successful development, regulatory approval and commercialization of seralutinib, which may never occur. We have not yet succeeded and may not succeed in demonstrating efficacy and safety for seralutinib in clinical trials to the satisfaction of FDA or other regulatory authorities. Given our current stage of development and the results of our PROSERA Phase 3 clinical trial of seralutinib in PAH, it may be several years, if at all, before we have demonstrated the safety and efficacy of a treatment sufficient to warrant approval for commercialization. If we are unable to develop, or obtain regulatory approval for, or, if approved, successfully commercialize seralutinib, we may not be able to generate sufficient revenue to continue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Clinical drug development involves a lengthy and expensive process with an uncertain outcome, and the results of preclinical studies and early clinical trials are not necessarily predictive of future results. In addition, some of our assumptions about why seralutinib is worthy of future development and potential approval are based on data collected by other companies. Seralutinib may not receive regulatory approval on a timely basis, if at all.</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Clinical drug development is expensive and can take many years to complete, and its outcome is inherently uncertain. We cannot guarantee that any clinical trials will be conducted as planned or completed on schedule, if at all, and failure can occur at any time during the preclinical study or clinical trial process. Despite promising preclinical or clinical results, seralutinib may unexpectedly fail. The historical failure rate for product candidates in our industry is high.</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results from preclinical studies or clinical trials of seralutinib or a competitor’s product candidate in the same class may not predict the results of later clinical trials of seralutinib, and interim, topline or preliminary results of a clinical trial are not necessarily indicative of final results. Product candidates in later stages of clinical trials may fail to show the desired safety and efficacy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For example, in February 2026, we announced that the Phase 3 PROSERA clinical trial did not meet its primary endpoint . Moreover, these and any future preclinical and clinical data may be susceptible to varying interpretations and analyses. A number of companies in the pharmaceutical and biotechnology industries have suffered significant setbacks in clinical development even after achieving promising results in earlier studies.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For the foregoing reasons, we cannot be certain that our ongoing and future clinical trials and preclinical studies will be successful. Any safety concerns observed in any one of our clinical trials in our targeted indications could limit the prospects for regulatory approval of seralutinib in PAH and other indications that we may pursue in the future, including PH-ILD, which could have a material adverse effect on our business,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Any difficulties or delays in the commencement or completion, or termination or suspension, of our current or future clinical trials could result in increased costs to us, delay or limit our ability to generate revenue and adversely affect our commercial prospects.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Before obtaining marketing approval from regulatory authorities for the sale of seralutinib, we must conduct extensive clinical studies to demonstrate the safety and efficacy of seralutinib in humans. In addition, before we can initiate clinical development for our product candidates, and in some cases, before we can pursue clinical development of a product candidate for a new potential indication, we must submit the results of preclinical studies to the FDA along with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information, including information about product candidate chemistry, manufacturing and controls and our proposed clinical trial protocol, as part of an IND, and we are also required to submit regulatory filings to foreign regulatory authorities for clinical trials outside of the United States.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do not know whether our ongoing or future trials will begin on time or be completed on schedule, if at all. The commencement, data readouts and completion of clinical trials can be delayed for a number of reasons including delays related to:</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FDA or comparable foreign regulatory authorities disagreeing as to the design or implementation of our clinical studies, including the doses and endpoints of our ongoing or potential future Phase 3 clinical trial of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obtaining regulatory authorizations to commence a trial or reaching a consensus with regulatory authorities on trial design;</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any failure or delay in reaching an agreement with contract research organizations, or CROs, and clinical trial sites, the terms of which can be subject to extensive negotiation and may vary significantly among different CROs and trial sites;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obtaining approval or positive opinion from one or more institutional review boards, or IRBs or ethics committees;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IRBs refusing to approve, suspending or terminating a trial at an investigational site, precluding enrollment of additional subjects, or withdrawing their approval of a trial;</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changes to clinical trial protocol;</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clinical sites deviating from trial protocol or dropping out of a trial;</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manufacturing sufficient quantities of seralutinib or obtaining sufficient quantities of combination therapies for use in clinical trials;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subjects failing to enroll or remain in our trials at the rate we expect, or failing to return for post-treatment follow-up, including subjects failing to remain in our trials;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subjects choosing an alternative treatment for PAH or other indications including PH-ILD for which we are developing seralutinib, or participating in competing clinical trials;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lack of adequate funding to continue a clinical trial;</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subjects experiencing severe or unexpected drug-related adverse effects;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occurrence of serious adverse events in trials of the same class of agents conducted by other companies;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selection of clinical endpoints that require prolonged periods of clinical observation or analysis of the resulting data;</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 xml:space="preserve">a facility manufacturing seralutinib or any of its components, including the device component of orally inhaled </w:t>
      </w:r>
      <w:r>
        <w:rPr>
          <w:rFonts w:ascii="Times New Roman;serif" w:hAnsi="Times New Roman;serif"/>
          <w:b w:val="false"/>
          <w:color w:val="231F20"/>
          <w:sz w:val="20"/>
        </w:rPr>
        <w:t>seralutinib</w:t>
      </w:r>
      <w:r>
        <w:rPr>
          <w:rFonts w:ascii="Times New Roman;serif" w:hAnsi="Times New Roman;serif"/>
          <w:b w:val="false"/>
          <w:color w:val="000000"/>
          <w:sz w:val="20"/>
        </w:rPr>
        <w:t>, being ordered by the FDA or comparable foreign regulatory authorities to temporarily or permanently shut down due to violations of cGMP or similar foreign regulations or other applicable requirements, or infections or cross-contaminations of seralutinib in the manufacturing process;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any changes to our manufacturing process that may be necessary or desired;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 third-party contractors not performing data collection or analysis in a timely or accurate manner;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Such delays or regulatory feedback on our trial designs could also significantly increase the costs of our clinical trials, including any future clinical trials of seralutinib.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or ethics committees for reexamination, which may impact the costs, timing or successful completion of a clinical trial.</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or CTR, which was adopted in April 2014 and repeals the EU Clinical Trials Directive, became applicable on January 31, 2022. While the EU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concerned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contract research organizations, or CROs, may impact our developments plans.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UK regulatory framework in relation to clinical trials is derived from the now-repealed EU Clinical Trials Directive (as implemented into UK law, through the Medicines for Human Use (Clinical Trials) Regulations 2004, as amended). In April 2025, the UK government introduced the Medicines for Human Use (Clinical Trials) Amendment Regulations 2024. The amendment, which will take full effect from April 2026, aims to provide a more flexible regime to make it easier to conduct clinical trials in the UK, increase the transparency of clinical trials conducted in the UK and make clinical trials more patient centered. Under the terms of the Protocol on Ireland/Northern Ireland, provisions of the (EU) CTR which relate to the manufacture and import of investigational medicinal products and auxiliary medicinal products apply in Northern Ireland. Clinical trial submissions in the UK will not be able to be bundled with those of EU member states within the EMA CTIS, adding further complexity, cost and potential risk to future clinical and development activity in the UK.</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we are slow or unable to adapt to changes in existing requirements or the adoption of new requirements or policies governing clinical trials, our development plans may also be impacted.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Further, conducting clinical trials in foreign countries, as we currently and may continue to do for seralutinib,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including war, relevant to such foreign countries. For example, we are currently conducting the open label Phase 3 study of seralutinib in PAH at sites outside the United States.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we experience delays in the completion of, or termination of, any clinical trial of seralutinib, the commercial prospects of seralutinib will be harmed, and our ability to generate product revenues from seralutinib will be delayed. Moreover, any delays in completing our clinical trials will increase our costs, slow down development and approval process for seralutinib and jeopardize our ability to commence product sales and generate revenues.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many of the factors that cause, or lead to, termination or suspension of, or a delay in the commencement or completion of, clinical trials may also ultimately lead to the denial of regulatory approval of seralutinib. We may make formulation or manufacturing changes to seralutinib, in which case we may need to conduct additional preclinical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studies to bridge our modified seralutinib to an earlier version. Any delays to our clinical trials that occur as a result could shorten any period during which we may have the exclusive right to commercialize seralutinib and our competitors may be able to bring products to market before we do, and the commercial viability of seralutinib could be significantly reduced. Any of these occurrences may harm our business, financial condition and prospects significantly.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find it difficult to enroll patients in our clinical trials. If we encounter difficulties enrolling subjects in our clinical trials, our clinical development activities could be delayed or otherwise adversely affected.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may not be able to initiate or continue clinical trials for seralutinib if we are unable to identify and enroll a sufficient number of eligible patients to participate in these trials as may be required by the FDA or similar regulatory authorities outside the United States. Subject enrollment, a significant factor in the timing of clinical trials, is affected by many factors including the size and nature of the patient population, the proximity of patients to clinical sites, the eligibility and exclusion criteria for the trial, the design of the clinical trial, the risk that enrolled patients will not complete a clinical trial, our ability to recruit clinical trial investigators and associated staff with the appropriate competencies and experience, competing clinical trials and clinicians’ and patients’ perceptions as to the potential advantages and risks of the product candidate being studied in relation to other available therapies, including any new drugs that may be approved for the indications we are investigating as well as any drugs under development. We will be required to identify and enroll a sufficient number of subjects for each of our clinical trials. Potential subjects for any future clinical trials may not be adequately diagnosed or identified with the diseases which we are targeting or may not meet the entry criteria for such trials. For example, a limited number of patients are affected by PAH and other indications that we may pursue such as PH-ILD, and we have encountered difficulties enrolling patients in our previous clinical trials of seralutinib in PAH patients. We also may encounter difficulties in identifying and enrolling subjects with a stage of disease appropriate for any future trials of seralutinib and monitoring such subjects adequately during and after treatment. We may not be able to initiate or continue clinical trials if we are unable to locate a sufficient number of eligible subjects to participate in the clinical trials required by the FDA or comparable foreign regulatory authorities. In addition, the process of finding and diagnosing subjects may prove costly.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timing of our clinical trials depends, in part, on the speed at which we can recruit patients to participate in our trials, as well as completion of required follow-up periods. The eligibility criteria of our clinical trials, once established, will further limit the pool of available trial participants. For example, PAH is a rare disease with limited patient pools from which to draw. If patients are unwilling to participate in our trials for any reason, including the existence of concurrent clinical trials for similar patient populations in PAH, if they are unwilling to enroll in a clinical trial with a placebo-controlled design or the availability of approved therapies, or we otherwise have difficulty enrolling a sufficient number of patients, the timeline for recruiting subjects, conducting studies and obtaining regulatory approval of seralutinib may be delayed. Our inability to enroll a sufficient number of subjects for any of our future clinical trials would result in significant delays or may require us to abandon one or more clinical trials altogether. In addition, we expect to rely on CROs and clinical trial sites to ensure proper and timely conduct of our future clinical trials and, while we intend to enter into agreements governing their services, we will have limited influence over their actual performance.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cannot assure you that our assumptions used in determining expected clinical trial timelines are correct or that we will not experience delays in enrollment, which would result in the delay of completion of such trials beyond our expected timelines.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seralutinib could be associated with side effects, adverse events or other properties or safety risks, which could delay or preclude approval, cause us to suspend or discontinue clinical trials, abandon seralutinib, limit the commercial profile of an approved label or result in other significant negative consequences that could severely harm our business, prospects, results of operations and financial condition.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is the case with pharmaceuticals generally, it is likely that there may be side effects and adverse events associated with seralutinib’s use. Results of our clinical trials could reveal a high and unacceptable severity and prevalence of side effects or unexpected characteristics. Undesirable side effects caused by seralutinib could cause us or regulatory authorities to interrupt, delay or halt clinical trials and could result in a more restrictive label or the delay or denial of regulatory approval by the FDA or comparable foreign regulatory authorities. For example, transaminase elevations of three times or greater of the upper limit of normal were observed in 13% of patients receiving seralutinib, as compared to 1% of patients receiving placebo in our PROSERA Phase 3 clinical trial, and although we believe PAH clinicians are well-accustomed to administering and monitoring therapies with potential hepatic effects, such adverse events could adversely affect the development of seralutinib or otherwise impair any commercialization efforts for seralutinib, if approved.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Moreover, if seralutinib is associated with undesirable side effects in clinical trials or have characteristics that are unexpected, we may elect to abandon its development or limit its development to more narrow uses or subpopulations in which the undesirable side effects or other characteristics are less prevalent, less severe or more acceptable from a risk-benefit perspective, which may limit the commercial expectations for seralutinib if approved. We may also be required to modify our study plans based on findings in our ongoing clinical trials. For example, although we believe seralutinib has been generally well tolerated in completed clinical trials, with cough, headache and transaminase elevations being the most common treatment emergent adverse effects in our PROSERA Phase 3 clinical trial, future clinical trials may reveal adverse events inconsistent with the safety findings observed to date. For example, in 2013, results from a Phase 3 clinical trial in PAH of imatinib (Gleevec) showed statistically significant improvement in its primary efficacy endpoint, but systemic toxicities were also observed. Although we have not observed the systemic toxicities associated with imatinib, we cannot be certain that seralutinib will not exhibit similar or other toxicities in the future as the use of seralutinib becomes more widespread if it receives regulatory approval.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It is possible that as we test seralutinib in future clinical trials, or as the use of seralutinib becomes more widespread if it receives regulatory approval, illnesses, injuries, discomforts and other adverse events that were observed in earlier trials, as well as conditions that did not occur or went undetected in previous trials, will be reported by subjects. If such side effects become known later in development or upon approval, if any, such findings may harm our business, financial condition and prospects significantly.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if seralutinib receives marketing approval, and we or others later identify undesirable side effects caused by seralutinib, a number of potentially significant negative consequences could result, including: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regulatory authorities may withdraw, suspend or limit approvals of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may be required to recall a product or change the way seralutinib is administered to patients;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regulatory authorities may require additional warnings on the label, such as a “black box” warning or a contraindication;</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may be required to implement a Risk Evaluation and Mitigation Strategy, or REMS, or create a medication guide outlining the risks of such side effects for distribution to patients, or similar risk management measures;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may be required to change the way seralutinib is distributed or administered, conduct additional clinical trials or change the labeling of seralutinib or be required to conduct additional post-marketing studies or surveillance;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could be sued and held liable for harm caused to patients;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sales of seralutinib may decrease significantly or seralutinib could become less competitive;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seralutinib, if approved, and could significantly harm our business, results of operations and prospects.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Although we have completed Phase 2 and 3 clinical trials for multiple product candidates including seralutinib, we have not, as an organization, submitted an NDA, and we may be unable to do so for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We have limited experience as a company in preparing, submitting marketing applications and have not previously submitted an NDA or other comparable foreign application for any product candidate. While our primary focus is on seeking approval from the FDA for seralutinib in PAH, we may also conduct a number of clinical trials for seralutinib in parallel over the next several years, which may be a difficult process to manage with our limited resources and which may divert the attention of management. In addition, we have had limited interactions with the FDA and cannot be certain our data from our Phase 2 and Phase 3 clinical trials of seralutinib will be sufficient to support an NDA submission in PAH, even if we believe the results are sufficiently positive to support a regulatory approval. Consequently, we may be unable to successfully and efficiently execute and complete necessary clinical trials in a way that leads to regulatory submission and approval of seralutinib. We may require more time and incur greater costs than our competitors and may not succeed in obtaining regulatory approvals of seralutinib.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Seralutinib is subject to extensive regulation and compliance, which is costly and time consuming, and such regulation may cause unanticipated delays or prevent the receipt of the required approvals to commercialize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 clinical development, manufacturing, labeling, storage, record-keeping, advertising, promotion, import, export, marketing and distribution of seralutinib are subject to extensive regulation by the FDA in the United States and by comparable foreign regulatory authorities in foreign markets. In the United States, we are not permitted to market seralutinib in foreign jurisdictions until we receive regulatory approval from the FDA and similarly, we are not permitted to market seralutinib until we receive foreign regulatory authorities’ approval.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and foreign regulatory authorities have substantial discretion in the drug approval process, including the ability to delay, limit or deny approval of a product candidate for many reasons. Despite the time and expense invested in clinical development of product candidates, regulatory approval is never guaranteed.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Prior to obtaining approval to commercialize seralutinib in the United States or abroad, we must demonstrate with substantial evidence from adequate and well-controlled clinical trials, and to the satisfaction of the FDA or comparable foreign regulatory authorities, that seralutinib is safe and effective for its intended uses. Results from nonclinical studies and clinical trials can be interpreted in different ways. Even if we believe the nonclinical or clinical data for seralutinib are promising, such data may not be sufficient to support approval by the FDA and comparable foreign regulatory authorities. For example, we recently reported that the PROSERA Phase 3 did not meet its prespecified primary endpoint, and though we plan to discuss these results with the FDA to determine the appropriate path forward, there is no guarantee that the results from the PROSERA Phase 3 will be sufficient to support the submission of an NDA. The FDA or comparable foreign regulatory authorities, as the case may be, may also require us to conduct additional preclinical studies or clinical trials for seralutinib either prior to or post-approval, or may object to elements of our clinical development program.</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FDA or comparable foreign regulatory authorities could delay, limit or deny approval of seralutinib for many reasons, including: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such authorities may disagree with the design or implementation of our clinical trials;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negative or ambiguous results from our clinical trials or results may not meet the level of statistical significance required by the FDA or comparable foreign regulatory agencies for approval;</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serious and unexpected drug-related side effects may be experienced by participants in our clinical trials or by individuals using drugs similar to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population studied in the clinical trial may not be sufficiently broad or representative to assure safety in the full population for which we seek approval;</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such authorities may not accept clinical data from trials which are conducted at clinical facilities or in countries where the standard of care is potentially different from that of the United States;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may be unable to demonstrate that seralutinib’s clinical and other benefits outweigh its safety risks;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such authorities may disagree with our interpretation of data from preclinical studies or clinical trials;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such authorities may not agree that the data collected from clinical trials of seralutinib are acceptable or sufficient to support the submission of an NDA or other submission or to obtain regulatory approval in the United States or elsewhere, and such authorities may impose requirements for additional preclinical studies or clinical trials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such authorities may disagree regarding the formulation, labeling and/or the specifications of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approval may be granted only for indications that are significantly more limited than what we apply for and/or with other significant restrictions on distribution and use;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such authorities may find deficiencies in the manufacturing processes or facilities of our third-party manufacturers with which we contract for clinical and commercial supplies; or the approval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regulations of such authorities may significantly change in a manner rendering our or any of our potential future collaborators’ clinical data insufficient for approval; or</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such authorities may not accept a submission due to, among other reasons, the content or formatting of the submission.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pharmaceuticals may result in increased cautiousness by the FDA and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seralutinib, which would significantly harm our business, financial condition, results of operations and prospects.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Even if we eventually complete clinical trials and receive approval of an NDA or foreign marketing application for seralutinib, the FDA or comparable foreign regulatory authority may grant approval contingent on the performance of costly additional clinical trials, including Phase 4 clinical trials, and/or the implementation of a REMS or similar risk management measures, which may be required to ensure safe use of the drug after approval. The FDA or the comparable foreign regulatory authority also may approve seralutinib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seralutinib and would materially adversely impact our business and prospects.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be able to obtain or maintain orphan drug designations for seralutinib, and we may be unable to maintain the benefits associated with orphan drug designation, including the potential for market exclusivity.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Regulatory authorities in some jurisdictions, including the United States and the EU, may designate drugs for relatively small patient populations as orphan drugs. Under the Orphan Drug Act of 1983,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In the EU, the EC grants orphan designation based on the EMA’s Committee for Orphan Medicinal Products’ opinion to promote the development of products (1) that are intended for the diagnosis, prevention or treatment that is life-threatening or chronically debilitating, and (2) either (a) such condition affects no more than five in 10,000 persons in the EU when the application is made, or (b) the product, without the benefits derived from orphan status, would be unlikely to generate sufficient returns in the EU to justify the necessary investment, and (3) there exists no satisfactory method of diagnosis, prevention or treatment of such condition authorized for marketing in the EU, or, if such a method exists, the medicine must be of significant benefit to those affected by the condition. We have received orphan drug designation in the United States, the EU and Japan for seralutinib for treatment of PAH and may seek additional orphan designations for seralutinib in the future. There can be no assurance that we will be able to maintain or obtain such designations.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including an NDA, to market the same drug for the same indication or use within the relevant disease or condition for seven years, except in limited circumstances, such as a showing of clinical superiority to the product with orphan drug exclusivity within the relevant indication or use or where the manufacturer is unable to assure sufficient product quantity to meet the needs relating to the indication or use protected by orphan exclusivity. Upon grant of a marketing authorization in the EU, orphan medicinal products are entitled to ten years of market exclusivity, during which time no similar medicinal product for the same indication may be placed on the market. This period may be reduced to six years if, at the end of the fifth year, it is established that the product no longer meets the orphan designation criteria, including where it is shown that the product is sufficiently profitable not to justify maintenance of market exclusivity or where the prevalence of the condition has increased above the threshold.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Even if we obtain orphan drug exclusivity for a product, that exclusivity may not effectively protect the product from competition because different drugs can be approved for the same indications or uses. Even after an orphan drug is approved, the FDA or comparable foreign regulatory authority can subsequently approve the same drug for the same indication or use if such regulatory authority concludes that the later drug is clinically superior if it is shown to be safer, more effective or makes a major contribution to patient care with respect to the indication or use covered by orphan exclusivity. Orphan drug designation neither shortens the development time or regulatory review time of a drug nor gives the drug any advantage in the regulatory review or approval process.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currently conducting, and may in the future conduct, certain of our clinical trials for seralutinib outside of the United States. However, the FDA and other foreign equivalents may not accept data from such trials, in which case our development plans will be delayed, which could materially harm our business.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conducting, and may in the future conduct, one or more of our clinical trials for seralutinib outside the United States.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for such clinical trials not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seralutinib not receiving approval for commercialization in the applicable jurisdiction.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Conducting clinical trials outside the United States also exposes us to additional risks, including risks associated with:</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additional foreign regulatory requirements;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foreign exchange fluctuations;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compliance with foreign manufacturing, customs, shipment and storage requirements;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cultural differences in medical practice and clinical research;</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diminished protection of intellectual property in some countries;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interruptions or delays in our trials resulting from geopolitical events, such as war or terrorism.</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 or cause us not to proceed into further clinical development.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publicly disclose preliminary or topline data from our clinical studies, such as the recent announcement of our PROSERA Phase 3 topline results,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preliminary data we previously published. As a result, topline and preliminary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enrollment continues and more patient data become available. Adverse differences between topline, preliminary or interim data and final data could significantly harm our business prospects.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seralutinib, the approvability or commercialization of seralutinib and our company in general. In addition, the information we choose to publicly disclose regarding a particular study or clinical trial is based on what is typically extensive information, and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seralutinib or our business. If the topline, preliminary or interim data that we report differ from actual results, or if others, including regulatory authorities, disagree with the conclusions reached, our ability to obtain approval for, and commercialize, seralutinib may be harmed, which could harm our business, results of operations, prospects or financial condition.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Disruptions at the FDA and other government agencies caused by funding shortages, staffing limitations or policy changes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ability of the FDA and foreign regulatory authorities to review and clear or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which have led to substantial personnel changes, and it remains unclear the degree to which these efforts may limit or otherwise adversely affect the FDA’s ability to conduct routine activities. If a prolonged government shutdown occurs, or if funding shortages, staffing limitations or similar factors hinder or prevent the FDA or other regulatory authorities from conducting their regular inspections, reviews, or other regulatory activities, such events could significantly impact the ability of the FDA or other such regulatory authorities to timely review and process our regulatory submissions, which could have a material adverse effect on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business is subject to risks arising from pandemic and epidemic diseases.</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Any future pandemic or epidemic disease outbreaks, and any supply chain disruptions or staffing shortages, could disrupt the manufacture or shipment of supplies of seralutinib for use in our research and clinical trials, delay, limit or prevent our employees and CROs from continuing or timely advancing research and development activities, impede our clinical trial initiation and recruitment and the ability of subjects to continue in clinical trials, impact the results of the clinical trial based on participants contracting the disease or otherwise increasing the number of observed adverse events, impede testing, monitoring, data collection and analysis and other related activities, any of which could delay our clinical trials and increase our development costs, and have a material adverse effect on our business, financial condition and results of operations. Any future pandemic or future epidemic disease outbreaks could also potentially further affect the business of the FDA or other regulatory authorities, which could result in delays in meetings related to future clinical trials or other regulatory matters.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rely on third parties to conduct many of our clinical trials and preclinical studies. Any failure by a third party to conduct the clinical trials according to GCPs and other requirements and in a timely manner may delay or prevent our ability to seek or obtain regulatory approval for or commercialize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We are dependent on third parties to conduct our clinical trials and preclinical studies, including our ongoing and potential future clinical trials for seralutinib.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seralutinib.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or similar regulations. Our failure to comply with these regulations may require us to repeat clinical trials, which would delay the regulatory approval process.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There is no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or similar foreign applications we submit by the FDA or foreign regulatory authorities. Any such delay or rejection could prevent us from commercializing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 parties terminate or their services are delayed,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can materially impact our ability to meet our desired clinical and preclinical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rely on third parties for the manufacture of seralutinib for clinical development and expect to continue to do so for the foreseeable future. This reliance on third parties increases the risk that we will not have sufficient quantities of seralutinib or such quantities at an acceptable cost, which could delay, prevent or impair our development or commercialization efforts.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do not own or operate manufacturing facilities and have no plans to build our own clinical or commercial scale manufacturing capabilities. We rely, and expect to continue to rely, on third parties for the manufacture of seralutinib and related raw materials for clinical and preclinical development, as well as for commercial manufacture if seralutinib receives marketing approval. The facilities used by third-party manufacturers to manufacture seralutinib must be approved by the FDA or foreign regulatory authorities for the manufacture of seralutinib pursuant to inspections that will be conducted after we submit an NDA to the FDA or similar applications to foreign regulatory authorities. We do not control the manufacturing process of, and are completely dependent on, third-party manufacturers for compliance with cGMP or similar requirements for manufacture of drug products. If these third-party manufacturers cannot successfully manufacture material that conforms to our specifications and the strict regulatory requirements of the FDA or others, including requirements related to the manufacturing of high potency compounds, they will not be able to secure and/or maintain regulatory approval for their manufacturing facilities. In addition, we have no control over the ability of third-party manufacturers to maintain adequate quality control, quality assurance and qualified personnel. If the FDA or a comparable foreign regulatory authority does not approve these facilities for the manufacture of seralutinib or if it withdraws any such approval in the future, we may need to find alternative manufacturing facilities, which would significantly impact our ability to develop, obtain regulatory approval for or market seralutinib,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seralutinib, operating restrictions and criminal prosecutions, any of which could significantly and adversely affect supplies of seralutinib.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or a third party’s failure to execute on our manufacturing requirements, to do so on commercially reasonable terms and comply with cGMP or similar requirements outside of the United States could adversely affect our business in a number of ways, including: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 xml:space="preserve">an inability to initiate or continue clinical trials of </w:t>
      </w:r>
      <w:r>
        <w:rPr>
          <w:rFonts w:ascii="Times New Roman;serif" w:hAnsi="Times New Roman;serif"/>
          <w:b w:val="false"/>
          <w:color w:val="231F20"/>
          <w:sz w:val="20"/>
        </w:rPr>
        <w:t>seralutinib</w:t>
      </w:r>
      <w:r>
        <w:rPr>
          <w:rFonts w:ascii="Times New Roman;serif" w:hAnsi="Times New Roman;serif"/>
          <w:b w:val="false"/>
          <w:color w:val="000000"/>
          <w:sz w:val="20"/>
        </w:rPr>
        <w:t>, or any future product candidates under development;</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delay in submitting regulatory applications, or receiving marketing approvals, for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subjecting third-party manufacturing facilities or our manufacturing facilities to additional inspections by regulatory authorities;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requirements to cease development or to recall batches of seralutinib;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in the event of approval to market and commercialize seralutinib, an inability to meet commercial demands for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we do not have long-term commitments or supply agreements with all of our third-party manufacturers. We may be unable to establish any supply agreements with third-party manufacturers or to do so on acceptable terms, which increases the risk of timely obtaining sufficient quantities of seralutinib or such quantities at an acceptable cost. Even if we are able to establish agreements with third-party manufacturers, reliance on third-party manufacturers entails additional risks, including: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failure of third-party manufacturers to comply with regulatory requirements and maintain quality assurance;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breach of the manufacturing agreement by the third party;</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failure to manufacture seralutinib according to our specifications;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failure to manufacture seralutinib according to our schedule or at all;</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misappropriation of our proprietary information, including our trade secrets and know-how;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termination or nonrenewal of the agreement by the third party at a time that is costly or inconvenient for us.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Seralutinib and any products that we may develop may compete with other product candidates and products for access to manufacturing facilities. There are a limited number of manufacturers that operate under cGMP or similar foreign regulations and that might be capable of manufacturing for us.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Any performance failure on the part of our existing or future manufacturers could delay clinical development or marketing approval, and any related remedial measures may be costly or time consuming to implement. We do not currently have arrangements in place for redundant supply or a second source for all required raw materials used in the manufacture of seralutinib. Further, our third-party manufacturers may experience manufacturing or shipping difficulties due to resource constraints or as a result of natural disasters, labor disputes, unstable political environments, or public health epidemics. If our current third-party manufacturers cannot perform as agreed, we may be required to replace such manufacturers, and we may be unable to replace them on a timely basis or at all.</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current and anticipated future dependence upon others for the manufacture of seralutinib may adversely affect our future profit margins and our ability to commercialize any products that receive marketing approval on a timely and competitive basis.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entered into, and may in the future seek to enter into, collaborations, licenses and other similar arrangements and we may not realize the benefits of such relationships, or may not be successful in entering into such relationships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On May 3, 2024, we entered into the collaboration agreement with Chiesi for the development and commercialization of seralutinib around the world, and we may in the future seek to enter into other collaborations, joint ventures, licenses and other similar arrangements for the development or commercialization of our product candidates, due to capital costs required to develop or commercialize such product candidates or manufacturing constraints. For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information regarding our collaboration with Chiesi, see the section titled “Business—License and Collaboration Agreements” included in this Form 10-K.</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may not be successful in our efforts to establish or maintain collaborations, including our collaboration with Chiesi, because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in connection with any such collaborations, we may have to relinquish valuable rights to our future revenue streams, or grant licenses on terms that may not be favorable to us, as part of any such arrangement, and such arrangements may restrict us from entering into additional agreements with potential collaborators. We cannot be certain that, following the entry into our collaboration with Chiesi or any other strategic transaction or license, we will achieve an economic benefit that justifies such transaction. If we are successful in our efforts to establish any additional collaborations, the terms that we agree upon may not be favorable to us, and we may not be able to maintain such collaborations if, for example, development or approval of seralutinib is delayed, the safety of seralutinib is questioned or sales of seralutinib, if approved, are unsatisfactory. In addition, our collaboration with Chiesi and any potential future collaborations may be terminable by Chiesi or our other strategic partners in certain circumstances, and we may not be able to adequately protect our rights under these agreements. Furthermore, our strategic partners may negotiate for certain rights to control decisions regarding the development and commercialization of seralutinib. For example, under the Chiesi collaboration, Chiesi received such rights and may not conduct development and commercialization activities in the same manner as we do. Any termination of the collaboration with Chiesi or of any other collaborations we enter into in the future, or any delay in entering into collaborations related to seralutinib, could delay the development and commercialization of seralutinib and reduce its competitiveness if it reaches the market, which could have a material adverse effect on our business,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Because we currently rely on other third parties to manufacture seralutinib and to perform quality testing, we must, at times, share our proprietary technology and confidential information, including trade secrets, with them.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Commercialization of Seralutinib</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Even if we receive regulatory approval for seralutinib, we will be subject to ongoing regulatory obligations and continued regulatory review, which may result in significant additional expense. Additionally, seralutinib, if approved, could be subject to labeling and other restrictions on marketing or withdrawal from the market, and we may be subject to penalties if we fail to comply with regulatory requirements or if we experience unanticipated problems with seralutinib, when and if it is approved.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Following potential approval of seralutinib, the FDA or foreign regulatory authorities may impose significant restrictions on its indicated uses or marketing or impose ongoing requirements for potentially costly and time-consuming post-approval studies, post-market surveillance or clinical trials to monitor the safety and efficacy of the product. The FDA or foreign regulatory authorities may also require a REMS or similar risk management measures as a condition of approval of seralutinib,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seralutinib, the manufacturing processes, labeling, packaging, distribution, adverse event reporting, storage, advertising, promotion, import, export and recordkeeping for seralutinib will be subject to extensive and ongoing regulatory requirements. These requirements include submissions of safety and other post-marketing information and reports, registration, as well as continued compliance with cGMPs or similar requirements and GCP requirements for any clinical trials that we conduct post-approval. Later discovery of previously unknown problems with seralutinib, including adverse events of unanticipated severity or frequency, or with our third-party manufacturers or manufacturing processes, or failure to comply with regulatory requirements, may result in, among other things: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restrictions on the marketing or manufacturing of seralutinib, withdrawal of seralutinib from the market or voluntary or mandatory product recalls;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restrictions on product distribution or use, or requirements to conduct post-marketing studies or clinical trials;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fines, restitutions, disgorgement of profits or revenues, warning letters, untitled letters or holds on clinical trials;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refusal by the FDA or foreign regulatory authorities to approve pending applications or supplements to approved applications filed by us or suspension or revocation of approvals;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product seizure or detention, or refusal to permit the import or export of seralutinib;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occurrence of any event or penalty described above may inhibit our ability to commercialize seralutinib and generate revenue and could require us to expend significant time and resources in response and could generate negative publicity.</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FDA’s and other regulatory authorities’ policies may change and additional government regulations may be enacted that could prevent, limit or delay regulatory approval of seralutinib.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changes were since discussed and negotiated by the European Parliament and the Council of the EU as part of the EU ordinary legislative process. A provisional agreement has been reached by the European Parliament and Council of the EU on the proposed revisions on December 11, 2025. The proposed revisions (affecting the duration of regulatory data protection and market protection, including for orphan medicinal products, revising the eligibility for expedited pathways, etc.) remain to be formally adopted by the two institutions, which is not anticipated before early 2026. The proposed changes are not expected to enter into application before 2028 and may however have a significant impact on the biopharmaceutical industry in the long term. 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commercial success of seralutinib will depend upon the degree of its market acceptance by physicians, patients, healthcare payors and others in the medical community.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Seralutinib may not be commercially successful. Even if seralutinib receives regulatory approval, it may not gain market acceptance among physicians, patients, healthcare payors or the medical community. The commercial success of seralutinib will depend significantly on the broad adoption and use of the resulting product by physicians and patients for approved indications. The degree of market acceptance of seralutinib will depend on a number of factors, including: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demonstration of clinical efficacy and safety compared to other more-established products;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indications for which seralutinib is approved;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limitation of our targeted patient population and other limitations or warnings contained in any FDA- or foreign regulatory authorities- approved labeling;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acceptance of a new drug for the relevant indication by healthcare providers and their patients;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pricing and cost-effectiveness of seralutinib, as well as the cost of treatment with seralutinib in relation to alternative treatments and therapies;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ability to obtain and maintain sufficient third-party coverage and adequate reimbursement from government healthcare programs, including Medicare and Medicaid, private health insurers and other third-party payors;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willingness of patients to pay all, or a portion of, out-of-pocket costs associated with seralutinib in the absence of sufficient third-party coverage and adequate reimbursement;</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any restrictions on the use of seralutinib, and the prevalence and severity of any adverse effects;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potential product liability claims;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timing of market introduction of seralutinib as well as competitive drugs;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effectiveness of our or any of our potential future collaborators’ sales and marketing strategies;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unfavorable publicity relating to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seralutinib is approved but does not achieve an adequate level of acceptance by physicians, hospitals, healthcare payors or patients, we may not generate sufficient revenue from seralutinib and may not become or remain profitable. Our efforts to educate the medical community and third-party payors regarding the benefits of seralutinib may require significant resources and may never be successful.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FDA and other regulatory agencies actively enforce the laws and regulations prohibiting the promotion of off-label uses. If we are found or alleged to have improperly promoted off-label uses, we may become subject to significant liability.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FDA and other regulatory agencies strictly regulate the promotional claims that may be made about prescription products, as seralutinib would be, if approved. In particular, a product may not be promoted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seralutinib, if approved, we could become subject to significant liability, which would materially adversely affect our business and financial condition.</w:t>
      </w:r>
    </w:p>
    <w:p>
      <w:pPr>
        <w:pStyle w:val="TextBody"/>
        <w:bidi w:val="0"/>
        <w:spacing w:lineRule="auto" w:line="288" w:before="200" w:after="283"/>
        <w:jc w:val="left"/>
        <w:rPr/>
      </w:pPr>
      <w:r>
        <w:rPr>
          <w:rFonts w:ascii="Times New Roman;serif" w:hAnsi="Times New Roman;serif"/>
          <w:b/>
          <w:i/>
          <w:color w:val="000000"/>
          <w:sz w:val="20"/>
        </w:rPr>
        <w:t>The successful commercialization of seralutinib, if approved, will depend in part on the extent to which governmental authorities and health insurers establish coverage, adequate reimbursement levels and favorable pricing policies. Failure to obtain or maintain coverage and adequate reimbursement for seralutinib could limit our ability to market seralutinib and decrease our ability to generate revenue</w:t>
      </w:r>
      <w:r>
        <w:rPr>
          <w:rFonts w:ascii="Times New Roman;serif" w:hAnsi="Times New Roman;serif"/>
          <w:b w:val="false"/>
          <w:color w:val="000000"/>
          <w:sz w:val="20"/>
        </w:rPr>
        <w: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availability of coverage and the adequacy of reimbursement by governmental healthcare programs such as Medicare and Medicaid, private health insurers and other third-party payors are essential for most patients to be able to afford prescription medications such as seralutinib, if approved. Our ability to achieve coverage and acceptable levels of reimbursement for seralutinib by third-party payors will have an effect on our ability to successfully commercialize seralutinib. Even if we obtain coverage for seralutinib by a third-party payor, the resulting reimbursement payment rates may not be adequate or may require co-payments that patients find unacceptably high. We cannot be sure that coverage and reimbursement in the United States, the EU or elsewhere will be available for seralutinib, and any reimbursement that may become available may be decreased or eliminated in the future.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seralutinib as substitutable and only offer to reimburse patients for the less expensive product. Even if we are successful in demonstrating improved efficacy or improved convenience of administration with seralutinib, pricing of existing drugs may limit the amount we will be able to charge for seralutinib. These payors may deny or revoke the reimbursement status of seralutinib or establish prices for new or existing marketed products at levels that are too low to enable us to realize an appropriate return on our investment. If reimbursement is not available or is available only at limited levels, we may not be able to successfully commercialize seralutinib and may not be able to obtain a satisfactory financial return on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healthcare providers who use such therapies. It is difficult to predict at this time what third-party payors will decide with respect to the coverage and reimbursement for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seralutinib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seralutinib. Accordingly, in markets outside the United States, the reimbursement for seralutinib may be reduced compared with the United States and may be insufficient to generate commercially reasonable revenue and profits.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seralutinib. We expect to experience pricing pressures in connection with the sale of seralutinib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significant competition, and if our competitors develop technologies or product candidates more rapidly than we do or their technologies are more effective, our ability to develop and successfully commercialize seralutinib may be adversely affected.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seralutinib. Seralutinib, if approved,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particular, there is intense competition in the fields of PAH and other PH indications including PH-ILD. Our competitors include larger and better 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 stage companies may also prove to be significant competitors, particularly through collaborative arrangements with large and established companies.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face competition for seralutinib and RT234 from existing products and products in development. Seralutinib is a PDGFR, CSF1R and c-KIT inhibitor initially targeted for PAH and PH-ILD patients. We expect competition within the PAH indication will include prostanoids / prostacyclin receptor agonists, including Orenitram (United Therapeutics), Uptravi (Janssen), Tyvaso (United Therapeutics), Yutrepia (Liquidia) and Remodulin (United Therapeutics), and activin ligand traps, including Winrevair (Merck). We also may face some competition from products used as frontline therapy for PAH, such as the oral PDE5 inhibitors, including Revatio (Pfizer Inc.) and Adcirca (United Therapeutics); the sGC stimulator Adempas (Bayer AG); and oral ERAs, including Tracleer (Janssen), Letairis (Gilead Sciences, Inc.) and Opsumit (Janssen); and combination PDE5 inhibitor / ERA therapies, such as Opsynvi (Janssen). We believe that, if approved, seralutinib could be used alongside all classes of approved therapies. PAH is also an active indication for investigational drugs, and we may face competition in the future from L606 (Liquidia / Pharmosa Biopharma Inc.), CS1 (Cereno Scientific), treprostinil palmitil inhalation powder (Insmed, Inc.), ralinepag (United Therapeutics), REGN13335 (Regeneron), HS235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(35Pharma, Inc.), LTP001 (Novartis), APL</w:t>
        <w:noBreakHyphen/>
        <w:t>9796 (Apollo Therapeutics Ltd), and ROC</w:t>
        <w:noBreakHyphen/>
        <w:t>101 (AllRock Bio, Inc.). Additionally, although not approved for the treatment of PAH, we may face competition from formulations of imatinib, including the one in development from Inhibikase Therapeutics. While there are multiple classes of therapies with marketing approval for PAH, there are currently no therapies approved for PRN use to provide rapid, on</w:t>
        <w:noBreakHyphen/>
        <w:t>demand symptom relief.</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expect to face competition from Tyvaso (United Therapeutics) and Yutrepia (Liquidia) within the PH-ILD indication, as they are the only approved therapies for PH-ILD in the United States. There are no approved therapies for PH-ILD in the EU. PH-ILD is also an active indication for investigational drugs, and we may face competition in the future from L606 (Liquidia / Pharmosa Biopharma Inc.), sirolimus (OrphAI Therapeutics), treprostinil palmitil inhalation powder (Insmed, Inc.), mosliciguat (Pulmovant, Inc.), mirivadelgat (ForeSee Pharmaceuticals Co., Ltd.), APL</w:t>
        <w:noBreakHyphen/>
        <w:t>9796 (Apollo Therapeutics Ltd), and ROC</w:t>
        <w:noBreakHyphen/>
        <w:t>101 (AllRock Bio, Inc.). While there is one class of therapy with marketing approval for PH-ILD, there are currently no therapies approved for PRN use to provide rapid, on</w:t>
        <w:noBreakHyphen/>
        <w:t>demand symptom relief.</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There may be other earlier stage clinical programs that, if approved, would compete with seralutinib. Many of our competitors have substantially greater financial, technical and human resources than we have. Additional mergers and acquisitions in the pharmaceutical industry may result in even more resources being concentrated in our competitors. Competition may increase further as a result of advances made in the commercial applicability of technologies and greater availability of capital for investment in these fields. Our success will be based in part on our ability to build and actively manage a portfolio of drugs that addresses unmet medical needs and creates value in patient therapy.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the market opportunities for seralutinib are smaller than we believe they are, our revenue may be adversely affected, and our business may suffer.</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precise incidence and prevalence for all the conditions we aim to address with seralutinib are unknown. Our projections of both the number of people who have these diseases, as well as the subset of people with these diseases who have the potential to benefit from treatment with seralutinib, are based on our beliefs and estimates. These estimates have been derived from a variety of sources, including the scientific literature, surveys of clinics, patient foundations or market research, and may prove to be incorrect. Further, new trials may change the estimated incidence or prevalence of these diseases. For example, seralutinib demonstrated a more pronounced clinical response profile across the primary and key secondary endpoints in a subset of intermediate- and high-risk PAH patients, and it is possible that any approval we obtain for seralutinib may be limited to this or another subset of patients. The total addressable market of seralutinib will ultimately depend upon, among other things, the diagnosis criteria included in the final label for seralutinib, the availability of alternative treatments and the safety, convenience, cost and efficacy of seralutinib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seralutinib or new patients may become increasingly difficult to identify or gain access to, all of which would adversely affect our results of operations and our business. Further, even if we obtain significant market share for seralutinib, because our potential target populations are very small, we may never achieve profitability despite obtaining such significant market share.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seralutinib, we may not be able to generate product revenue.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started to build a commercial infrastructure, we have no formal internal sales, marketing or distribution capabilities, nor have we commercialized a product. If seralutinib ultimately receives regulatory approval, we, in collaboration with Chiesi, must build a marketing and sales organization with technical expertise and supporting distribution capabilities to commercialize seralutinib in the United States,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seralutinib. For example, if we are unable to raise additional capital, our ability to build a commercial infrastructure to commercialize seralutinib may be significantly delayed, if seralutinib receives regulatory approval.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seralutinib. We likely will have little control over such third parties, and any of them may fail to devote the necessary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and attention to sell and market seralutinib effectively. If we are not successful in commercializing seralutinib, either on our own in partnership with Chiesi or through arrangements with one or more third parties, we may not be able to generate any future product revenue, and we would incur significant additional losses.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future profitability may depend, in part, on Chiesi's ability to operate in foreign markets, where they would be subject to additional regulatory burdens and other risks and uncertainties.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future profitability may depend, in part, on Chiesi's ability to develop and commercialize seralutinib in foreign markets and pay us royalties on commercial sales. Chiesi is not permitted to market or promote seralutinib before we receive regulatory approval from applicable regulatory authorities in foreign markets, and we may never receive such regulatory approvals for seralutinib. For example, we recently reported that our PROSERA Phase 3 clinical trial that did not meet the prespecified threshold on the primary endpoint, and it is unclear whether the FDA or comparable regulatory authorities in foreign markets will view such data as sufficient to support approval. In addition, Chiesi may ultimately choose not to seek regulatory approval in certain or all foreign markets. To obtain separate regulatory approval in many other countries, Chiesi must comply with numerous and varying regulatory requirements regarding safety and efficacy and governing, among other things, clinical trials, commercial sales, pricing and distribution of seralutinib. If we obtain regulatory approval of seralutinib and Chiesi ultimately commercializes seralutinib in foreign markets, we and Chiesi would be subject to additional risks and uncertainties, including: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different regulatory requirements for approval of drugs in foreign countries;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reduced protection for intellectual property rights;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existence of additional third-party patent rights of potential relevance to our business;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new or unexpected changes in tariffs (including recent U.S. tariffs imposed or threatened to be imposed on other countries and any retaliatory actions taken by such countries), trade barriers and regulatory requirements;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economic weakness, including inflation, or political instability in particular foreign economies and markets; compliance with tax, employment, immigration and labor laws for employees living or traveling abroad;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foreign reimbursement, pricing and insurance regimes;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workforce uncertainty in countries where labor unrest is common;</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production shortages resulting from any events affecting raw material supply or manufacturing capabilities abroad;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business interruptions resulting from geopolitical actions, including war and terrorism, health epidemics, or natural disasters including earthquakes, typhoons, floods and fires.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Business Operations and Industry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results of operations may fluctuate significantly, which makes our future results of operations difficult to predict and could cause our results of operations to fall below expectations or any guidance we may provide.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quarterly and annual results of operations may fluctuate significantly, which makes it difficult for us to predict our future results of operations. These fluctuations may occur due to a variety of factors, many of which are outside of our control, including, but not limited to:</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timing and cost of, and level of investment in, research, development, regulatory approval and commercialization activities relating to seralutinib, which may change from time to time;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coverage and reimbursement policies with respect to seralutinib, if approved, and potential future drugs that compete with seralutinib;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cost of manufacturing seralutinib, which may vary depending on the quantity of production and the terms of our agreements with third-party manufacturers;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timing and amount of the milestone or other payments we must make to Pulmokine and other third parties from whom we have in-licensed seralutinib, including payments due upon a change in control of our subsidiaries as well as timing and amount of the milestone or other payments we receive from Chiesi;</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expenditures that we may incur to acquire, develop or commercialize additional product candidates and technologies;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level of demand for any approved products, which may vary significantly;</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future accounting pronouncements or changes in our accounting policies;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timing and success or failure of preclinical studies or clinical trials for seralutinib or competing product candidates, or any other change in the competitive landscape of our industry, including consolidation among our competitors or partners.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these factors could result in large fluctuations and unpredictability in our quarterly and annual results of operations. As a result, comparing our results of operations on a period-to-period basis may not be meaningful. Investors should not rely on our past results as an indication of our future performance.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dependent on the services of our management and other clinical and scientific personnel, and if we are not able to retain these individuals or recruit additional management or clinical and scientific personnel, our business will suffer.</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continued ability to attract, retain and motivate highly qualified management, clinical and scientific personnel. The loss of services of any of these personnel could delay or prevent the successful development of seralutinib, initiation or completion of our clinical trials or the commercialization of seralutinib. Executive leadership transitions can be inherently difficult to manage and, as a result, we may experience disruption or have difficulty in maintaining or developing our business.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will need to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increasingly intense competition for qualified personnel among pharmaceutical, biotechnology and other businesses, particularly in the San Diego area. Our industry has experienced a high rate of turnover for all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encounter difficulties in managing our growth and expanding our operations successfully, and internal restructuring activities may result in disruptions to our business or otherwise materially harm our results of operations or financial conditions.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We recently announced workforce reductions of approximately 77 individuals, or approximately 48% of our workforce, intended to preserve cash while maintaining core capabilities as we explore the potential for FDA approval of seralutinib in PAH. From time to time, we may undertake additional internal restructuring activities as we continue to evaluate and attempt to optimize our cost and operation structure in light of regulatory developments as we pursue FDA approval of seralutinib. We also may not realize the benefits expected from such workforce reduction or any future workforce reductions, including our ability to conserve cash. In addition, such actions may make it more difficult to retain key personnel.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reduction-in-force may result in unintended consequences and costs, such as the loss of institutional knowledge and expertise and decreased morale among our remaining employees. In addition, internal restructurings can require a significant amount of time and focus from management and other employees, which may divert attention from our core operating activities. Further, there can be no assurance that any particular course of action, development path, business arrangement or transaction, or series of transactions, will be pursued, successfully consummated or lead to increased stockholder value.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As we continue development and pursue the potential commercialization of seralutinib, as well as function as a public company, we may also need to expand our financial, development, regulatory, manufacturing, marketing and sales capabilities or contract with third parties to provide these capabilities for us. If our operations expand, we expect that we will need to manage additional relationships with various strategic partners, suppliers and other third parties. Our future financial performance and our ability to develop and commercialize seralutinib and to compete effectively will depend, in part, on our ability to manage any future growth effectively.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subject to various federal, state and foreign healthcare laws and regulations, and our failure to comply with these laws and regulations could harm our results of operations and financial condition.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business operations and current and future arrangements with investigators, healthcare professionals, consultants, third-party payors and customers expose us to broadly applicable federal, state and foreign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 Kickback Statute or specific intent to violate it in order to have committed a violation.</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federal false claims laws, including the civil False Claims Act, which prohibits,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and Medicaid Services, or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anaesthesiology assistants and certified nurse-midwives), and teaching hospitals, as well as ownership and investment interests held by the physicians described above and their immediate family members;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 xml:space="preserve">analogous state and foreign laws and regulations, such as state anti-kickback and false claims laws, which may apply to our business practices, including but not limited to, research, distribution,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and marketing arrangements and claims involving healthcare items or services reimbursed by non- 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and state and local laws that require the registration of pharmaceutical sales representatives.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Ensuring that our internal operations and business arrangements with third-parties comply with applicable healthcare laws and regulations could involve substantial costs. It is possible that governmental authorities will conclude that our business practices, including our consulting and advisory board arrangements with physicians and other healthcare providers, some of whom receive stock options as compensation for services provided,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pStyle w:val="TextBody"/>
        <w:bidi w:val="0"/>
        <w:spacing w:lineRule="auto" w:line="288" w:before="200" w:after="180"/>
        <w:jc w:val="left"/>
        <w:rPr>
          <w:rFonts w:ascii="Times New Roman;serif" w:hAnsi="Times New Roman;serif"/>
          <w:b/>
          <w:i/>
          <w:color w:val="000000"/>
          <w:sz w:val="20"/>
        </w:rPr>
      </w:pPr>
      <w:r>
        <w:rPr>
          <w:rFonts w:ascii="Times New Roman;serif" w:hAnsi="Times New Roman;serif"/>
          <w:b/>
          <w:i/>
          <w:color w:val="000000"/>
          <w:sz w:val="20"/>
        </w:rPr>
        <w:t>We are subject to governmental regulation and other legal obligations related to privacy, data protection and information security. Actual or perceived failures to comply with such requirements could have a material adverse effect on our business, financial condition or results of operations.</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Compliance with these data privacy and security requirements is rigorous and time-intensive and may increase our cost of doing business. Despite our efforts, there is a risk that we may be subject to fines and penalties, litigation and reputational harm for actual or perceived failures to comply with such requirements, which could materially and adversely affect our business, financial condition and results of operations.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As our operations and business grow, we may be subject to or affected by new or additional data protection laws and regulations and face increased scrutiny or attention from regulatory authorities. In the United States, HIPAA, as amended by the Health Information Technology for Economic and Clinical Health Act, and regulations promulgated thereunder, or collectively, HIPAA, imposes requirements relating to the privacy, security and transmission of individually identifiable health information held by covered entities and their business associates. We do not believe that we are currently acting as a covered entity or business associate under HIPAA, other than potentially with respect to providing certain employee benefits. We may, however, obtain health information from third parties (including research institutions from which we obtain clinical trial data) that are subject to privacy and security requirements under HIPAA. Depending on the facts and circumstances, we could be subject to significant penalties if we knowingly obtain or disclose individually identifiable health information maintained by a HIPAA covered entity in a manner that is not authorized or permitted by HIPAA.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 laws govern the privacy and security of health information in certain circumstances, many of which differ from each other in significant ways and may not have the same requirements, thus complicating compliance efforts. Further, we may also be subject to other state laws governing the privacy, processing and protection of personal information. By way of example, California enacted the California Consumer Privacy Act, as amended by the California Privacy Rights Act, or collectively, the CCPA, requires covered businesses that process the personal information of California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operations abroad may also be subject to increased scrutiny or attention from data protection authorities. For example, we may be subject to the European Union General Data Protection Regulation, or the EU GDPR, and to the United Kingdom General Data Protection Regulation and Data Protection Act 2018, or collectively, the UK GDPR, and the EU GDPR and UK GDPR together referred to as the GDPR. The GDPR imposes stringent requirements for controllers and processors of personal data. The GDPR allows EU and EEA member states to make additional laws and regulations further limiting the processing of genetic, biometric or health data. Companies that must comply with the GDPR face increased compliance obligations and risk, including more robust regulatory enforcement of data protection requirements and potential fines for noncompliance of up to €20 million / £17.5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 UK, and the United States remains uncertain. Case law from the Court of Justice of the European Union, or CJEU, states that reliance on the standard contractual clauses, or SCCs - a standard form of contract approved by the European Commission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Other foreign jurisdictions, such as China and Russia, are increasingly implementing or developing their own privacy regimes with complex and onerous compliance obligations and robust regulatory enforcement powers. As we continue to expand into other foreign countries and jurisdictions, we may be subject to additional laws and regulations that may affect how we conduct business.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Further, in 2024, the National Security Division of the U.S. Department of Justice, or the DOJ, issued a new rule—referred to as the “Data Security Program,” or the DSP —to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we selectively use artificial intelligence, or AI, in our business. The regulatory framework for AI is rapidly evolving as many federal, state, and foreign government bodies and agencies have introduced or are currently considering additional laws and regulations. Additionally, existing laws and regulations may be interpreted in ways that would affect the operation of AI.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Further, the cost to comply with such laws, regulations, or decisions and/or guidance interpreting existing laws, could be significant and would increase our operating expenses (such as by imposing additional reporting obligations regarding our use of AI). Such an increase in operating expenses, as well as any actual or perceived failure to comply with such laws and regulations,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Current and future healthcare reform legislation or regulation may increase the difficulty and cost for us to obtain marketing approval for and commercialize seralutinib and may affect the prices we may obtain and may have a negative impact on our business and results of operations.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and regulations, as well as other healthcare reform measures that may be adopted in the future, may result in more rigorous coverage criteria and additional downward pressure on the price that we may receive for seralutinib. In particular, there have been and continue to be a number of initiatives at the U.S. federal and state levels that seek to reduce healthcare costs and improve the quality of healthcare.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For example, in 2010, the ACA was enacted in the United States. Among the provisions of the ACA of importance to seralutinib,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established a new Patient-Centered Outcomes Research Institute to oversee, and established a Center for Medicare and Medicaid Innovation at CMS to test innovative payment and service delivery models to lower Medicare and Medicaid spending.</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Since its enactment, there have been judicial and political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other legislative changes have been proposed and adopted since the ACA was enacted. The Budget Control Act of 2011, among other things, resulted in reductions to Medicare payments to providers, which went into effect on April 1, 2013, and, due to subsequent legislative amendments to the statute, will remain in effect through 2032, unless additional Congressional action is taken. The American Taxpayer Relief Act of 2012, among other things, reduced Medicare payments to several providers, including hospitals, and increased the statute of limitations period for the government to recover overpayments to providers from three to five years. In addition, the American Rescue Plan Act of 2021 eliminated the statutory Medicaid drug rebate cap, beginning January 1, 2024. The rebate was previously capped at 100% of a drug’s average manufacturer price.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Inflation Reduction Act, or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became effective in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ability to generate revenue, attain profitability or commercialize seralutinib.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Furthermore, 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seralutinib.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expect that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seralutinib, if approved.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seralutinib, if approved, or put pressure on our product pricing, which could negatively affect our business, results of operations, financial condition and prospects.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the EU, similar political, economic and regulatory developments may affect our or Chiesi's ability to profitably commercialize, or co-commercialize, seralutinib, if approved. For instance, on December 13, 2021, Regulation No 2021/2282 on Health Technology Assessment, or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may incur substantial liabilities and may be required to limit commercialization of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as a result of the clinical trials of seralutinib and will face an even greater risk if we commercialize seralutinib. For example, we may be sued if seralutinib allegedly causes injury or is found to be otherwise unsuitable during product testing, manufacturing, marketing or sale. Any such product liability claims may include allegations of defects in manufacturing, defects in design, a failure to warn of dangers inherent in seralutinib, negligence, strict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liability and a breach of warranties. Claims may be brought against us by clinical trial participants, patients or others using, administering or selling products that may be approved in the future. Claims could also be asserted under state consumer protection acts.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we cannot successfully defend ourselves against product liability claims, we may incur substantial liabilities or be required to limit or cease the commercialization of seralutinib. Even a successful defense would require significant financial and management resources. Regardless of the merits or eventual outcome, liability claims may result in:</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decreased demand for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injury to our reputation and significant negative media attention;</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withdrawal of clinical trial participants;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costs to defend the related litigation;</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 diversion of management’s time and our resources;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substantial monetary awards to trial participants or patients;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product recalls, withdrawals or labeling, marketing or promotional restrictions;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significant negative financial impact;</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inability to commercialize seralutinib;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 decline in our stock price.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currently hold approximately $10 million in aggregate product liability insurance coverage. We may need to increase our insurance coverage as we expand our clinical trials or if we commence commercialization of seralutinib. Insurance coverage is increasingly expensive. Our inability to obtain and retain sufficient product liability insurance at an acceptable cost to protect against potential product liability claims could prevent or inhibit the commercialization of seralutinib.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Chiesi and any of our potential future collaborators will be required to report to regulatory authorities if any of our approved products cause or contribute to adverse medical events, and any failure to do so would result in sanctions that would materially harm our business.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we, Chiesi and any of our potential future collaborators are successful in commercializing seralutinib, the FDA and foreign regulatory authorities would require that we, Chiesi and any of our potential future collaborators report certain information about adverse medical events if those products may have caused or contributed to those adverse events. The timing of our obligation to report would be triggered by the date we become aware of the adverse event as well as the nature of the event. We, Chiesi and any of our potential future collaborators or CROs may fail to report adverse events within the prescribed timeframe. If we, Chiesi or any of our potential future collaborators or CROs fail to comply with such reporting obligations, the FDA or a foreign regulatory authority could take action, including criminal prosecution, the imposition of civil monetary penalties, seizure of seralutinib or delay in approval or clearance of future products.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employees and independent contractors, including principal investigators, CROs, consultants and vendors, may engage in misconduct or other improper activities, including noncompliance with regulatory standards and requirements.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and similar requirements, (3) federal and state data privacy, security, fraud and abuse and other healthcare laws and regulations in the United States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in the past, and may in the future, engage in strategic transactions that could impact our liquidity, increase our expenses and present significant distractions to our management.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From time to time, we may consider strategic transactions, such as acquisitions of companies, asset purchases and out-licensing or in-licensing of intellectual property, products or technologies, similar to our approach in in-licensing seralutinib. For example, in September 2025, we announced that we entered into an option agreement to acquire Respira Therapeutics and its lead product candidate. Under the agreement, we committed to funding certain pre-agreed development expenses for up to approximately two years. If we exercise the option and pursue additional development of such product candidate, the development expenses may increase significantly. Any future transactions could increase our near and long-term expenditures, result in potentially dilutive issuances of our equity securities, including our common stock, or the incurrence of debt, contingent liabilities, amortization expenses or acquired in 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from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success depends on our ability to protect our intellectual property and our proprietary technologies.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obtain and maintain patent protection and trade secret protection for seralutinib, proprietary technologies and their uses as well as our ability to operate without infringing upon the proprietary rights of others. If we are unable to protect our intellectual property rights or if our intellectual property rights are inadequate for our technology or seralutinib, our competitive position could be harmed. We generally seek to protect our proprietary position by filing patent applications in the United States and abroad related to seralutinib,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seralutinib could have a material adverse effect on our financial condition and results of operations.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own issued patents in the United States and foreign countries, we cannot be certain that the claims in our U.S. pending patent applications and patent applications in foreign countries and jurisdictions will be considered patentable by the United States Patent and Trademark Office, or USPTO, courts in the United States or by the patent offices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courts in foreign countries and jurisdictions, nor can we be certain that the claims in our issued patents will not be found invalid or unenforceable if challenged.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patent application process is subject to numerous risks and uncertainties, and there can be no assurance that we or any of our potential future collaborators will be successful in protecting seralutinib by obtaining and defending patents. These risks and uncertainties include the following: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patent applications may not result in any patents being issued;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patents may be challenged, invalidated, modified, revoked, circumvented, found to be unenforceable or otherwise may not provide any competitive advantage;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countries and jurisdictions other than the United States may have patent laws less favorable to patentees than those upheld by U.S. courts, allowing foreign competitors a better opportunity to create, develop and market competing products.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patent prosecution process is also expensive and time 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seralutinib may be adversely affected and we may be unable to prevent competitors from making, using and selling competing products.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comply with our obligations in the agreements under which we license intellectual property rights for seralutinib from third parties, or otherwise experience disruptions to our business relationships with our licensors, we could lose license rights for seralutinib. Additionally, our license agreement for seralutinib includes sublicenses from a third party, and we must rely on Pulmokine's compliance with its obligations under its original license agreement.</w:t>
      </w:r>
    </w:p>
    <w:p>
      <w:pPr>
        <w:pStyle w:val="TextBody"/>
        <w:bidi w:val="0"/>
        <w:spacing w:lineRule="auto" w:line="288" w:before="200" w:after="283"/>
        <w:ind w:left="0" w:right="0" w:firstLine="1440"/>
        <w:jc w:val="left"/>
        <w:rPr/>
      </w:pPr>
      <w:r>
        <w:rPr>
          <w:rFonts w:ascii="Times New Roman;serif" w:hAnsi="Times New Roman;serif"/>
          <w:b w:val="false"/>
          <w:color w:val="000000"/>
          <w:sz w:val="20"/>
        </w:rPr>
        <w:t xml:space="preserve">In October 2017, we entered into an exclusive license agreement with Pulmokine, Inc. to obtain an exclusive license to certain intellectual property rights to develop and commercialize </w:t>
      </w:r>
      <w:r>
        <w:rPr>
          <w:rFonts w:ascii="Times New Roman;serif" w:hAnsi="Times New Roman;serif"/>
          <w:b w:val="false"/>
          <w:color w:val="231F20"/>
          <w:sz w:val="20"/>
        </w:rPr>
        <w:t>seralutinib</w:t>
      </w:r>
      <w:r>
        <w:rPr>
          <w:rFonts w:ascii="Times New Roman;serif" w:hAnsi="Times New Roman;serif"/>
          <w:b w:val="false"/>
          <w:color w:val="000000"/>
          <w:sz w:val="20"/>
        </w:rPr>
        <w:t xml:space="preserve">. This license agreement imposes, and we expect that any future license agreements where we in-license intellectual property, will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 Additionally, our existing license agreement with Pulmokine includes sublicenses from a third party who is not the original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licensor of the seralutinib intellectual property. Under this agreement, we must rely on Pulmokine to comply with its obligations under the primary license agreements under which it obtained rights in the applicable intellectual property, where we do not have a relationship with the original licensor of such rights. If Pulmokine fails to comply with its obligations under the upstream license agreement, the original third-party licensor may have the right to terminate the original license, which may terminate our 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may need to obtain licenses from third parties to advance our research or allow commercialization of seralutinib, and we cannot provide any assurances that third-party patents do not exist which might be enforced against seralutinib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seralutinib,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whether and the extent to which our technology and processes infringe on intellectual property of the licensor that is not subject to the licensing agreement;</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right to sublicense patents and other rights to third parties;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diligence obligations with respect to the use of the licensed technology in relation to our development and commercialization of seralutinib, and what activities satisfy those diligence obligations;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right to transfer or assign the license;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ownership of inventions and know-how resulting from the joint creation or use of intellectual property by our licensors and us and our partners.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disputes over intellectual property that we have licensed prevent or impair our ability to maintain our current licensing arrangements on acceptable terms, we may not be able to successfully develop and commercialize seralutinib, which would have a material adverse effect on our business.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our license agreement with Pulmokine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 with Pulmokine with respect to any licensed product, we may be required to pay to Pulmokine, as applicable, a specified percentage of all revenue to be received in connection with such transaction.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seralutinib or which effectively prevent others from commercializing competitive product candidates.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Moreover, the coverage claimed in a patent application can be significantly reduced before the patent is issued, and its scope can be reinterpreted after issuance. Even if patent applications we own or 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license may be challenged or circumvented by third parties or may be narrowed or invalidated as a result of challenges by third parties. Consequently, we do not know whether seralutinib will be protectable or remain protected by valid and enforceable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issuance of a patent is not conclusive as to its inventorship, scope, validity or enforceability, and our patents may not cover seralutinib or may be challenged in the courts or patent offices in the United States and abroad. We may be subject to a third party pre-issuance submission of prior art to the USPTO, or become involved in opposition, derivation, revocation, reexamination, post-grant review, or PGR, and inter parties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seralutinib and compete directly with us, without payment to us. Such loss of patent rights, loss of exclusivity or in patent claims being narrowed, invalidated or held unenforceable could limit our ability to stop others from using or commercializing similar or identical technology and products, or limit the duration of the patent protection of seralutinib.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seralutinib.</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patent protection and patent prosecution for seralutinib may be dependent on third parties.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with respect to seralutinib.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license agreement with Pulmokine, Gilead Sciences and the Rensselaer Center for Translational Research, Inc.,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seralutinib, our ability to develop and commercialize seralutinib may be adversely affected and we may not be able to prevent competitors from making, using and selling competing products.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we are limited in our ability to utilize acquired or licensed technologies, or if we lose our rights to critical in-licensed technology, we may be unable to successfully develop, out-license, market and sell seralutinib, which could prevent or delay new product introductions. Our business strategy depends on the successful development of seralutinib, which is a licensed technologies, into a commercial product. Therefore, any limitations on our ability to utilize these technologies may impair our ability to develop, out-license or market and sell seralutinib.</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Some of our intellectual property has been discovered through government-funded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Some of the intellectual property rights we have licensed or may acquire or license in the future may have been generated through the use of U.S. government funding and may therefore be subject to certain federal regulations. For example, some of the research and development work on seralutinib was funded by government research grants. As a result, the U.S. government may have certain rights to intellectual property embodied in seralutinib pursuant to the Bayh-Dole Act of 1980, or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 to our competitive advantage.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others may be able to develop products that are similar to seralutinib but that are not covered by the claims of the patents that we own or license;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or our licensors or predecessors might not have been the first to make the inventions covered by the issued patents or patent application that we own or license;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or our licensors or predecessors might not have been the first to file patent applications covering certain of our inventions;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it is possible that our pending patent applications will not lead to issued patents;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issued patents that we own or license may be held invalid or unenforceable, as a result of legal challenges by our competitors;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we may not develop additional proprietary technologies that are patentable;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patents of others may have an adverse effect on our business.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it could significantly harm our business, results of operations and prospects.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seralutinib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seralutinib. There may be third-party patents or patent applications with claims to materials, formulations, methods of manufacture or methods for treatment related to the use or manufacture of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the biopharmaceutical industry expands and more patents are issued, the risk increases that seralutinib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seralutinib, and we cannot be certain that we were the first to file a patent application related to seralutinib or related technology. Moreover, because patent applications can take many years to issue, there may be currently-pending patent applications that may later result in issued patents that seralutinib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these patents. Any claims of patent infringement asserted by third parties would be time consuming and could: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result in costly litigation that may cause negative publicity;</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divert the time and attention of our technical personnel and management;</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cause development delays;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prevent us from commercializing seralutinib until the asserted patent expires or is held finally invalid or not infringed in a court of law;</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require us to develop non-infringing technology, which may not be possible on a cost-effective basis;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subject us to significant liability to third parties; or</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Although no third party has asserted a claim of patent infringement against us as of the date of this annual report on Form 10-K, others may hold proprietary rights that could prevent seralutinib from being marketed. Any patent-related legal action against us claiming damages and seeking to enjoin activities relating to seralutinib or processes could subject us to potential liability for damages, including treble damages if we were determined to willfully infringe, and require us to obtain a license to manufacture or develop seralutinib.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seralutinib or processes to avoid infringement, if necessary. Accordingly, an adverse determination in a judicial or administrative proceeding, or the failure to obtain necessary licenses, could prevent us from developing and commercializing seralutinib, which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patents or the patents of our licensors, which could be expensive, time consuming and unsuccessful. Further, our issued patents could be found invalid or unenforceable if challenged in court.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Competitors may infringe our intellectual property rights or those of our licensors. To prevent infringement or unauthorized use, we and/or our licensors may be required to file infringement claims, which can be expensive and time 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seralutinib,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or non-enablement. Grounds for an unenforceability assertion could include an allegation that someone connected with prosecution of the patent withheld relevant information from the USPTO or made a misleading statement during prosecution.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a defendant were to prevail on a legal assertion of invalidity and/or unenforceability, we would lose at least part, and perhaps all, of the patent protection on seralutinib. In addition, if the breadth or strength of protection provided by our patents and patent applications or those of our licensors is threatened, it could dissuade companies from collaborating with us to license, develop or commercialize seralutinib or future product candidates. Such a loss of patent protection would have a material adverse impact on our business.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Intellectual property litigation may lead to unfavorable publicity that harms our reputation and causes the market price of our common shares to decline.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Derivation or interference proceedings may be necessary to determine priority of inventions, and an unfavorable outcome may require us to cease using the related technology or to attempt to license rights from the prevailing party.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Derivation or interference proceedings provoked by third parties or brought by us or declared by the USPTO or similar proceedings in foreign patent offices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programs, license necessary technology from third parties or enter into development or manufacturing partnerships that would help us bring seralutinib to market.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 patent reform legislation could increase the uncertainties and costs surrounding the prosecution of our patent applications and the enforcement or defense of our issued patents.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seralutinib or (2) invent any of the inventions claimed in our patents or patent applications.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a Unitary Patent and Unified Patent Court (UPC) system were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Changes in U.S. patent law, or laws in other countries, could diminish the value of patents in general, thereby impairing our ability to protect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claims challenging the inventorship or ownership of our patents and other intellectual property.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seralutinib for an adequate amount of time.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seralutinib are obtained, once the patent life has expired, we may be open to competition from competitive products. Given the amount of time required for the development, testing and regulatory review of seralutinib, patents protecting seralutinib might expire before or shortly after seralutinib is commercialized. As a result, our patent portfolio may not provide us with sufficient rights to exclude others from commercializing products similar or identical to ours.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do not obtain patent term extension for seralutinib, our business may be materially harmed.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Depending upon the timing, duration and specifics of FDA marketing approval of seralutinib, one or more of our U.S. patents may be eligible for limited patent term restoration under the Drug Price Competition and Patent Term Restoration Act of 1984, or the Hatch-Waxman Amendments. The Hatch- 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seralutinib.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Although we have issued patents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seralutinib, and our patents or other intellectual property rights may not be effective or sufficient to prevent them from competing.</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proprietary rights. Proceedings to enforce our patent rights in foreign jurisdictions could result in substantial costs and divert our efforts and attention from other aspects of our business, could put our patents at risk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our business and competitive position would be harmed.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inside and outside the United States are less willing or unwilling to protect trade secrets.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is common in the biopharmaceutical industry, in addition to our employees, we engage the services of consultants to assist us in the development of seralutinib.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An active, liquid and orderly market for our common stock may not be maintained.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only began trading on the Nasdaq Global Select Market, or Nasdaq, in February 2019, and we can provide no assurance that we will be able to maintain an active trading market for our common stock.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trading price of the shares of our common stock could be highly volatile, and purchasers of our common stock could incur substantial losses.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stock price has been and is likely to be volatile. Since the shares were sold in our initial public offering, or IPO, in February 2019 at a price of $16.00 per share, the price per share of our common stock has ranged as low as $0.33 and as high as $27.15 through March 10, 2026.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an inability to obtain additional funding to fund continuing operations;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$200.0 million in aggregate principal amount of 5.00% convertible senior notes due May 2027;</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results of our clinical trials and preclinical studies, and the results of trials of our competitors or those of other companies in our market sector;</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regulatory approval of seralutinib, or limitations to specific label indications or patient populations for its use, or changes or delays in the regulatory review process;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ability to enroll subjects in our ongoing and future clinical trials;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regulatory developments in the United States and foreign countries;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changes in the structure of healthcare payment systems, especially in light of current reforms to the U.S. healthcare system;</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success or failure of our efforts to acquire, license or develop additional product candidates;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innovations or new products developed by us or our competitors;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announcements by us or our competitors of significant acquisitions, strategic partnerships, joint ventures or capital commitments;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manufacturing, supply or distribution delays or shortages;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any changes to our relationship with Chiesi or any manufacturers, suppliers, licensors, future collaborators or other strategic partners;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achievement of expected product sales and profitability;</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variations in our financial results or those of companies that are perceived to be similar to us;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market conditions in the biopharmaceutical sector and issuance of securities analysts’ reports or recommendations;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trading volume of our common stock;</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an inability to obtain additional funding;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sales of our stock by insiders and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general economic, industry and market conditions other events or factors, many of which are beyond our control, such as health pandemics, military conflicts, state-sponsored hostilities, terrorist activities, inflation and interest changes and financial institution instability;</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additions or departures of key personnel;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intellectual property, product liability or other litigation against us.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failure to meet the continued listing requirements of the Nasdaq could result in a delisting of our common stock.</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executive officers, directors and principal stockholders, if they choose to act together, have the ability to control or significantly influence all matters submitted to stockholders for approval.</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executive officers, directors and greater than 5% stockholders, in the aggregate, own approximately 15.9% of our outstanding common stock as of March 10, 2026. As a result, such persons or their appointees to our board of directors, acting together,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do not currently intend to pay dividends on our common stock, and, consequently, your ability to achieve a return on your investment will depend on appreciation, if any, in the price of our common stock.</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by our existing stockholders in the public market could cause our stock price to fall.</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could discourage a takeover that stockholders may consider favorable and may lead to entrenchment of management.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 classified board of directors with three-year staggered terms, which may delay the ability of stockholders to change the membership of a majority of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required approval of at least 66-2/3% of the shares entitled to vote to remove a director for cause, and the prohibition on removal of directors without cause;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ability of our board of directors to alter our amended and restated bylaws without obtaining stockholder approval;</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an exclusive forum provision providing that the Court of Chancery of the State of Delaware will be the exclusive forum for certain actions and proceedings;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requirement that a special meeting of stockholders may be called only by the board of directors, which may delay the ability of our stockholders to force consideration of a proposal or to take action, including the removal of directors;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will be the exclusive forum for substantially all disputes between us and our stockholders, and our amended and restated bylaws provide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exclusive forum provision would not apply to suits brought to enforce a duty or liability created by the Exchange Act or any other claim for which the federal courts have exclusive jurisdiction. Furthermore, our amended and restated bylaws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incorporation has been challenged in legal proceedings, and it is possible that a court could find these types of provisions to be inapplicable or unenforceable. If a court were to find the choice of forum provisions in our amended and restated certificate of incorporation or amended and restated bylaws to be inapplicable or unenforceable in an action, we may incur additional costs associated with resolving such action in other jurisdictions, which could adversely affect our business and financial condition.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ability to use net operating loss carryforwards and other tax attributes may be limited.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substantial losses during our history, do not expect to become profitable in the near future, and may never achieve profitability. To the extent that we continue to generate losses for tax purposes, such losses will carry forward to offset future taxable income, if any, until such losses are used to offset taxable income (if ever) or expire (if at all). As of December 31, 2025, we had gross federal and state net operating loss carryforwards, or NOLs, of approximately $540.6 million and $10.2 million, respectively. Our state NOLs that are subject to expiration will begin to expire in 2036, unless previously utilized. The majority of our federal NOLs are not subject to expiration but may only be used to offset 80% of our taxable income. As of December 31, 2025, the Company has foreign NOLs of approximately $143.3 million. The foreign NOLs can be carried forward indefinitely. As of December 31, 2025, we also had orphan drug credit and federal research tax credit carryforwards of approximately $65.8 million and California research tax credits of $12.0 million. The federal research tax credit carryforwards begin to expire in 2038. The California research tax credit carryforward does not expire and can be carried forward indefinitely until utilized. We also have gross capital loss carryforwards of $96.0 million that begin to expire in 2028.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NOLs and credit carryforwards are subject to review and possible adjustment by the Internal Revenue Service and state tax authorities. In addition, under Sections 382 and 383 of the Internal Revenue Code of 1986, as amended, or the Code, our federal NOLs and credit carryforwards may become subject to an annual limitation in the event of certain cumulative changes in the ownership interest of significant stockholders (or groups of stockholders) in excess of 50 percentage points over a rolling three-year period. Similar rules may apply under state and foreign tax laws. We have conducted an analysis through December 31, 2024, and we experienced ownership changes in February 2019, in connection with our IPO, and in July 2023. Consequently, utilization of our federal and certain state NOLs, tax credits, and other tax attributes generated through July 2023 are subject to annual limitations. Our state tax credits and the majority of our federal NOLs are indefinite carryforwards and as such are not expected to expire unused as a result of such annual limitations, assuming we otherwise have taxable income or income tax liabilities in future periods; however, we expect that some or all of the state NOLs, federal credits and capital losses generated through July 2023 will expire prior to utilization. We have not performed a Section 382 analysis since December 2024. If additional ownership changes have or do occur as a result of changes in our stock ownership, many of which are outside our control, the NOL and credit carryforwards could be subject to further annual limitations. If we earn taxable income, such annual limitations could result in increased future tax liability to us and our future cash flows could be adversely affected. We have recorded a full valuation allowance related to our NOLs and other deferred tax assets due to the uncertainty of the ultimate realization of the future benefits of those assets.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been involved in securities class action litigation and could be subject in the future to securities class action litigation.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including our recent stock price volatility following the announcement of the Phase 3 PROSERA clinical trial topline results. On April 3, 2020, we, certain of our executive officers and directors, and the underwriters of our IPO were named as defendants in a purported securities class action lawsuit. The complaint, as amended, was filed on behalf of all investors who purchased our securities pursuant to or traceable to our February 8, 2019 IPO, and alleged that we, and such executive officers and directors and the underwriters of our IPO, made false and/or misleading statements and failed to disclose material adverse facts about our business, operations and prospects. On September 30, 2022, the court entered a judgment approving the class action settlement in which we agreed to pay approximately $2.4 million, in exchange for customary releases and settlement terms. This lawsuit and any future lawsuits to which we may become a party are subject to inherent uncertainties and may be expensive and time-consuming to investigate, defend and resolve, and may divert our management’s attention and financial and other resources. The outcome of litigation is necessarily uncertain, and we could be forced to expend significant resources in the defense of future litigation,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a smaller reporting company within the meaning of the Securities Act, and if we decide to take advantage of certain exemptions from various reporting requirements applicable to smaller reporting companies, our common stock could be less attractive to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For so long as we qualify as a smaller reporting company, we will have the option to take advantage of certain exemptions from various reporting and other requirements that are applicable to other public companies that are not smaller reporting companies, including, but not limited to reduced disclosure obligations regarding executive compensation in our periodic reports and proxy statements. In addition, for as long as we are deemed neither a large accelerated filer nor accelerated filer, we may continue to use the exemption from compliance with the auditor attestation requirements of Section 404 of the Sarbanes-Oxley Act of 2002, as amended, or the Sarbanes-Oxley Act.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will remain a smaller reporting company and non-accelerated filer until we have a public float of $700 million or more as of the last business day of our most recently completed second fiscal quarter and annual revenues of less than $100 million, or a public float of $250 million or more as of the last business day of our most recently completed second fiscal quarter and annual revenues of $100 million or more. We will need to reassess, as of June 30, 2026, whether we will continue to qualify as a smaller reporting company and a non-accelerated filer for filings beyond the fiscal year ending December 31, 2026.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and any of our third-party manufacturers or suppliers may use potent chemical agents and hazardous materials, and any claims relating to improper handling, storage or disposal of these materials could be time consuming or costly.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and any of our third-party manufacturers or suppliers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information technology, or IT, systems, or those of any of our CROs, manufacturers, other contractors or consultants or Chiesi or potential future collaborators, may fail or suffer security breaches, which could result in a material disruption of our seralutinib development program, which could materially affect our results.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collect and maintain information in digital form that is necessary to conduct our business, and we are increasingly dependent on IT systems and infrastructure to operate our business. In the ordinary course of our business, we collect, store and transmit large amounts of confidential information, including intellectual property, proprietary business information, clinical trial data, and personal information, or collectively, Confidential Information, of customers and our employees and contractors. It is critical that we do so in a secure manner to maintain the confidentiality and integrity of such Confidential Information.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our cybersecurity program and processes, including our policies, controls or procedures, will be fully implemented, complied with or effective in protecting our systems and Confidential Information. Despite the implementation of security measures as part of our cybersecurity program, our IT systems and those of our current and any future CROs and other contractors, consultants and collaborators are vulnerable to attack and damage from various threat actors, including computer viruses and malware (e.g., ransomware), misconfigurations, “bugs” or other vulnerabilities,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cybersecurity threats, unauthorized access, natural disasters, terrorism, war and telecommunication and electrical failures. Attacks upon IT systems are increasing in their frequency, levels of persistence, sophistication and intensity, and are being conducted by sophisticated and organized groups and individuals with a wide range of motives and expertise. As a result of the continued hybrid working environment, we may also face increased cybersecurity risks due to our reliance on internet technology and the number of our employees who are working remotely, which may create additional opportunities for cybercriminals to exploit vulnerabilities. Additionally, any integration of AI in our or any third party’s operations, products or services is expected to pose new or unknown cybersecurity risks and challenges.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Chiesi and certain of our service providers are from time to time subject to cyberattacks and security incidents, including but not limited to persistent brute force attempts and password spraying, targeted spearphishing and smishing (text message phishing), email phishing including malware attempts, and third-party vendor cybersecurity incidents and related data breaches. While we do not believe that we have experienced any significant system failure, accident or security breach to date, if such an event were to occur and cause interruptions in our operations or result in the unauthorized disclosure of or access Confidential Information, it could result in a material disruption of our development programs and our business operations, whether due to a loss of our trade secrets or other similar disruptions. The loss of clinical trial data from completed or future clinical trials could result in delays in our regulatory approval efforts and significantly increase our costs to recover or reproduce the data. We could also incur liability and the further development and commercialization of seralutinib could be delayed. In addition, we also rely on third parties to manufacture seralutinib, so similar events relating to their computer systems could also have a material adverse effect on our business. Some of the federal, state and foreign government requirements under data privacy and security laws include obligations of companies to notify individuals of security breaches involving particular personally identifiable information, which could result from breaches experienced by us or by our service providers or organizations with which we have formed strategic relationships. Notifications and follow-up actions related to a security breach could impact our reputation, cause us to incur significant costs, including legal expenses, harm customer confidence, hurt our expansion into new markets, cause us to incur remediation costs, or cause us to lose existing customers. Further, our insurance coverage may not be sufficient to cover the financial, legal, business or reputational losses that may result from an interruption or breach of our systems. To the extent that any disruption or security breach were to result in violations of privacy and security laws, we could also be subject to significant fines, penalties or liabilities, which could adversely affect our business, financial condition, results of operations and prospects.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Business disruptions could seriously harm our future revenue and financial condition and increase our costs and expenses.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operations could be subject to earthquakes, power shortages, telecommunications failures, water shortages, floods, hurricanes, typhoons, fires, extreme weather conditions, and other natural or manmade disasters or business interruptions, for which we are predominantly self-insured. We rely on third-party manufacturers to produce seralutinib. Our ability to obtain clinical supplies of seralutinib could be disrupted if the operations of these suppliers were affected by a man-made or natural disaster or other business interruption. In addition, our corporate headquarters is located in San Diego,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Unfavorable global economic conditions and adverse developments with respect to financial institutions and associated liquidity risk could adversely affect our business, financial condition and stock price.</w:t>
      </w:r>
    </w:p>
    <w:p>
      <w:pPr>
        <w:pStyle w:val="TextBody"/>
        <w:bidi w:val="0"/>
        <w:spacing w:lineRule="auto" w:line="288" w:before="200" w:after="283"/>
        <w:jc w:val="left"/>
        <w:rPr>
          <w:color w:val="000000"/>
        </w:rPr>
      </w:pPr>
      <w:r>
        <w:rPr>
          <w:color w:val="000000"/>
        </w:rPr>
        <w:t>        </w:t>
      </w:r>
      <w:r>
        <w:rPr>
          <w:rFonts w:ascii="Times New Roman;serif" w:hAnsi="Times New Roman;serif"/>
          <w:b w:val="false"/>
          <w:color w:val="000000"/>
          <w:sz w:val="20"/>
        </w:rPr>
        <w:t xml:space="preserve">The global credit and financial markets are currently, and have from time to time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The financial markets and the global economy may also be adversely affected by the current or anticipated impact of military conflict, terrorism or other geopolitical events, including recent events in the Middle East. Sanctions imposed by the United States and other countries in response to such conflicts may also adversely impact the financial markets and the global economy, and any economic countermeasures by the affected countries or others could exacerbate market and economic instability. Additionally, any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For example, in 2023 the closures of Silicon Valley Bank, or SVB, and Signature Bank and their placement into receivership with the Federal Deposit Insurance Corporation,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FDIC created bank-specific and broader financial institution liquidity risk and concerns.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seralutinib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clinical trial sites within regions covered by such sanctions. For example, as a result of the military conflict between Russia and Ukraine, the United States and its European allies announced the imposition of sanctions on certain industry sectors and parties in Russia and the regions of Donetsk and Luhansk in Ukraine, as well as enhanced export controls on certain products and industries. These and any additional sanctions and export controls, as well as any economic countermeasures by the governments of Russia or other jurisdictions, could adversely impact our ability to continue activities at clinical trial sites within regions covered by such sanctions or directly or indirectly disrupt our supply chain. If we fail to comply with export and import regulations and such economic sanctions, penalties could be imposed, including fines and/or denial of certain export privileges.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Changes to United States tariff and import/export regulations may have a negative effect on us.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 United States has enacted, and continues to consider, a range of trade-related measures, including tariffs, export controls, and other policies. The President of the United States has directed agencies to reassess key aspects of U.S. trade policy, and there has been ongoing debate and uncertainty surrounding potential changes to trade agreements, tariff structures, and foreign investment regulations. For example, on February 20, 2026, the United States Supreme Court issued a ruling striking down certain tariffs previously imposed under the International Emergency Economic Powers Act of 1977 (“IEEPA”). Following the Supreme Court’s decision, President Trump stated that he intends to use other authorities to invoke other laws to collect tariffs and announced new tariffs on imports from all countries. There remains substantial uncertainty regarding the duration of existing and newly announced tariffs, potential changes or pauses to such tariffs, tariff levels, and whether further additional tariffs or other retaliatory actions may be imposed, modified, or suspended. Shifts in trade policy, whether through legislation, executive action, or international negotiation, could alter the global trade landscape and affect supply chains, pricing, and demand for goods and services. These developments, or the perception that such changes may occur, have and could continue to have a material adverse effect on global economic conditions, contribute to volatility in financial markets,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disrupt international trade, including trade between the U.S. and its key partners. Any of these factors could depress economic activity and the development and commercialization of our product candidates, which could result in a material adverse effect on our business,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incur significant costs as a result of operating as a public company, and our management will be required to devote substantial time to new compliance initiatives.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a public company, we incur significant legal, accounting and other expenses. We are subject to the reporting requirements of the Exchange Act, which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apply to us.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rules and regulations applicable to public companies have increased and may continue to increase our legal and financial compliance costs and to make some activities more time 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these rules and regulations make it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or publish unfavorable research or reports about our business, our stock price and trading volume could decline.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depend in part on the research and reports that securities or industry analysts publish about us, our business, our market or our competitors. If these analysts cease coverage of our company, the trading price for our stock would be negatively impacted.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pStyle w:val="TextBody"/>
        <w:bidi w:val="0"/>
        <w:spacing w:lineRule="auto" w:line="288" w:before="200" w:after="283"/>
        <w:jc w:val="left"/>
        <w:rPr/>
      </w:pPr>
      <w:r>
        <w:rPr>
          <w:rFonts w:ascii="Times New Roman;serif" w:hAnsi="Times New Roman;serif"/>
          <w:b/>
          <w:i/>
          <w:color w:val="000000"/>
          <w:sz w:val="20"/>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r>
        <w:rPr>
          <w:rFonts w:ascii="Times New Roman;serif" w:hAnsi="Times New Roman;serif"/>
          <w:b w:val="false"/>
          <w:color w:val="000000"/>
          <w:sz w:val="20"/>
        </w:rPr>
        <w: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Pursuant to Section 404 of Sarbanes-Oxley, our management is required to annually report upon the effectiveness of our internal control over financial reporting. However, as a smaller reporting company and a non-accelerated filer and in accordance with new SEC rules effective in 2020, our independent registered public accounting firm will not be required to attest to the effectiveness of our internal control over financial reporting pursuant to Section 404 for as long as we are not deemed an “accelerated filer” or “large accelerated filer. The rules governing the standards that must be met for management to assess our internal control over financial reporting are complex and require significant documentation, testing and possible remediation. If we or, if required, our auditors are unable to conclude that our internal control over financial reporting is effective, investors may lose confidence in our financial reporting and the trading price of our common stock may decline.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determined that our internal control over financial reporting was effective as of December 31, 2025,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Changes in tax laws may materially adversely affect our financial condition, results of operations and cash flows.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New income, sales, use or other tax laws, statutes, rules, regulations or ordinances, including in the United States or Ireland, could be enacted at any time, or interpreted, changed, modified or applied adversely to us, any of which could adversely affect our business operations and financial performance. We are currently unable to predict whether such changes will occur and, if such changes do occur, the ultimate impact on our business. To the extent that such changes have a negative impact on us, including as a result of related uncertainty, these changes may materially and adversely impact our business,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1B. Unresolved Staff Comments.</w:t>
      </w:r>
    </w:p>
    <w:p>
      <w:pPr>
        <w:pStyle w:val="TextBody"/>
        <w:bidi w:val="0"/>
        <w:spacing w:lineRule="auto" w:line="288" w:before="20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pStyle w:val="TextBody"/>
        <w:bidi w:val="0"/>
        <w:spacing w:before="200" w:after="283"/>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Item 1C. Cybersecurity.</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Cybersecurity Risk Management and Strategy</w:t>
      </w:r>
    </w:p>
    <w:p>
      <w:pPr>
        <w:pStyle w:val="TextBody"/>
        <w:bidi w:val="0"/>
        <w:spacing w:lineRule="auto" w:line="288" w:before="20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developed and implemented a cybersecurity governance program intended to protect the confidentiality, integrity, and availability of our critical systems and information.</w:t>
      </w:r>
    </w:p>
    <w:p>
      <w:pPr>
        <w:pStyle w:val="TextBody"/>
        <w:bidi w:val="0"/>
        <w:spacing w:lineRule="auto" w:line="288" w:before="20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design and assess our program based on the National Institute of Standards and Technology Cybersecurity Framework (NIST CSF). This does not imply we meet any particular technical standards, specifications, or requirements, only that we use the NIST CSF as a guide to help us identify, assess, and manage cybersecurity risks relevant to our business.</w:t>
      </w:r>
    </w:p>
    <w:p>
      <w:pPr>
        <w:pStyle w:val="TextBody"/>
        <w:bidi w:val="0"/>
        <w:spacing w:lineRule="auto" w:line="288" w:before="20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cybersecurity governance program includes reporting channels to the executive management team and an internal Cybersecurity Oversight Committee, as well as governance processes which communicate cybersecurity risks to departments across the organization, including legal, strategic, operational, and financial areas. This encourages consideration of cybersecurity oversight, accountability and diligence across the organization.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Key elements of our cybersecurity governance program includes but are not limited to the following: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processes to assess cybersecurity risk, designed to help identify material risks from cybersecurity threats to critical systems and information;</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 security team principally responsible for coordinating and managing (1) cybersecurity risk evaluation processes, (2) implementation of cybersecurity controls, and (3) response to cybersecurity incidents;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use of external service providers, where appropriate, to assess, test or otherwise assist with aspects of the organization’s cybersecurity processes;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 xml:space="preserve">cybersecurity awareness training of employees, including incident response personnel including third party providers, and senior management; </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 cybersecurity incident response plan which includes procedures for responding to cybersecurity incidents;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 third-party risk management process for key service providers based on our assessment of their criticality to our operations and respective risk profile.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pPr>
      <w:r>
        <w:rPr>
          <w:rFonts w:ascii="Times New Roman;serif" w:hAnsi="Times New Roman;serif"/>
          <w:b w:val="false"/>
          <w:color w:val="000000"/>
          <w:sz w:val="20"/>
          <w:shd w:fill="FFFFFF" w:val="clear"/>
        </w:rPr>
        <w:t xml:space="preserve">We have not identified risks from known cybersecurity threats, including as a result of any prior cybersecurity incidents, which have materially affected us, including our operations, business strategy, results of operations, or financial condition. We face risks from cybersecurity threats that, if realized, are reasonably likely to materially affect the organization, including operations, business strategy, results of operations, or financial condition. See “Risk Factors - </w:t>
      </w:r>
      <w:r>
        <w:rPr>
          <w:rFonts w:ascii="Times New Roman;serif" w:hAnsi="Times New Roman;serif"/>
          <w:b w:val="false"/>
          <w:i/>
          <w:color w:val="000000"/>
          <w:sz w:val="20"/>
          <w:shd w:fill="FFFFFF" w:val="clear"/>
        </w:rPr>
        <w:t>Our information technology systems, or those of any of our CROs, manufacturers, other contractors or consultants or Chiesi or potential future collaborators, may fail or suffer security breaches, which could result in a material disruption of our seralutinib development program, which could materially affect our results.”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Cybersecurity Governance</w:t>
      </w:r>
    </w:p>
    <w:p>
      <w:pPr>
        <w:pStyle w:val="TextBody"/>
        <w:bidi w:val="0"/>
        <w:spacing w:lineRule="auto" w:line="288" w:before="20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Board considers cybersecurity risk as part of its risk oversight function and has delegated to the Audit Committee oversight of cybersecurity risks, including oversight of management’s implementation of the cybersecurity governance program. </w:t>
      </w:r>
    </w:p>
    <w:p>
      <w:pPr>
        <w:pStyle w:val="TextBody"/>
        <w:bidi w:val="0"/>
        <w:spacing w:lineRule="auto" w:line="288" w:before="20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Audit Committee receives formal annual reports from IT management regarding cybersecurity risks. In addition, management would update the Audit Committee and Board, where it deems appropriate, regarding cybersecurity incidents it considers to be significant or potentially significant. The Audit Committee reports to the full Board regarding its activities, including those related to cybersecurity. </w:t>
      </w:r>
    </w:p>
    <w:p>
      <w:pPr>
        <w:pStyle w:val="TextBody"/>
        <w:bidi w:val="0"/>
        <w:spacing w:lineRule="auto" w:line="288" w:before="20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Assessment and management of material risks from cybersecurity threats are performed by the Executive Director, Information Security, Risk &amp; Compliance and the Vice President, IT and Facilities, reporting to the Executive Vice President, Technical Operations and Administration. Our Executive Vice President, Technical Operations and Administration reports to the President and Chief Executive Officer. This group holds primary responsibility for our overall cybersecurity governance program, along with our internal Cybersecurity Oversight Committee, which includes senior personnel from key departments in the organization. Individual cybersecurity experience for the group responsible for the program is detailed below. The collective experience of the individuals listed above, along with the Cybersecurity Oversight Committee, includes decades of experience working in and overseeing IT and cybersecurity functions and enterprise, IT and cybersecurity risk management functions, in addition to holding active technical cybersecurity certifications and maintaining active membership in cybersecurity professional organizations, as well as local groups, to support knowledge share and ongoing cybersecurity professional development. </w:t>
      </w:r>
    </w:p>
    <w:p>
      <w:pPr>
        <w:pStyle w:val="TextBody"/>
        <w:bidi w:val="0"/>
        <w:spacing w:lineRule="auto" w:line="288" w:before="20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Executive Vice President, Technical Operations and Administration (EVP) brings more than two decades of senior leadership experience across the biotechnology and pharmaceutical sectors, having served in roles including General Counsel, Managing Director, and Vice President at multiple global life science organizations. The EVP continues to provide strategic oversight of corporate operations, legal governance, and enterprise risk management. In addition the EVP provides active leadership on cybersecurity program maturity, regulatory alignment, and enterprise resilience. This includes evaluation of cybersecurity risk posture, accountability for key IT and security controls, and board level monitoring of cybersecurity operations, incident readiness, and compliance frameworks aligned with industry best practices. The EVP plays a critical role in ensuring organizational integrity, operational continuity, and protection of sensitive scientific, clinical, and corporate information assets.</w:t>
      </w:r>
    </w:p>
    <w:p>
      <w:pPr>
        <w:pStyle w:val="TextBody"/>
        <w:bidi w:val="0"/>
        <w:spacing w:lineRule="auto" w:line="288" w:before="20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Vice President of IT (VP) is a highly experienced technology executive with decades of hands on expertise architecting, deploying, and managing enterprise IT systems in highly regulated and rapidly scaling environments.The VP has designed and implemented Zero Trust frameworks, conditional access models, and cloud first architectures that strengthen organizational security and performance. In addition to hands-on cybersecurity experience, the VP has managed full scope IT operations, including network and systems engineering, enterprise cloud migrations, endpoint lifecycle management, and service delivery excellence. The VP plays a critical role in elevating the organization’s technology posture, enhancing cybersecurity resilience, and delivering secure, reliable, high performance IT environments.</w:t>
      </w:r>
    </w:p>
    <w:p>
      <w:pPr>
        <w:pStyle w:val="TextBody"/>
        <w:bidi w:val="0"/>
        <w:spacing w:lineRule="auto" w:line="288" w:before="20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Executive Director, Information Security, Risk &amp; Compliance (ED) brings over sixteen years of hands on and strategic experience across cybersecurity engineering, governance, risk management, compliance, and IT operations. The ED has led and executed programs spanning technical and business domains, including enterprise business continuity and disaster recovery planning, identity and access management architecture, access administration, security monitoring and incident response, and third party/vendor risk management. Cybersecurity tools administration experience includes endpoint detection and response, cloud security, identity governance, vulnerability management, and Zero Trust–aligned architectures. The ED maintains active CISSP, CISA, and CDPSE certifications. The ED is a member of the local FBI InfraGard chapter, an active member of ISACA, ISC2, and multiple regional CISO executive roundtables. These affiliations support continuous knowledge exchange, including best practice program development, emergent threat intelligence collaboration, and real time peer benchmarking for modern cyber defense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231F20"/>
          <w:sz w:val="20"/>
        </w:rPr>
        <w:t>Item 2. Properties</w:t>
      </w:r>
      <w:r>
        <w:rPr>
          <w:rFonts w:ascii="Times New Roman;serif" w:hAnsi="Times New Roman;serif"/>
          <w:b w:val="false"/>
          <w:color w:val="231F20"/>
          <w:sz w:val="20"/>
        </w:rPr>
        <w: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are located in San Diego, California, where we currently lease approximately 18,421 square feet of office space. We use our corporate headquarters primarily for corporate, research, development, clinical, regulatory, manufacturing and quality functions. Our lease for this facility expires in October 2029. We believe that our facilities are adequate to meet our current needs, and that suitable additional alternative spaces will be available in the future on commercially reasonable terms, if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3. Legal Proceedings.</w:t>
      </w:r>
    </w:p>
    <w:p>
      <w:pPr>
        <w:pStyle w:val="TextBody"/>
        <w:bidi w:val="0"/>
        <w:spacing w:lineRule="auto" w:line="288" w:before="20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not currently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231F20"/>
          <w:sz w:val="20"/>
        </w:rPr>
      </w:pPr>
      <w:r>
        <w:rPr>
          <w:rFonts w:ascii="Times New Roman;serif" w:hAnsi="Times New Roman;serif"/>
          <w:b/>
          <w:color w:val="231F20"/>
          <w:sz w:val="20"/>
        </w:rPr>
        <w:t>Item 4. Mine Safety Disclosures.</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231F20"/>
          <w:sz w:val="20"/>
        </w:rPr>
      </w:pPr>
      <w:r>
        <w:rPr>
          <w:rFonts w:ascii="Times New Roman;serif" w:hAnsi="Times New Roman;serif"/>
          <w:b/>
          <w:color w:val="231F2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5. Market for Registrant’s Common Equity, Related Stockholder Matters and Issuer Purchases of Equity Securities.</w:t>
      </w:r>
    </w:p>
    <w:p>
      <w:pPr>
        <w:pStyle w:val="TextBody"/>
        <w:bidi w:val="0"/>
        <w:spacing w:lineRule="auto" w:line="288" w:before="200" w:after="283"/>
        <w:ind w:left="0" w:right="0" w:firstLine="1440"/>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under the symbol “GOSS.”</w:t>
      </w:r>
    </w:p>
    <w:p>
      <w:pPr>
        <w:pStyle w:val="TextBody"/>
        <w:bidi w:val="0"/>
        <w:spacing w:lineRule="auto" w:line="288" w:before="200" w:after="283"/>
        <w:ind w:left="0" w:right="0" w:firstLine="1440"/>
        <w:jc w:val="left"/>
        <w:rPr>
          <w:rFonts w:ascii="Times New Roman;serif" w:hAnsi="Times New Roman;serif"/>
          <w:b/>
          <w:color w:val="000000"/>
          <w:sz w:val="20"/>
        </w:rPr>
      </w:pPr>
      <w:r>
        <w:rPr>
          <w:rFonts w:ascii="Times New Roman;serif" w:hAnsi="Times New Roman;serif"/>
          <w:b/>
          <w:color w:val="000000"/>
          <w:sz w:val="20"/>
        </w:rPr>
        <w:t>Holders of Common Stock</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March 10, 2026, there were 234,696,281 shares of our common stock outstanding held by approximately 33 holders of record of our common stock. This number was derived from our shareholder records and does not include beneficial owners of our common stock whose shares are held in the name of various dealers, clearing agencies, banks, brokers and other fiduciaries.</w:t>
      </w:r>
    </w:p>
    <w:p>
      <w:pPr>
        <w:pStyle w:val="TextBody"/>
        <w:bidi w:val="0"/>
        <w:spacing w:lineRule="auto" w:line="288" w:before="200" w:after="283"/>
        <w:ind w:left="0" w:right="0" w:firstLine="144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pStyle w:val="TextBody"/>
        <w:bidi w:val="0"/>
        <w:spacing w:lineRule="auto" w:line="288" w:before="200" w:after="283"/>
        <w:ind w:left="0" w:right="0" w:firstLine="1440"/>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See Item 12 of Part III of this Annual Report on Form 10-K for information about our equity compensation plans which is incorporated by reference herein.</w:t>
      </w:r>
    </w:p>
    <w:p>
      <w:pPr>
        <w:pStyle w:val="TextBody"/>
        <w:bidi w:val="0"/>
        <w:spacing w:lineRule="auto" w:line="288" w:before="200" w:after="283"/>
        <w:jc w:val="left"/>
        <w:rPr/>
      </w:pPr>
      <w:r>
        <w:rPr>
          <w:color w:val="000000"/>
        </w:rPr>
        <w:t>        </w:t>
      </w:r>
      <w:r>
        <w:rPr>
          <w:rFonts w:ascii="Times New Roman;serif" w:hAnsi="Times New Roman;serif"/>
          <w:b/>
          <w:color w:val="000000"/>
          <w:sz w:val="20"/>
        </w:rPr>
        <w:t>Unregistered Sales of Equity Securities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00" w:after="283"/>
        <w:ind w:left="0" w:right="0" w:firstLine="1440"/>
        <w:jc w:val="left"/>
        <w:rPr>
          <w:rFonts w:ascii="Times New Roman;serif" w:hAnsi="Times New Roman;serif"/>
          <w:b/>
          <w:color w:val="000000"/>
          <w:sz w:val="20"/>
        </w:rPr>
      </w:pPr>
      <w:r>
        <w:rPr>
          <w:rFonts w:ascii="Times New Roman;serif" w:hAnsi="Times New Roman;serif"/>
          <w:b/>
          <w:color w:val="000000"/>
          <w:sz w:val="20"/>
        </w:rPr>
        <w:t>Issuer Repurchases of Equity Securities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7. Management’s Discussion and Analysis of Financial Condition and Results of Operations.</w:t>
      </w:r>
    </w:p>
    <w:p>
      <w:pPr>
        <w:pStyle w:val="TextBody"/>
        <w:bidi w:val="0"/>
        <w:spacing w:lineRule="auto" w:line="288" w:before="200" w:after="283"/>
        <w:ind w:left="0" w:right="0" w:firstLine="144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consolidated financial statements and related notes included elsewhere in this annual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including those set forth under “Risk Factors” or in other parts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Overview</w:t>
      </w:r>
    </w:p>
    <w:p>
      <w:pPr>
        <w:pStyle w:val="TextBody"/>
        <w:bidi w:val="0"/>
        <w:spacing w:lineRule="auto" w:line="288" w:before="20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We are a clinical-stage, clinical biopharmaceutical company focused on the development and commercialization of seralutinib for the treatment of PH, including PAH and PH-ILD. Our goal is to be an industry leader in, and to enhance the lives of patients living with PH. In May 2024, we entered into the Chiesi Collaboration Agreement focused on the development and commercialization of seralutinib. In December 2022, we announced positive topline results from the Phase 2 TORREY Study in PAH patients. In February 2026, we announced topline results from the Phase 3 PROSERA Study in PAH patients. Seralutinib demonstrated a placebo-adjusted improvement in the primary endpoint, 6MWD at Week 24, of 13.3 meters (p = 0.0320), missing the prespecified alpha threshold of 0.025. We believe seralutinib demonstrates a risk benefit profile that supports continued regulatory dialogue, and we plan to engage with the FDA, including through requesting a Type C meeting, to understand their perspective on the totality of the PROSERA and TORREY datasets and potential regulatory paths forward. In addition to PAH, we believe that seralutinib holds potential as a therapeutic for the treatment of PH-ILD. In October 2025, we activated the first clinical site for the global registrational Phase 3 SERANATA Study for the treatment of PH-ILD. Enrollment in the SERANATA Study was paused in February 2026 to support disciplined resource allocation and to evaluate the implications of PROSERA as we engage with regulators. We have assembled a deeply experienced and highly skilled group of industry veterans, scientists, clinicians and key opinion leaders from leading biotechnology and pharmaceutical companies, as well as leading academic centers from around the world. Our employees are a team of highly dedicated, passionate individuals who pride themselves on a culture of respect, humility, transparency, inclusion, dedication, collaboration and fun. Our ultimate goal is to enhance and extend the lives of patients.</w:t>
      </w:r>
    </w:p>
    <w:p>
      <w:pPr>
        <w:pStyle w:val="TextBody"/>
        <w:bidi w:val="0"/>
        <w:spacing w:lineRule="auto" w:line="288" w:before="20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We were incorporated in October 2015 and commenced operations in 2017. To date, we have focused primarily on organizing and staffing our company, business planning, raising capital, identifying, acquiring and in-licensing our product candidates and conducting preclinical studies and clinical trials. We have funded our operations primarily through equity financings and the Chiesi Collaboration Agreement. We raised $1,396.9 million from October 2017 through December 31, 2025 through the sale of Series A and Series B convertible preferred stock, issuance of convertible notes, proceeds from our IPO completed in February 2019, proceeds from the 2027 Notes (as defined below), issuances of common stock in May 2020 and July 2022, issuance of common stock and accompanying warrants in July 2023 and entry into the Chiesi Collaboration Agreement in May 2024. As of December 31, 2025, we had $136.9 million in cash, cash equivalents and marketable securities.</w:t>
      </w:r>
    </w:p>
    <w:p>
      <w:pPr>
        <w:pStyle w:val="TextBody"/>
        <w:bidi w:val="0"/>
        <w:spacing w:lineRule="auto" w:line="288" w:before="20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We have incurred significant operating losses since our inception and expect to continue to incur significant operating losses for the foreseeable future. For the years ended December 31, 2025 and 2024, our net loss was $170.4 million and $56.5 million, respectively. As of December 31, 2025, we had an accumulated deficit of $1,438.9 million. We expect to incur expenses and operating losses for the foreseeable future as we continue our development of and seek regulatory approvals for seralutinib, including the conduct of ongoing and future clinical trials and other research and development activities; and as we hire additional personnel, protect our intellectual property and incur additional costs associated with being a public company. In addition, as seralutinib progresses through development and toward commercialization, we will need to make milestone payments to Pulmokine from whom we have in-licensed seralutinib. Our net losses may fluctuate significantly from quarter-to-quarter and year-to-year, depending in particular on the timing of our clinical trials and preclinical studies and our expenditures on other research and development activities.</w:t>
      </w:r>
    </w:p>
    <w:p>
      <w:pPr>
        <w:pStyle w:val="TextBody"/>
        <w:bidi w:val="0"/>
        <w:spacing w:lineRule="auto" w:line="288" w:before="20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 xml:space="preserve">On May 3, 2024, we announced a strategic global partnership with Chiesi. Under the terms of the Chiesi Collaboration Agreement, we granted Chiesi exclusive licenses for the worldwide development, manufacture and commercialization of seralutinib and licensed products and an Equity Option to purchase our common stock, which expired in November 2025 and is no longer exercisable. The total potential transaction value includes the one-time $160.0 million development cost reimbursement payment for licenses, research and development funding, and certain regulatory and commercial milestones. We and Chiesi share equally in the costs of ongoing global seralutinib clinical development and the costs of commercialization in the U.S. Territory, with the exception of the PROSERA Phase 3 study, for which we bear all costs. We are also eligible for double-digit royalties in the mid-to-high teens percentage on tiers of annual net sales outside of the U.S. Territory and to an equal share of profits and losses from the commercialization of seralutinib and licensed products in the U.S. For additional information regarding the collaboration agreement, as well as our license agreement with Pulmokine, see the section titled “Business—License and Collaboration Agreements” in this annual report. </w:t>
      </w:r>
    </w:p>
    <w:p>
      <w:pPr>
        <w:pStyle w:val="TextBody"/>
        <w:bidi w:val="0"/>
        <w:spacing w:lineRule="auto" w:line="288" w:before="20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expect to generate any revenue from product sales unless and until we successfully complete development and obtain regulatory approval for seralutinib, which we expect will take a number of years, if at all. If we obtain regulatory approval for seralutinib, we expect to incur significant commercialization expenses related to product sales, marketing, manufacturing and distribution. Accordingly, until such time as we can generate substantial product revenues to support our cost structure, if ever, we expect to finance our cash needs through equity offerings, debt financings or other capital sources, including potentially collaborations, licenses and other similar arrangements. However, we may be unable to raise additional funds or enter into such other arrangements when needed on favorable terms or at all. Our failure to raise capital or enter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such other arrangements when needed could have a negative impact on our financial condition and on our ability to pursue our business plans and strategies. If we are unable to raise additional capital when needed, we could be forced to delay, limit, reduce or terminate seralutinib development or future commercialization efforts or grant additional rights to develop and market seralutinib even if we would otherwise prefer to retain such right.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0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To date, we have generated all of our revenue from the Chiesi Collaboration Agreement. Our revenue consists of a one-time development cost reimbursement payment for licenses and ongoing cost-sharing payments for performance of research and development services classified as revenue from contracts with collaborators.</w:t>
      </w:r>
    </w:p>
    <w:p>
      <w:pPr>
        <w:pStyle w:val="TextBody"/>
        <w:bidi w:val="0"/>
        <w:spacing w:lineRule="auto" w:line="288" w:before="20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In the future, we may generate revenue from a combination of license fees and other upfront payments, other funded research and development agreements, milestone payments, product sales, other third-party funding, U.S. profit/loss share and royalties in connection with strategic alliances. We expect that any revenue we generate will fluctuate from quarter-to-quarter as a result of the timing of performance of research and development services, the timing of our achievement of regulatory and commercialization milestones, the timing and amount of payments relating to such milestones and the extent to which any of our products are approved and successfully commercialized. If we are unable to fund our development costs or we are unable to develop product candidates in a timely manner or obtain regulatory approval for them, our ability to generate future revenues and our results of operations and financial position would be adversely affected.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relate primarily to preclinical and clinical development of seralutinib, as well as our discontinued clinical product candidates. Research and development expenses are recognized as incurred and payments made prior to the receipt of goods or services to be used in research and development are capitalized until the goods or services are received.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or could include: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salaries, payroll taxes, employee benefits, and stock-based compensation charges for those individuals involved in research and development efforts;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external research and development expenses incurred under agreements with contract research organizations, or CROs, investigative sites and consultants to conduct our clinical trials and preclinical and non-clinical studies;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laboratory supplies;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costs related to manufacturing our product candidates for clinical trials and preclinical studies, including fees paid to third-party manufacturers;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costs related to compliance with regulatory requirements;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facilities, depreciation and other allocated expenses, which include direct and allocated expenses for rent, maintenance of facilities, insurance, equipment and other supplies.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Our direct research and development expenses consist principally of external costs, such as fees paid to CROs, investigative sites and consultants in connection with our clinical trials, preclinical and non-clinical studies, and costs related to manufacturing clinical trial materials. We deploy our personnel and facility related resources across all of our research and development activities. We track external costs and personnel expense on a program-by-program basis and allocate common expenses, such as facility related resources, to each program based on the personnel resources allocated to such program. Stock-based compensation and personnel and common expenses not attributable to a specific program are considered unallocated research and development expenses. We categorize Terminated Programs as any research and development expenses attributable to our clinical stage product candidates that were terminated prior to December 31, 2023 or any research and development expenses that are not directly allocated to seralutinib.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expect to incur research and development expenses for the foreseeable future as we continue the development of seralutinib. We cannot determine with certainty the timing of initiation, the duration or the completion costs of current or future preclinical studies and clinical trials of seralutinib due to the inherently unpredictable nature of preclinical and clinical development. Clinical and preclinical development timelines, the probability of success and development costs can differ materially from expectations. We anticipate that we will make determinations as to how much funding to direct to seralutinib on an ongoing basis in response to the results of ongoing and future preclinical studies and clinical trials, regulatory developments and our ongoing assessments as to seralutinib's commercial potential. We will need to raise substantial additional capital in the future.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clinical development costs may vary significantly based on factors such as: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per patient trial costs;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number of trials required for approval;</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number of sites included in the trials;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countries in which the trials are conducted;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length of time required to enroll eligible patients;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number of patients that participate in the trials;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number of doses that patients receive;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drop-out or discontinuation rates of patients;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potential additional safety monitoring requested by regulatory agencies;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duration of patient participation in the trials and follow-up;</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cost and timing of manufacturing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costs incurred as a result of health epidemics and pandemics and clinical site staff shortages, including clinical trial delays;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phase 3 stage of development for seralutinib;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efficacy and safety profile of seralutinib.</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 process research and development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process research and development, or IPR&amp;D, expenses include IPR&amp;D acquired as part of an asset acquisition or in-license, for which there is no alternative future use, and the value of the right to acquire Respira Therapeutics via a merger, or the Respira Merger Option, with Prana Bio, the 100% owner of Respira Therapeutics, and are expensed as incurred.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salaries and employee-related costs, including stock-based compensation, for personnel in executive, finance and other administrative functions. Other significant costs include facility-related costs, legal fees relating to intellectual property and corporate matters, professional fees for accounting and consulting services, insurance costs and commercial planning expenses. Subject to obtaining clarity on potential regulatory paths forward, we anticipate that our general and administrative expenses may increase in the future to support our continued research and development and commercial planning activities and, if seralutinib receives marketing approval, commercialization activities.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expect to incur general and administrative expenses for the foreseeable future to support our current infrastructure and continued costs of operating as a public company. These expenses will likely include audit, legal, regulatory, and tax-related services associated with maintaining compliance with exchange listing and SEC requirements, director and officer insurance premiums, as well as commercial preparedness, corporate strategy, business development, corporate communications and investor relations costs associated with operating as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Other income (expense), net consists of (1) interest income on our cash, cash equivalents and marketable securities, (2) investment accretion, (3) interest expense related to our Credit Facility, prior to its termination and the 2027 Notes, (4) research and development tax credit and (5) other miscellaneous income (expense).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Our tax provision from income taxes is determined using an estimate of our annual effective tax rate, adjusted for discrete items, if any, that are taken into account in the relevant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are based on our consolidated financial statements, which have been prepared in accordance with generally accepted accounting principles in the United States, or GAAP. The preparation of these financial statements requires us to make judgments and estimates that affect the reported amounts of assets, liabilities, revenue, expenses and the disclosure of contingent assets and liabilities in our consolidated financial statements. We base our estimates on historical experience, known trends and events, and various other factors that are believed to be reasonable under the circumstances. Actual results may differ from these estimates under different assumptions or conditions (See Note 2 to our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Collaborative Arrangements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We assess whether our licensing and other agreements are collaborative arrangements based on whether they involve joint operating activities and whether both parties have active participation in the arrangement and are exposed to significant risks and rewards. For arrangements that we determine are collaborations, we identify each unit of account, and then determine whether a customer relationship exists for that unit of account. If we determine a performance obligation within the collaborative arrangement to be with a customer, we apply our revenue recognition accounting policy. If a portion of a distinct bundle of goods or services within the collaborative arrangement is not with a customer, we apply recognition and measurement based on an analogy to authoritative accounting literature or, if there is no appropriate analogy, a reasonable, rational and consistently applied accounting policy election. To the extent the arrangement is within the scope of Accounting Standards Codification, or ASC, Topic 808, we assess whether aspects of the arrangement between us and the collaboration partner are within the scope of other accounting literature. If we conclude that some or all aspects of the arrangement represent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transaction with a customer, we account for those aspects of the arrangement within the scope of ASC Topic 606, Revenue from Contracts with Customers (ASC 606).</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recognize revenue in accordance with ASC 606, Revenue from Contracts with Customers, or Topic 606, which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that the entity expects to receive in exchange for those goods or services. To determine revenue recognition for contracts with customers,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we transfer. At contract inception, once the contract is determined to be within the scope of Topic 606, we assess the goods or services promised within each contract, determine those that are performance obligations, and assess whether each promised good or service is distinct. We then recognize as revenue the amount of the transaction price, reduced by a consideration payable to a customer, that is allocated to the respective performance obligation when (or as) the performance obligation is satisfied. We utilize key assumptions to determine a stand-alone selling price for performance obligations, which may include forecasted revenues or costs, expected development timelines, discount rates and probabilities of technical and regulatory success.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 for the Years Ended December 31, 2025 and 2024</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selected statements of operations data for the years ended December 31, 2025 and 2024:</w:t>
      </w:r>
    </w:p>
    <w:tbl>
      <w:tblPr>
        <w:tblW w:w="8825" w:type="dxa"/>
        <w:jc w:val="left"/>
        <w:tblInd w:w="0" w:type="dxa"/>
        <w:tblLayout w:type="fixed"/>
        <w:tblCellMar>
          <w:top w:w="28" w:type="dxa"/>
          <w:left w:w="28" w:type="dxa"/>
          <w:bottom w:w="28" w:type="dxa"/>
          <w:right w:w="28" w:type="dxa"/>
        </w:tblCellMar>
      </w:tblPr>
      <w:tblGrid>
        <w:gridCol w:w="1490"/>
        <w:gridCol w:w="1315"/>
        <w:gridCol w:w="1319"/>
        <w:gridCol w:w="211"/>
        <w:gridCol w:w="901"/>
        <w:gridCol w:w="109"/>
        <w:gridCol w:w="109"/>
        <w:gridCol w:w="109"/>
        <w:gridCol w:w="109"/>
        <w:gridCol w:w="211"/>
        <w:gridCol w:w="796"/>
        <w:gridCol w:w="109"/>
        <w:gridCol w:w="109"/>
        <w:gridCol w:w="109"/>
        <w:gridCol w:w="109"/>
        <w:gridCol w:w="285"/>
        <w:gridCol w:w="1217"/>
        <w:gridCol w:w="208"/>
      </w:tblGrid>
      <w:tr>
        <w:trPr/>
        <w:tc>
          <w:tcPr>
            <w:tcW w:w="149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 Change</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sale of licenses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(90,682)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collaborators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(66,230)</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process research and development</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7,475 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219,199 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174,620 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44,579 </w:t>
            </w:r>
          </w:p>
        </w:tc>
        <w:tc>
          <w:tcPr>
            <w:tcW w:w="20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(110,809)</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(4,014)</w:t>
            </w:r>
          </w:p>
        </w:tc>
        <w:tc>
          <w:tcPr>
            <w:tcW w:w="20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before provision (benefit) for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(114,823)</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(113,842)</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is generated from our ongoing collaboration with Chiesi and consists of a one-time development cost reimbursement payment for the licenses and ongoing cost-sharing payments for performance of research and development and pre-commercial services. Revenue was $48.5 million for the year ended December 31, 2025, compared to $114.7 million for the year ended December 31, 2024, for a decrease of $66.2 million, which was primarily attributable to a decrease of $90.7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million from sale of licenses, offset by an increase of $24.5 million of revenue associated with performance of research and development and pre-commercial services.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$174.1 million for the year ended December 31, 2025, compared to $138.5 million for the year ended December 31, 2024, for an increase of $35.6 million, which was primarily attributable to an increase of $44.4 million of costs associated with clinical trials for seralutinib, offset by a decrease of $9.2 million of costs associated with preclinical studies and clinical trials for terminated programs.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research and development expenses by program for the years ended December 31, 2025 and 2024:</w:t>
      </w:r>
    </w:p>
    <w:tbl>
      <w:tblPr>
        <w:tblW w:w="5379" w:type="dxa"/>
        <w:jc w:val="left"/>
        <w:tblInd w:w="0" w:type="dxa"/>
        <w:tblLayout w:type="fixed"/>
        <w:tblCellMar>
          <w:top w:w="28" w:type="dxa"/>
          <w:left w:w="28" w:type="dxa"/>
          <w:bottom w:w="28" w:type="dxa"/>
          <w:right w:w="28" w:type="dxa"/>
        </w:tblCellMar>
      </w:tblPr>
      <w:tblGrid>
        <w:gridCol w:w="985"/>
        <w:gridCol w:w="863"/>
        <w:gridCol w:w="867"/>
        <w:gridCol w:w="211"/>
        <w:gridCol w:w="826"/>
        <w:gridCol w:w="109"/>
        <w:gridCol w:w="109"/>
        <w:gridCol w:w="109"/>
        <w:gridCol w:w="109"/>
        <w:gridCol w:w="211"/>
        <w:gridCol w:w="826"/>
        <w:gridCol w:w="154"/>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Seralutinib</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programs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Terminated programs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 process research and development expenses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There were no IPR&amp;D expenses for the year ended December 31, 2024. IPR&amp;D expenses for the year ended December 31, 2025 were $7.5 million, which was attributable to the acquisition of Respira Merger Option.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$37.6 million for the year ended December 31, 2025, compared to $36.1 million for the year ended December 31, 2024, for an increase of $1.5 million, which was primarily attributable to a $6.3 million increase in commercial planning expense and a $1.2 million increase in personnel expense, offset by a $5.1 million decrease in stock-based compensation expense and a decrease of $1.1 million in facilities expense.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Other income, net was $0.3 million for the year ended December 31, 2025, compared to other income, net of $4.3 million for the year ended December 31, 2024, for a decrease of $4.0 million, which was primarily attributable to a $6.4 million decrease in investment accretion, offset by a $0.5 million decrease in interest expense and a $1.1 million increase in other income primarily related to $1.4 million of employee retention credit under the CARES Act.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Provision (benefit) for income taxes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There was $0.1 million tax benefit for the year ended December 31, 2025. For the year ended December 31, 2024, the tax expense was $0.9 million, which was primarily attributable to the treatment of the Chiesi income and a partial release of the valuation allowance.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 for the Years Ended December 31, 2024 and 2023</w:t>
      </w:r>
    </w:p>
    <w:p>
      <w:pPr>
        <w:pStyle w:val="TextBody"/>
        <w:bidi w:val="0"/>
        <w:spacing w:lineRule="auto" w:line="288" w:before="200" w:after="283"/>
        <w:ind w:left="0" w:right="0" w:firstLine="1440"/>
        <w:jc w:val="left"/>
        <w:rPr/>
      </w:pPr>
      <w:r>
        <w:rPr>
          <w:rFonts w:ascii="Times New Roman;serif" w:hAnsi="Times New Roman;serif"/>
          <w:b w:val="false"/>
          <w:color w:val="000000"/>
          <w:sz w:val="20"/>
        </w:rPr>
        <w:t xml:space="preserve">The discussion of our financial condition and results of operations for the year ended December 31, 2024 and the comparison of 2024 and 2023 results included in Item 7. Management's Discussion and Analysis of Financial Condition and Results of Operations in our </w:t>
      </w:r>
      <w:hyperlink r:id="rId2">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2024 is incorporated by reference into this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operating losses since our inception and expect to continue to incur significant operating losses for the foreseeable future and may never become profitable. As of December 31, 2025 and 2024, we had an accumulated deficit of $1,438.9 million and $1,268.6 million, respectively.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use of cash is to fund operating expenses, which consist primarily of research and development expenditures, and to a lesser extent, general and administrative expenditures, including commercial planning expenditures.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used to fund operating expenses is impacted by the timing of when we pay these expenses, as reflected in the change in our outstanding accounts payable and accrued expenses. We may also use cash on hand to repurchase 2027 Notes through open-market transactions, including through a Rule 10b5-1 trading plan to facilitate open-market repurchases, or otherwise, from time to time.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Under our license agreement with Pulmokine, we have payment obligations that are contingent upon future events such as our achievement of specified development, regulatory and commercial milestones and are required to make royalty payments in connection with the sale of products developed under the agreement. As of December 31, 2025, we were unable to estimate the timing or likelihood of achieving the milestones or making future product sales. Other contractual obligations include future payments under the 2027 Notes and existing operating leases.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From our inception through the year ended December 31, 2025, our operations have been financed primarily by proceeds of $1,396.9 million from the sale of Series A and Series B convertible preferred stock, proceeds from our IPO, proceeds from the 2027 Notes, proceeds from issuance of common stock in May 2020 and July 2022, proceeds from issuance of common stock and accompanying warrants in July 2023 and the Chiesi Collaboration Agreement. In addition, we have received $36.4 million as of December 31, 2025 through reimbursement related to the Chiesi Collaboration Agreement. As of December 31, 2025, we had cash, cash equivalents and marketable securities of $136.9 million. Cash in excess of immediate requirements is invested in accordance with our investment policy, primarily with a view to capital preservation and liquidity.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April 10, 2020, we filed a registration statement on Form S-3, or the 2020 Shelf Registration Statement, covering the offering from time to time of common stock, preferred stock, debt securities, warrants and units, which registration statement became automatically effective on April 10, 2020.</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On May 21, 2020, we issued $200.0 million aggregate principal amount 5.00% convertible senior notes due 2027 in a registered public offering, or the 2027 Notes. The interest rate on the 2027 Notes is fixed at 5.00% per annum. Interest is payable semi-annually in arrears on June 1 and December 1 of each year commencing on December 1, 2020. The total net proceeds from the 2027 Notes, after deducting the underwriting discounts and commissions and other offering costs, were approximately $193.6 million. Concurrent with the registered underwritten public offering of the 2027 Notes, we completed an underwritten public offering of 9,433,963 shares of our common stock. We received net proceeds of $117.1 million, after deducting underwriting discounts and commissions and other offering costs. Our concurrent offerings of 2027 Notes and common stock were registered pursuant to the 2020 Shelf Registration Statement.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July 15, 2022, we completed a private placement of 16,649,365 shares of our common stock. The aggregate gross proceeds for the private placement were approximately $120.1 million, before deducting offering expenses. On August 9, 2022, we filed a registration statement on Form S-3 registering the resale of the shares of common stock issued in the private placement, which became automatically effective on August 9, 2022.</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July 24, 2023, we completed a private placement of 129,869,440 shares of our common stock and 32,467,360 accompanying warrants. The aggregate gross proceeds for the private placement were $212.1 million, before deducting offering expenses. On August 18, 2023, we filed a registration statement on Form S-3 registering the resale of the shares of common stock and shares of common stock issuable upon the exercise of warrants issued in the private placement, which was declared effective on August 28, 2023.</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May 3, 2024, we entered into the Chiesi Collaboration Agreement. In consideration and as reimbursement for our development costs, Chiesi paid us an up-front, nonrefundable payment of $160.0 million. In addition, we and Chiesi share equally in the costs of ongoing global seralutinib clinical development, with the exception of the PROSERA Phase 3 study, and the costs of commercialization in the U.S. Territory. For the year ended on December 31, 2025, we received cost-sharing payments from Chiesi in the amount of $28.6 million.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January 28, 2026, we filed a registration statement on Form S-3, or the 2026 Shelf Registration Statement, covering the offering from time to time of common stock, preferred stock, debt securities, warrants and units, which registration statement became automatically effective on January 28, 2026.</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Additional information about our long-term borrowings is presented in Note 5 “Indebtedness” and operating leases is presented in Note 11 "Commitments and Contingencies" to the Notes to Consolidated Financial Statements included in Part II, Item 8, of this Form 10-K, incorporated herein by this reference.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 opinion of our independent registered public accounting firm on our audited financial statements as of and for the years ended December 31, 2025 and 2024 contains an explanatory paragraph regarding substantial doubt about our ability to continue as a going concern. Future reports on our financial statements may include an explanatory paragraph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respect to our ability to continue as a going concern. Our audited consolidated financial statements as of and for the years ended December 31, 2025 and 2024 included in this Annual Report do not include any adjustments relating to the recoverability and classification of recorded asset amounts or amounts of liabilities that might be necessary should we be unable to continue our operations.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for each of the years shown below:</w:t>
      </w:r>
    </w:p>
    <w:tbl>
      <w:tblPr>
        <w:tblW w:w="9267" w:type="dxa"/>
        <w:jc w:val="left"/>
        <w:tblInd w:w="0" w:type="dxa"/>
        <w:tblLayout w:type="fixed"/>
        <w:tblCellMar>
          <w:top w:w="28" w:type="dxa"/>
          <w:left w:w="28" w:type="dxa"/>
          <w:bottom w:w="28" w:type="dxa"/>
          <w:right w:w="28" w:type="dxa"/>
        </w:tblCellMar>
      </w:tblPr>
      <w:tblGrid>
        <w:gridCol w:w="1840"/>
        <w:gridCol w:w="1620"/>
        <w:gridCol w:w="1625"/>
        <w:gridCol w:w="211"/>
        <w:gridCol w:w="901"/>
        <w:gridCol w:w="109"/>
        <w:gridCol w:w="109"/>
        <w:gridCol w:w="109"/>
        <w:gridCol w:w="109"/>
        <w:gridCol w:w="211"/>
        <w:gridCol w:w="721"/>
        <w:gridCol w:w="109"/>
        <w:gridCol w:w="109"/>
        <w:gridCol w:w="109"/>
        <w:gridCol w:w="109"/>
        <w:gridCol w:w="211"/>
        <w:gridCol w:w="901"/>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operating activities used approximately $171.3 million of cash, primarily resulting from a net loss of $170.4 million and changes in prepaid expenses and other current assets of $8.5 million and amortization of premium on investments of $7.3 million, reduced by changes in accrued research and development expenses of $11.2 million and stock-based compensation expense of $10.6 million.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operating activities used approximately $3.5 million of cash, primarily resulting from a net loss of $56.5 million and amortization of premium on investments, net of accretion of discount, of $13.1 million, reduced by stock-based compensation expense of $20.6 million and changes in contract liabilities of $55.9 million.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operating activities used approximately $159.2 million of cash, primarily resulting from a net loss of $179.8 million, changes in accrued research and development expenses of $7.8 million and amortization of premium on investments of $9.5 million, reduced by stock-based compensation expense of $28.5 million and in process research and development expense of $10.0 million.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investing activities provided approximately $156.4 million of cash, primarily resulting from the maturities of marketable securities of $376.4 million, offset by purchases of marketable securities of $227.1 million.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investing activities provided approximately $29.0 million of cash, primarily resulting from the maturities of marketable securities of $523.8 million, offset by purchases of marketable securities of $494.8 million.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investing activities used approximately $111.0 million of cash, primarily resulting from the purchase of marketable securities of $441.7 million, offset by the maturities of marketable securities of $330.7 million.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financing activities provided $6.4 million of cash, resulting from the proceeds from the exercise of warrants of $3.7 million, the proceeds from the exercise of stock options of $1.9 million and the proceeds from the issuance of common stock pursuant to the ESPP of $0.8 million.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financing activities used $11.5 million of cash, resulting from the principal repayment of long-term debt of $12.6 million, reduced by the proceeds from the issuance of equity option pursuant to stock purchase agreement with Chiesi of $0.5 million and the proceeds from issuance of common stock pursuant to the ESPP of $0.6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financing activities provided $190.2 million of cash, primarily resulting from proceeds from the issuance of common stock and warrants in a private offering of $201.3 million, reduced by the principal repayments of long-term debt of $11.6 million.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Based on our current operating plan, we believe that our existing cash, cash equivalents and marketable securities, will be sufficient to fund our operations through the fourth quarter of 2026.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use our capital resources sooner than we expect. Additionally, the process of testing seralutinib in clinical trials and seeking regulatory approval is costly, and the timing of progress and expenses in these trials is uncertain. Pending feedback from the FDA on a potential path forward for seralutinib, we also expect that the level of spending for our ongoing and planned commercial planning activities for seralutinib may increase.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costs, timing and outcome of regulatory review of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type, number, scope, progress, enrollment pace, expansions, results, costs and timing of, our preclinical studies and clinical trials of seralutinib which we are pursuing or may choose to pursue in the future;</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costs and timing of manufacturing for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costs of obtaining, maintaining and enforcing our patents and other intellectual property rights;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efforts to enhance operational systems and hire additional personnel to satisfy our obligations as a public company, including enhanced internal controls over financial reporting;</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costs associated with hiring additional personnel and consultants to continue the development and potential commercialization of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timing and amount of the milestone or other payments we must make to Pulmokine from whom we have in-licensed seralutinib;</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costs and timing of establishing or securing sales and marketing capabilities if seralutinib is approved;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our ability to achieve sufficient market acceptance, coverage and adequate reimbursement from third-party payors and adequate market share and revenue for any approved products;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the terms and timing of establishing and maintaining collaborations, licenses and other similar arrangements;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costs associated with any products or technologies that we may in-license or acquire; and</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0"/>
        </w:rPr>
        <w:t>any delays and cost increases that result from epidemic diseases.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Until such time as we can generate substantial product revenues to support our cost structure, if ever, we expect to finance our cash needs through equity offerings, debt financings or other capital sources, including potentially collaborations, licenses and other similar arrangements.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value of our common stock. Our failure to raise capital or enter into such other arrangements when needed could have a negative impact on our financial condition and on our ability to pursue our business plans and strategies. If we are unable to raise additional capital when needed, we could be forced to delay, limit, reduce or terminate seralutinib development or future commercialization efforts or grant rights to develop and market seralutinib even if we would otherwise prefer to develop and market seralutinib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See Note 2 to our consolidated financial statements included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primary exposure to market risk is interest rate sensitivity, which is affected by changes in the general level of U.S. interest rates. As of December 31, 2025 our cash and cash equivalents consisted of cash, money market funds and commercial paper, and our marketable securities consisted of commercial paper, corporate debt securities and U.S. Treasury and agency securities. We do not believe that we have a material exposure to interest rate risk. A 100 basis points change in interest rates would not have a significant impact on the total value of our portfolio.</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foreign currency exchange rates associated with our foreign operations where we conduct business in local currencies. We also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December 31, 2025 and 2024, we had minimal assets and liabilities denominated in foreign currencies and an immediate change of 10% in the exchange rate of the foreign currencies would result in a net impact of approximately $0.1 million in our consolidated balance sheets and consolidated statement of operations and comprehensive loss.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Inflation generally affects us by increasing our cost of labor and clinical trial costs. Inflationary factors, such as increases in the cost of our materials, supplies, and overhead costs may adversely affect our operating results. Although we do not believe that inflation had a material effect on our business, financial condition or results of operations during the periods presented, we may experience adverse effects if inflation rates increase. Significant adverse changes in inflation and prices in the future could result in material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8. Financial Statements and Supplementary Data.</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required pursuant to this item are incorporated by reference herein from the applicable information included in Item 15 of this annual report and are presented beginning on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231F20"/>
          <w:sz w:val="20"/>
        </w:rPr>
      </w:pPr>
      <w:r>
        <w:rPr>
          <w:rFonts w:ascii="Times New Roman;serif" w:hAnsi="Times New Roman;serif"/>
          <w:b/>
          <w:color w:val="231F20"/>
          <w:sz w:val="20"/>
        </w:rPr>
        <w:t>Item 9. Changes in and Disagreements with Accountants on Accounting and Financial Disclosure.</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Conclusion Regarding the Effectiveness of Disclosure Controls and Procedures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has evaluated the effectiveness of our disclosure controls and procedures as defined in Rules 13a-15(e) and 15d-15(e)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Exchange Act as of the end of the period covered by this annual report. Based on such evaluation, our principal executive officer and principal financial officer have concluded that as of such date, our disclosure controls and procedures were effective at the reasonable assurance level.</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December 31, 2025 that have materially affected, or are reasonably likely to materially affect, our internal control over financial reporting.</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Our management assessed the effectiveness of our internal control over financial reporting as of December 31, 2025 based on the criteria set forth by the Committee of Sponsoring Organizations of the Treadway Commission in its 2013 Internal Control — Integrated Framework. Based on this assessment, our management has concluded that our internal control over financial reporting was effective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none of our officers or directors adopted or terminated any contract, instruction or written plan for the purchase or sale of our securities that was intended to satisfy the affirmative defense conditions of Rule 10b5-1(c) or any “non Rule 10b5-1 trading arrangement," except as described below:</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On October 31, 2025, Faheem Hasnain, CEO and President, adopted a Rule 10b5-1 trading arrangement providing for the sale of up to 1,125,000 shares of our common stock. The trading arrangement is intended to satisfy the affirmative defense in Rule 10b5-1(c). The duration of the trading arrangement is from March 15, 2026 until December 29, 2026, or earlier if and when all transactions under the trading arrangement are completed.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March 16, 2026, we commenced a workforce reduction of 77 individuals, constituting approximately 48% of our workforce, to reduce our operating expenses. Our remaining management and employees will continue the development of seralutinib and explore potential regulatory paths forward. This workforce reduction is expected to be substantially completed by the end of May 2026.</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connection with the workforce reduction, on March 15, 2026, Richard Aranda, M.D., resigned from his position as the Chief Medical Officer of the Company effective as of April 15, 2026. The Company expects to execute a separation agreement with Dr. Aranda in connection with his departure, pursuant to which he will receive the severance provided under his employment agreement, in exchange for a general release of claims.  Dr. Aranda will continue as a consultant to the Company to assist with transitional matters.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currently estimate that we will incur charges associated with the workforce reduction of approximately $6.7 million primarily related to employee severance payments, benefits and related termination costs. We expect the majority of related charges to be recognized in the second and third quarters of 2026.</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estimates of the charges and expenditures that we expect to incur in connection with the workforce reduction, and the timing thereof, are subject to several assumptions and the actual amounts incurred may differ materially from these estimates. In addition, we may incur other charges or cash expenditures not currently contemplated due to unanticipated events that may occur, including in connection with the implementation of the workforce reduction.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231F20"/>
          <w:sz w:val="20"/>
        </w:rPr>
      </w:pPr>
      <w:r>
        <w:rPr>
          <w:rFonts w:ascii="Times New Roman;serif" w:hAnsi="Times New Roman;serif"/>
          <w:b/>
          <w:color w:val="231F2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10. Directors, Executive Officers and Corporate Governance.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our definitive proxy statement to be filed with the Securities and Exchange Commission in connection with our 2026 Annual Meeting of Stockholders, or the Definitive Proxy Statement, which is expected to be filed not later than 120 days after the end of our fiscal year ended December 31, 2025, under the headings “Election of Directors,” “Corporate Governance,” “Our Executive Officers,” and, if applicable, “Delinquent Section 16(a) Reports,” and is incorporated herein by reference.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that applies to our officers, directors and employees, which is available on our website at www.gossamerbio.com.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 Information contained in our website does not constitute a part of this report or our other filings with the SEC.</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We have adopted a policy on insider trading and procedures that govern the purchase, sale, and/or other dispositions of our securities by our directors, officers, employees and other covered persons that are designed to promote compliance with insider trading laws, rules and regulations, and the Nasdaq listing rules, as applicable. A copy of our policy on insider trading is filed as Exhibit 19.1 to this annual report on Form 10-K. It is our policy to comply with U.S. insider trading laws and regulations, including with respect to transactions in our own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11. Executive Compensation.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section headed “Executive Compensation and Other Information” in our Definitive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12. Security Ownership of Certain Beneficial Owners and Management and Related Stockholder Matters.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section headed “Security Ownership of Certain Beneficial Owners and Management” in our Definitive Proxy Statement and is incorporated herein by reference.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Item 201(d) of Regulation S-K will be set forth in the section headed "Executive Compensation and Other Information" in our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13. Certain Relationships and Related Transactions, and Director Independence.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section headed “Certain Relationships and Related Person Transactions,” “Board Independence” and “Board Committees and Independence” in our Definitive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section headed “Independent Registered Public Accounting Firm's Fees” in our Definitive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231F20"/>
          <w:sz w:val="20"/>
        </w:rPr>
      </w:pPr>
      <w:r>
        <w:rPr>
          <w:rFonts w:ascii="Times New Roman;serif" w:hAnsi="Times New Roman;serif"/>
          <w:b/>
          <w:color w:val="231F2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15. Exhibits, Financial Statement Schedules.</w:t>
      </w:r>
    </w:p>
    <w:p>
      <w:pPr>
        <w:pStyle w:val="TextBody"/>
        <w:bidi w:val="0"/>
        <w:spacing w:lineRule="auto" w:line="288" w:before="200" w:after="283"/>
        <w:ind w:left="0" w:right="0" w:hanging="180"/>
        <w:jc w:val="left"/>
        <w:rPr>
          <w:rFonts w:ascii="Times New Roman;serif" w:hAnsi="Times New Roman;serif"/>
          <w:b/>
          <w:color w:val="000000"/>
          <w:sz w:val="20"/>
        </w:rPr>
      </w:pPr>
      <w:r>
        <w:rPr>
          <w:rFonts w:ascii="Times New Roman;serif" w:hAnsi="Times New Roman;serif"/>
          <w:b/>
          <w:color w:val="000000"/>
          <w:sz w:val="20"/>
        </w:rPr>
        <w:t>(1)All Financial statements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Gossamer Bio, Inc., together with the report thereon of Ernst &amp; Young LLP, an independent registered public accounting firm, are included in this annual report on Form 10-K beginning on page F-1.</w:t>
      </w:r>
    </w:p>
    <w:p>
      <w:pPr>
        <w:pStyle w:val="TextBody"/>
        <w:bidi w:val="0"/>
        <w:spacing w:lineRule="auto" w:line="288" w:before="200" w:after="283"/>
        <w:ind w:left="0" w:right="0" w:hanging="180"/>
        <w:jc w:val="left"/>
        <w:rPr>
          <w:rFonts w:ascii="Times New Roman;serif" w:hAnsi="Times New Roman;serif"/>
          <w:b/>
          <w:color w:val="000000"/>
          <w:sz w:val="20"/>
        </w:rPr>
      </w:pPr>
      <w:r>
        <w:rPr>
          <w:rFonts w:ascii="Times New Roman;serif" w:hAnsi="Times New Roman;serif"/>
          <w:b/>
          <w:color w:val="000000"/>
          <w:sz w:val="20"/>
        </w:rPr>
        <w:t>(2)Financial statement schedules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All schedules have been omitted because the information required to be set forth therein is not applicable or is shown in the consolidated financial statements or notes thereto.</w:t>
      </w:r>
    </w:p>
    <w:p>
      <w:pPr>
        <w:pStyle w:val="TextBody"/>
        <w:bidi w:val="0"/>
        <w:spacing w:lineRule="auto" w:line="288" w:before="200" w:after="283"/>
        <w:ind w:left="0" w:right="0" w:hanging="180"/>
        <w:jc w:val="left"/>
        <w:rPr>
          <w:rFonts w:ascii="Times New Roman;serif" w:hAnsi="Times New Roman;serif"/>
          <w:b/>
          <w:color w:val="000000"/>
          <w:sz w:val="20"/>
        </w:rPr>
      </w:pPr>
      <w:r>
        <w:rPr>
          <w:rFonts w:ascii="Times New Roman;serif" w:hAnsi="Times New Roman;serif"/>
          <w:b/>
          <w:color w:val="000000"/>
          <w:sz w:val="20"/>
        </w:rPr>
        <w:t>(3)Exhibits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list of exhibits is set form on the Exhibit Index immediately preceding the signature page of this annual report on Form 10-K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16. Form 10–K Summary.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Gossamer 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9810" w:type="dxa"/>
        <w:jc w:val="left"/>
        <w:tblInd w:w="0" w:type="dxa"/>
        <w:tblLayout w:type="fixed"/>
        <w:tblCellMar>
          <w:top w:w="28" w:type="dxa"/>
          <w:left w:w="28" w:type="dxa"/>
          <w:bottom w:w="28" w:type="dxa"/>
          <w:right w:w="28" w:type="dxa"/>
        </w:tblCellMar>
      </w:tblPr>
      <w:tblGrid>
        <w:gridCol w:w="3344"/>
        <w:gridCol w:w="2939"/>
        <w:gridCol w:w="2956"/>
        <w:gridCol w:w="167"/>
        <w:gridCol w:w="167"/>
        <w:gridCol w:w="237"/>
      </w:tblGrid>
      <w:tr>
        <w:trPr/>
        <w:tc>
          <w:tcPr>
            <w:tcW w:w="3344"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12">
              <w:r>
                <w:rPr>
                  <w:rStyle w:val="InternetLink"/>
                  <w:rFonts w:ascii="Times New Roman;serif" w:hAnsi="Times New Roman;serif"/>
                  <w:b w:val="false"/>
                  <w:color w:val="0000FF"/>
                  <w:sz w:val="20"/>
                  <w:u w:val="single"/>
                </w:rPr>
                <w:t>Report of Independent Registered Public Accounting Firm</w:t>
              </w:r>
            </w:hyperlink>
            <w:r>
              <w:rPr>
                <w:rFonts w:ascii="Times New Roman;serif" w:hAnsi="Times New Roman;serif"/>
                <w:b w:val="false"/>
                <w:color w:val="0E32E1"/>
                <w:sz w:val="20"/>
                <w:u w:val="single"/>
              </w:rPr>
              <w:t>; Ernst &amp; Young LLP, San Diego, CA</w:t>
            </w:r>
            <w:r>
              <w:rPr>
                <w:color w:val="0E32E1"/>
              </w:rPr>
              <w:t xml:space="preserve"> </w:t>
            </w:r>
            <w:r>
              <w:rPr>
                <w:rFonts w:ascii="Times New Roman;serif" w:hAnsi="Times New Roman;serif"/>
                <w:b w:val="false"/>
                <w:color w:val="000000"/>
                <w:sz w:val="20"/>
              </w:rPr>
              <w:t>(PCAOB ID: 42)</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c847212dae704ad3b44bc4591516367d_112">
              <w:r>
                <w:rPr>
                  <w:rStyle w:val="InternetLink"/>
                  <w:rFonts w:ascii="Times New Roman;serif" w:hAnsi="Times New Roman;serif"/>
                  <w:b w:val="false"/>
                  <w:strike w:val="false"/>
                  <w:dstrike w:val="false"/>
                  <w:color w:val="000000"/>
                  <w:sz w:val="20"/>
                  <w:u w:val="none"/>
                  <w:effect w:val="none"/>
                </w:rPr>
                <w:t>1</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15">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c847212dae704ad3b44bc4591516367d_115">
              <w:r>
                <w:rPr>
                  <w:rStyle w:val="InternetLink"/>
                  <w:rFonts w:ascii="Times New Roman;serif" w:hAnsi="Times New Roman;serif"/>
                  <w:b w:val="false"/>
                  <w:strike w:val="false"/>
                  <w:dstrike w:val="false"/>
                  <w:color w:val="000000"/>
                  <w:sz w:val="20"/>
                  <w:u w:val="none"/>
                  <w:effect w:val="none"/>
                </w:rPr>
                <w:t>3</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18">
              <w:r>
                <w:rPr>
                  <w:rStyle w:val="InternetLink"/>
                  <w:rFonts w:ascii="Times New Roman;serif" w:hAnsi="Times New Roman;serif"/>
                  <w:b w:val="false"/>
                  <w:color w:val="0000FF"/>
                  <w:sz w:val="20"/>
                  <w:u w:val="single"/>
                </w:rPr>
                <w:t>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c847212dae704ad3b44bc4591516367d_118">
              <w:r>
                <w:rPr>
                  <w:rStyle w:val="InternetLink"/>
                  <w:rFonts w:ascii="Times New Roman;serif" w:hAnsi="Times New Roman;serif"/>
                  <w:b w:val="false"/>
                  <w:strike w:val="false"/>
                  <w:dstrike w:val="false"/>
                  <w:color w:val="000000"/>
                  <w:sz w:val="20"/>
                  <w:u w:val="none"/>
                  <w:effect w:val="none"/>
                </w:rPr>
                <w:t>4</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21">
              <w:r>
                <w:rPr>
                  <w:rStyle w:val="InternetLink"/>
                  <w:rFonts w:ascii="Times New Roman;serif" w:hAnsi="Times New Roman;serif"/>
                  <w:b w:val="false"/>
                  <w:color w:val="000080"/>
                  <w:sz w:val="20"/>
                  <w:u w:val="single"/>
                </w:rPr>
                <w:t xml:space="preserve">Consolidated Statements of Stockholders’ </w:t>
              </w:r>
            </w:hyperlink>
            <w:hyperlink w:anchor="ic847212dae704ad3b44bc4591516367d_121">
              <w:r>
                <w:rPr>
                  <w:rStyle w:val="InternetLink"/>
                  <w:rFonts w:ascii="Times New Roman;serif" w:hAnsi="Times New Roman;serif"/>
                  <w:b w:val="false"/>
                  <w:color w:val="000080"/>
                  <w:sz w:val="20"/>
                  <w:u w:val="single"/>
                </w:rPr>
                <w:t>Equity (Deficit)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c847212dae704ad3b44bc4591516367d_121">
              <w:r>
                <w:rPr>
                  <w:rStyle w:val="InternetLink"/>
                  <w:rFonts w:ascii="Times New Roman;serif" w:hAnsi="Times New Roman;serif"/>
                  <w:b w:val="false"/>
                  <w:strike w:val="false"/>
                  <w:dstrike w:val="false"/>
                  <w:color w:val="000000"/>
                  <w:sz w:val="20"/>
                  <w:u w:val="none"/>
                  <w:effect w:val="none"/>
                </w:rPr>
                <w:t>5</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24">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c847212dae704ad3b44bc4591516367d_124">
              <w:r>
                <w:rPr>
                  <w:rStyle w:val="InternetLink"/>
                  <w:rFonts w:ascii="Times New Roman;serif" w:hAnsi="Times New Roman;serif"/>
                  <w:b w:val="false"/>
                  <w:strike w:val="false"/>
                  <w:dstrike w:val="false"/>
                  <w:color w:val="000000"/>
                  <w:sz w:val="20"/>
                  <w:u w:val="none"/>
                  <w:effect w:val="none"/>
                </w:rPr>
                <w:t>6</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47212dae704ad3b44bc4591516367d_127">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c847212dae704ad3b44bc4591516367d_127">
              <w:r>
                <w:rPr>
                  <w:rStyle w:val="InternetLink"/>
                  <w:rFonts w:ascii="Times New Roman;serif" w:hAnsi="Times New Roman;serif"/>
                  <w:b w:val="false"/>
                  <w:strike w:val="false"/>
                  <w:dstrike w:val="false"/>
                  <w:color w:val="000000"/>
                  <w:sz w:val="20"/>
                  <w:u w:val="none"/>
                  <w:effect w:val="none"/>
                </w:rPr>
                <w:t>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firstLine="14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Gossamer Bio, Inc.</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Gossamer Bio, Inc. (the Company) as of December 31, 2025 and 2024, the related consolidated statements of operations and comprehensive loss, stockholders'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The Company's Ability to Continue as a Going Concern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assuming that the Company will continue as a going concern. As discussed in Note 1 to the financial statements, the Company has suffered recurring losses from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96"/>
        <w:gridCol w:w="436"/>
        <w:gridCol w:w="439"/>
        <w:gridCol w:w="109"/>
        <w:gridCol w:w="109"/>
        <w:gridCol w:w="109"/>
        <w:gridCol w:w="2560"/>
        <w:gridCol w:w="2455"/>
        <w:gridCol w:w="3492"/>
      </w:tblGrid>
      <w:tr>
        <w:trPr/>
        <w:tc>
          <w:tcPr>
            <w:tcW w:w="4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492" w:type="dxa"/>
            <w:tcBorders/>
            <w:vAlign w:val="center"/>
          </w:tcPr>
          <w:p>
            <w:pPr>
              <w:pStyle w:val="TableContents"/>
              <w:bidi w:val="0"/>
              <w:spacing w:before="0" w:after="283"/>
              <w:jc w:val="left"/>
              <w:rPr>
                <w:sz w:val="4"/>
                <w:szCs w:val="4"/>
              </w:rPr>
            </w:pPr>
            <w:r>
              <w:rPr>
                <w:sz w:val="4"/>
                <w:szCs w:val="4"/>
              </w:rPr>
            </w:r>
          </w:p>
        </w:tc>
      </w:tr>
      <w:tr>
        <w:trPr/>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Accrued research and development expenses</w:t>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accrued $21.7 million for research and development expenses. As described in Note 2 of the consolidated financial statements, the Company records accruals for estimated research and development costs, comprising payments due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Clinical trial site costs are accrued as patients enter and progress through the trial. </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Auditing management’s accounting for accrued research and development expenses is especially challenging as evaluating the progress or stage of completion of the activities under the Company’s research and development agreements is dependent upon a high volume of data from third-party service providers and internal clinical personnel, which is tracked in spreadsheets and other end user computing programs. </w:t>
            </w:r>
          </w:p>
          <w:p>
            <w:pPr>
              <w:pStyle w:val="TableContents"/>
              <w:bidi w:val="0"/>
              <w:spacing w:before="0" w:after="0"/>
              <w:jc w:val="left"/>
              <w:rPr/>
            </w:pPr>
            <w:r>
              <w:rPr/>
            </w:r>
          </w:p>
        </w:tc>
      </w:tr>
      <w:tr>
        <w:trPr/>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test the completeness of the Company’s accrued research and development expenses, among other procedures, we obtained supporting evidence of the research and development activities performed for significant clinical trials. We corroborated the status of significant research and development activities through meetings with accounting and clinical project managers. To verify the appropriate measurement of accrued research and development costs, we compared the costs for a sample of transactions against the related invoices and contracts, and confirmed amounts incurred to-date with third-party service providers. We also examined a sample of subsequent payments to evaluate the completeness of the accrued research and development expenses. </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2018.</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San Diego,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GOSSAMER 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3157"/>
        <w:gridCol w:w="2277"/>
        <w:gridCol w:w="2285"/>
        <w:gridCol w:w="196"/>
        <w:gridCol w:w="751"/>
        <w:gridCol w:w="109"/>
        <w:gridCol w:w="109"/>
        <w:gridCol w:w="109"/>
        <w:gridCol w:w="109"/>
        <w:gridCol w:w="196"/>
        <w:gridCol w:w="751"/>
        <w:gridCol w:w="156"/>
      </w:tblGrid>
      <w:tr>
        <w:trPr/>
        <w:tc>
          <w:tcPr>
            <w:tcW w:w="3157"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from contracts with collaborators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309,888 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172,249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315,292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 (DEFICIT)</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research and development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contract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convertible senior notes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long-term</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contract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295,009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285,800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11)</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 (deficit)</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700,000,000 shares authorized as of December 31, 2025 and December 31, 2024; 233,677,057 shares issued and outstanding as of December 31, 2025, and 226,604,138 shares issued and outstanding as of December 31, 2024</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1,296,848 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(1,268,568)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 (deficit)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172,249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315,292</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GOSSAMER 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9969" w:type="dxa"/>
        <w:jc w:val="left"/>
        <w:tblInd w:w="0" w:type="dxa"/>
        <w:tblLayout w:type="fixed"/>
        <w:tblCellMar>
          <w:top w:w="28" w:type="dxa"/>
          <w:left w:w="28" w:type="dxa"/>
          <w:bottom w:w="28" w:type="dxa"/>
          <w:right w:w="28" w:type="dxa"/>
        </w:tblCellMar>
      </w:tblPr>
      <w:tblGrid>
        <w:gridCol w:w="1946"/>
        <w:gridCol w:w="1717"/>
        <w:gridCol w:w="1722"/>
        <w:gridCol w:w="237"/>
        <w:gridCol w:w="949"/>
        <w:gridCol w:w="109"/>
        <w:gridCol w:w="109"/>
        <w:gridCol w:w="109"/>
        <w:gridCol w:w="109"/>
        <w:gridCol w:w="264"/>
        <w:gridCol w:w="922"/>
        <w:gridCol w:w="109"/>
        <w:gridCol w:w="109"/>
        <w:gridCol w:w="109"/>
        <w:gridCol w:w="109"/>
        <w:gridCol w:w="237"/>
        <w:gridCol w:w="949"/>
        <w:gridCol w:w="154"/>
      </w:tblGrid>
      <w:tr>
        <w:trPr/>
        <w:tc>
          <w:tcPr>
            <w:tcW w:w="194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sale of licenses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collaborators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process 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(170,728)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(59,919)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(183,759)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provision (benefit) for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(179,817)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(179,817)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income (loss) on marketable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(179,593)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228,519,130 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226,228,016 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152,621,669 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GOSSAMER 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770" w:type="dxa"/>
        <w:jc w:val="left"/>
        <w:tblInd w:w="0" w:type="dxa"/>
        <w:tblLayout w:type="fixed"/>
        <w:tblCellMar>
          <w:top w:w="28" w:type="dxa"/>
          <w:left w:w="28" w:type="dxa"/>
          <w:bottom w:w="28" w:type="dxa"/>
          <w:right w:w="28" w:type="dxa"/>
        </w:tblCellMar>
      </w:tblPr>
      <w:tblGrid>
        <w:gridCol w:w="728"/>
        <w:gridCol w:w="311"/>
        <w:gridCol w:w="312"/>
        <w:gridCol w:w="109"/>
        <w:gridCol w:w="109"/>
        <w:gridCol w:w="109"/>
        <w:gridCol w:w="592"/>
        <w:gridCol w:w="594"/>
        <w:gridCol w:w="226"/>
        <w:gridCol w:w="109"/>
        <w:gridCol w:w="109"/>
        <w:gridCol w:w="109"/>
        <w:gridCol w:w="241"/>
        <w:gridCol w:w="414"/>
        <w:gridCol w:w="126"/>
        <w:gridCol w:w="109"/>
        <w:gridCol w:w="109"/>
        <w:gridCol w:w="109"/>
        <w:gridCol w:w="211"/>
        <w:gridCol w:w="976"/>
        <w:gridCol w:w="109"/>
        <w:gridCol w:w="109"/>
        <w:gridCol w:w="109"/>
        <w:gridCol w:w="109"/>
        <w:gridCol w:w="211"/>
        <w:gridCol w:w="991"/>
        <w:gridCol w:w="109"/>
        <w:gridCol w:w="109"/>
        <w:gridCol w:w="109"/>
        <w:gridCol w:w="109"/>
        <w:gridCol w:w="306"/>
        <w:gridCol w:w="916"/>
        <w:gridCol w:w="159"/>
        <w:gridCol w:w="109"/>
        <w:gridCol w:w="109"/>
        <w:gridCol w:w="109"/>
        <w:gridCol w:w="223"/>
        <w:gridCol w:w="889"/>
        <w:gridCol w:w="16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equity (deficit)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94,423,181 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a private offering, net of offering costs of $10,779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129,869,440 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pursuant to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336,795 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restricted stock 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(179,817)</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225,409,315 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of equity option pursuant to Chiesi Collaboration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20,619 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pursuant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restricted stock units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(56,528)</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226,604,138 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(1,268,568)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merger option through issuance of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1,791,823 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1,691,213 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pursuant to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(170,370)</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233,677,057 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(1,438,938)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(122,760)</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GOSSAMER 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86"/>
        <w:gridCol w:w="1987"/>
        <w:gridCol w:w="1992"/>
        <w:gridCol w:w="196"/>
        <w:gridCol w:w="804"/>
        <w:gridCol w:w="109"/>
        <w:gridCol w:w="109"/>
        <w:gridCol w:w="109"/>
        <w:gridCol w:w="109"/>
        <w:gridCol w:w="196"/>
        <w:gridCol w:w="714"/>
        <w:gridCol w:w="109"/>
        <w:gridCol w:w="109"/>
        <w:gridCol w:w="109"/>
        <w:gridCol w:w="109"/>
        <w:gridCol w:w="196"/>
        <w:gridCol w:w="804"/>
        <w:gridCol w:w="158"/>
      </w:tblGrid>
      <w:tr>
        <w:trPr/>
        <w:tc>
          <w:tcPr>
            <w:tcW w:w="2286"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(179,817)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process research and development expenses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operating lease right-of-use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long-term debt discount and issuance costs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premium on investments, net of accretion of discounts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 gain on investments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from contracts with collaborators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research and development expenses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expense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(159,158)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marketable securities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(441,670)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marketable securities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330,700 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marketable securities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(110,970)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626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and warrants in a private offering, net of offering costs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Employee Stock Purchase Plan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exercise of stock options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exercise of warrants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equity option pursuant to stock purchase agreement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repayments of long-term debt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(79,864)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beginning of the period</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at the end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37,732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46,074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32,109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lease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unrealized gain (loss) on marketable securities, net</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Gossamer Bio, Inc.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1—Description of Business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Gossamer Bio, Inc. (including its subsidiaries, referred to as "we," "us," "our,", or the “Company”) is a clinical-stage clinical biopharmaceutical company focused on the development and commercialization of seralutinib for the treatment of pulmonary hypertension ("PH") including pulmonary arterial hypertension ("PAH") and PH associated with interstitial lung disease ("PH-ILD"). The Company was incorporated in the state of Delaware on October 25, 2015 (originally as FSG Bio, Inc.) and is based in San Diego, California.</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Gossamer Bio, Inc. and its wholly owned subsidiaries. All intercompany balances and transactions among the consolidated entity have been eliminated in consolidation.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has incurred significant operating losses since its inception. As of December 31, 2025, the Company had an accumulated deficit of $1,438.9 million. From the Company’s inception through the year ended December 31, 2025, the Company has funded its operations primarily through equity financings, convertible senior notes and the Chiesi Collaboration Agreement (as defined in Note 12 below).</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have been prepared on a going concern basis, which contemplates the realization of assets and settlement of liabilities, in the normal course of business, and does not include any adjustments to reflect the possible future effects on the recoverability and classification of assets or amounts and classification of liabilities that may result from the outcome of this uncertainty.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the Company is not able to obtain the required funding, through equity or debt financings, license agreements for seralutinib in domestic or foreign markets, or other means, or is unable to obtain funding on terms favorable to the Company, or there is an event of default affecting the Company’s 2027 Notes, there will be a material adverse effect on commercialization and development operations, and the Company's ability to execute its strategic development plan for future growth. If the Company cannot successfully raise additional funding and implement its strategic development plan, the Company may be forced to make further reductions in spending, including spending in connection with our clinical development, pre-commercialization activities, extend payment terms with suppliers, suspend or curtail planned operations or cease operations entirely. The Company has concluded that these circumstances and the uncertainties associated with the Company’s ability to obtain additional equity or debt financing on terms that are favorable to the Company, or at all, and otherwise succeed in its future operations raise substantial doubt about the Company’s ability to continue as a going concern. Management believes that it has sufficient working capital on hand to fund operations into the first quarter of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2—Summary of Significant Accounting Policies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Company’s consolidated financial statements have been prepared in conformity with accounting principles generally accepted in the United States of America (“GAAP”).</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 most significant estimates in the Company’s consolidated financial statements relate to accrued research and development expenses, stand-alone selling price of performance obligations and estimated collaboration expenses associated with the Company’s Chiesi Collaboration Agreement.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segments are identified as components of an enterprise about which discrete financial information is available for evaluation by the chief operating decision-maker ("CODM") in making decisions regarding resource allocation and assessing performance. The Company views its operations and manages its business as one operating segment.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identification of a single operating and reportable segment is consistent with the management approach as the CODM regularly reviews consolidated financial information for the purpose of assessing performance and allocating resources. See Note 13. Segment Reporting to the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original maturities of three months or less to be cash equivalents. The carrying amounts reported in the consolidated balance sheets for cash and cash equivalents are valued at cost, which approximate their fair value.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considers securities with original maturities of greater than three months to be marketable securities. The Company has the ability, if necessary, to liquidate any of its marketable securities to meet its liquidity needs in the next 12 months. Accordingly, those investments with contractual maturities greater than one year from the date of purchase are classified as current assets on the accompanying consolidated balance sheets which reflects management’s intention to use the proceeds from sales of these securities to fund our operations, as necessary. The Company’s marketable securities consist of U.S. Treasury and agency securities, commercial paper and corporate debt securities. Marketable securities are recorded at fair value and unrealized gains and losses are recorded within accumulated other comprehensive loss. The estimated fair value of the marketable securities is determined based on quoted market prices or rates for similar instruments. The Company evaluates securities with unrealized losses to determine whether such losses, if any, are due to credit-related factors. The Company records an allowance for credit losses when unrealized losses are due to credit-related factors. Realized gains and losses are calculated using the specific identification method and recorded in other income, net in the Company's consolidated statements of operation and comprehensive loss. The Company does not generally intend to sell the investments and it is not more likely than not that it will be required to sell the investments before recovery of their amortized cost bases, which may be at maturity. The Company has determined that there were no material declines in fair values of its investments due to credit-related factors as of December 31, 2025.</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Concentrations of Credit Risk and Off-Balance Sheet Risk</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 are financial instruments that are potentially subject to concentrations of credit risk. The Company’s cash and cash equivalents are deposited in accounts at large financial institutions, and amounts may exceed federally insured limits. The Company believes it is not exposed to significant credit risk due to the financial strength of the depository institutions in which the cash and cash equivalents are held. The Company maintains its cash equivalents in U.S. Treasury and agency securities and commercial paper with maturities less than three months and in money market funds that invest in U.S. Treasury and agency securities.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Company’s available for sale securities are also invested in U.S. Treasury and agency securities. The Company has not recognized any losses from credit risks on such accounts during any of the periods presented. The Company believes it is not exposed to significant credit risk on its cash, cash equivalents and available for sale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which consists mainly of lab equipment and leasehold improvements, are carried at cost less accumulated depreciation. Depreciation is computed over the estimated useful lives of the respective assets, generally two to seven years, using the straight-line method.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The Company accounts for the 2027 Notes as a liability measured at amortized cost. The carrying amount was calculated by measuring the fair value of similar debt instruments that do not have associated convertible features. The excess of the principal amount over its carrying amount (“debt discount”) is amortized to interest expense over the term of the 2027 Notes. Issuance costs were recorded as a reduction to the principal amount of the 2027 Notes and are being amortized to interest expense over the term of the 2027 Notes.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ind w:left="0" w:right="0" w:firstLine="1440"/>
        <w:jc w:val="left"/>
        <w:rPr/>
      </w:pPr>
      <w:r>
        <w:rPr>
          <w:rFonts w:ascii="Times New Roman;serif" w:hAnsi="Times New Roman;serif"/>
          <w:b w:val="false"/>
          <w:color w:val="000000"/>
          <w:sz w:val="20"/>
        </w:rPr>
        <w:t>In accordance with Accounting Standards Update (“ASU”) No. 2016-02, </w:t>
      </w:r>
      <w:r>
        <w:rPr>
          <w:rFonts w:ascii="Times New Roman;serif" w:hAnsi="Times New Roman;serif"/>
          <w:b w:val="false"/>
          <w:i/>
          <w:color w:val="000000"/>
          <w:sz w:val="20"/>
        </w:rPr>
        <w:t>Leases</w:t>
      </w:r>
      <w:r>
        <w:rPr>
          <w:color w:val="000000"/>
        </w:rPr>
        <w:t> </w:t>
      </w:r>
      <w:r>
        <w:rPr>
          <w:rFonts w:ascii="Times New Roman;serif" w:hAnsi="Times New Roman;serif"/>
          <w:b w:val="false"/>
          <w:color w:val="000000"/>
          <w:sz w:val="20"/>
        </w:rPr>
        <w:t xml:space="preserve">(Topic 842), the Company determines if an arrangement is a lease at inception. Operating leases are included in the balance sheet as right-of-use assets and operating lease liabilities at the present value of the lease payments calculated using the Company’s incremental borrowing rate, unless the implicit rate is readily available. The Company applied the short-term lease recognition exemption for leases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terms at inception not greater than 12 months and elected to not separate lease and non-lease components for its long-term leases. The Company records rent expense on a straight-line basis over the term of the lease.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Payments made prior to the receipt of goods or services to be used in research and development are capitalized until the goods or services are received.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Clinical trial site costs related to patient enrollment are accrued as patients enter and progress through the trial. Upfront costs, such as costs associated with setting up clinical trial sites for participation in the trials, are expensed immediately once incurred as research and development expenses.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 process research and development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process research and development costs relate to a milestone payment to Pulmokine for the initiation of the Phase 3 clinical trial for seralutinib and acquisition of the Respira Merger Option.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Patent Costs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Costs related to filing and pursuing patent applications are expensed as incurred, as recoverability of such expenditures is uncertain. These costs are included in general and administrative expenses.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ind w:left="0" w:right="0" w:firstLine="1440"/>
        <w:jc w:val="left"/>
        <w:rPr/>
      </w:pPr>
      <w:r>
        <w:rPr>
          <w:rFonts w:ascii="Times New Roman;serif" w:hAnsi="Times New Roman;serif"/>
          <w:b w:val="false"/>
          <w:color w:val="000000"/>
          <w:sz w:val="20"/>
        </w:rPr>
        <w:t xml:space="preserve">Income taxes are recorded in accordance with Financial Accounting Standards Board (“FASB”) ASC 740, </w:t>
      </w:r>
      <w:r>
        <w:rPr>
          <w:rFonts w:ascii="Times New Roman;serif" w:hAnsi="Times New Roman;serif"/>
          <w:b w:val="false"/>
          <w:i/>
          <w:color w:val="000000"/>
          <w:sz w:val="20"/>
        </w:rPr>
        <w:t>Income Taxes</w:t>
      </w:r>
      <w:r>
        <w:rPr>
          <w:rFonts w:ascii="Times New Roman;serif" w:hAnsi="Times New Roman;serif"/>
          <w:b w:val="false"/>
          <w:color w:val="000000"/>
          <w:sz w:val="20"/>
        </w:rPr>
        <w:t>,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does not recognize any deferred taxes related to the U.S. taxes on foreign earnings as we recognize these taxes as a period cost.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Company's policy is to include interest and penalties related to income taxes within its provision (benefit) for income taxes.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taxation in the United States, California, Florida, Ireland and Luxembourg. As of December 31, 2025, the Company’s tax years since inception are subject to examination by taxing authorities due to the Company’s unutilized net operating losses ("NOLs") and tax credits.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Collaborative Arrangements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assesses whether its licensing and other agreements are collaborative arrangements based on whether they involve joint operating activities and whether both parties have active participation in the arrangement and are exposed to significant risks and rewards. For arrangements that the Company determines are collaborations, it identifies each unit of account, and then determines whether a customer relationship exists for that unit of account. If the Company determines a performance obligation within the collaborative arrangement to be with a customer, it applies its revenue recognition accounting policy. If a portion of a distinct bundle of goods or services within the collaborative arrangement is not with a customer, the Company applies recognition and measurement based on an analogy to authoritative accounting literature or, if there is no appropriate analogy, a reasonable, rational and consistently applied accounting policy election. To the extent the arrangement is within the scope of ASC 808, the Company assesses whether aspects of the arrangement between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and the collaboration partner are within the scope of other accounting literature. If the Company concludes that some or all aspects of the arrangement represent a transaction with a customer, the Company accounts for those aspects of the arrangement within the scope of ASC Topic 606, Revenue from Contracts with Customers (ASC 606). See Note 12, "Significant Agreements and Contracts," for more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when a customer obtains control of promised goods or services in a contract for an amount that reflects the consideration the Company expects to receive in exchange for those goods or services.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each performance obligation. The Company only applies the five-step model to contracts when it is probable that the Company will collect the consideration it is entitled to in exchange for the goods or services it transfers to the customer. As part of the accounting for contracts with customers, the Company develops assumptions that require judgment to determine the standalone selling price of each distinct performance obligation identified in the contract. In addition, variable consideration such as milestone payments are evaluated to determine if they are constrained and, therefore, excluded from the transaction price. The Company then allocates the total transaction price proportionally to each distinct performance obligation based on their estimated standalone selling prices, unless an allocation exception applies. The Company then recognizes as revenue the amount of the transaction price that is allocated to the respective distinct performance obligation when (or as) the performance obligation is satisfied.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a contract with multiple performance obligations, the Company must develop estimates and assumptions that require judgment to determine the underlying standalone selling price for each distinct performance obligation, which determines how the transaction price is allocated among the distinct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distinct performance obligation and, therefore, revenue recognized will be recorded as a change in estimate. In addition, variable consideration must be evaluated to determine if it is constrained and, therefore, excluded from the transaction price.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a license to the Company’s intellectual property is determined to be distinct from the other performance obligations identified in a contract,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the allocated transaction price. The Company evaluates the measure of progress at each reporting period and, if necessary, adjusts the measure of performance and related revenue or expense recognition as a change in estimate.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At the inception of each arrangement that includes milestone payments, the Company evaluates whether the milestones are considered probable of being reached. If it is probable that a significant revenue reversal would not occur, the associated milestone value is included in the transaction price. Milestone payments that are not within the Company’s or a collaboration partner’s control, such as regulatory approvals, are generally not considered probable of being achieved until those approvals are received. At the end of each reporting period, the Company re-evaluates the probability of achievement of milestones that are within its or a collaboration partner’s control, such as operational developmental milestones and any related constraint, and, if necessary, adjusts its estimate of the overall transaction price. Any such adjustments are recorded on a cumulative catch-up basis, which will affect revenue from sale of licenses and revenue from contracts with collaborators in the period of adjustment. Revisions to the Company’s estimate of the transaction price may also result in negative revenue from sale of licenses and revenue from contracts with collaborators in the period of adjustment.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For arrangements that include sales-based royalties, including commercial milestone payments based on the level of sales, and a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To date, the Company has not recognized any royalty revenue from collaborative arrangements.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For arrangements that include cost-share reimbursements, we will recognize such payments when control of the related goods or services are transferred to the customer. Cost-sharing reimbursements are presented as revenue from contracts with collaborators.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expenses stock-based compensation to employees and non-employees over the requisite service period based on the estimated grant-date fair value of the awards. The Company records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Company estimates the fair value of stock option grants and shares purchasable under the Company's 2019 Employee Stock Purchase Plan ("ESPP") using the Black-Scholes option pricing model, and the assumptions used in calculating the fair value of stock-based awards represent management’s best estimates and involve inherent uncertainties and the application of management’s judgment. The Company estimates the fair value of restricted stock units based on the closing price of the Company's common stock on the date of grant. The Company accounts for forfeitures as they occur. All share-based compensation costs are recorded in the statements of operations based upon the underlying employees or non-employee’s roles within the Company.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Assets and liabilities of non-U.S. subsidiaries that operate in a local currency environment, where that local currency is the functional currency, are translated to U.S. dollars at exchange rates in effect at the balance sheet date. Income and expense accounts are translated at average exchange rates during the year which approximate the rates in effect at the transaction dates. The resulting translation adjustments are recorded in accumulated other comprehensive income (loss) in the Company's consolidated balance sheets. Foreign exchange transaction gains and losses are included in other income, net in the Company’s consolidated statement of operations and comprehensive loss.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 Adopted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November 2023, the FASB issued ASU 2023-07, Segment Reporting (Topic 280) Improvements to Reportable Segment Disclosures (“Topic 280”), which modifies the disclosure and presentation requirements of reportable segments. The amendments in the update require the disclosure of significant segment expenses that are regularly provided to the Chief Operating Decision Maker ("CODM") and included within each reported measure of segment profit and loss. The amendments also require disclosure of all other segment items by reportable segment and a description of its composition. Additionally, the amendments require disclosure of the title and position of the CODM and an explanation of how the CODM uses the reported measure(s) of segment profit or loss in assessing segment performance and deciding how to allocate resources. Lastly, the amendment requires that a public entity that has a single reportable segment provide all the disclosures required by ASU 2023-07 and all existing segment disclosures in Topic 280. This update is effective for annual periods beginning after December 15, 2023, and interim periods within fiscal years beginning after December 15, 2024. Early adoption is permitted. We have adopted this standard for our fiscal year ended December 31, 2024. We have applied this standard retrospectively for all prior periods presented in the financial statements. There was no impact on our reportable segments identified and additional required disclosures have been included in Note 13, Segment Reporting.</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(Topics 740): Improvements to Income Tax Disclosures, to expand the disclosure requirements for income taxes, specifically related to the rate reconciliation and income taxes paid. ASU 2023-09 is effective for our annual periods beginning January 1, 2025, with early adoption permitted. We have adopted this standard for our fiscal year ended December 31, 2025 on a retrospective basis, and the adoption did not have a material impact on our consolidated financial statements and related disclosures. See Note 7, Income Taxes, to the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 Not Yet Adopted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 - Reporting Comprehensive Income - Expense Disaggregation Disclosures (Subtopic 220-40): Disaggregation of Income Statement Expenses, as further clarified by ASU 2025-01, Income Statement - Reporting Comprehensive Income-Expense Disaggregation Disclosures (Subtopic 220-40): Clarifying the Effective Date, issued in January, 2025, which requires disaggregated disclosure of certain costs and expenses on an interim and annual basis. ASU No. 2024-03 is effective for fiscal years beginning after December 15, 2026, and interim periods within fiscal years beginning after December 15, 2027, with early adoption permitted. The disclosure updates are required to be applied prospectively with the option for retrospective application. The Company is currently evaluating the impact of adopting ASU No. 2024-03.</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No. 2025-12, Codification Improvements, to address suggestions received from stakeholders on the ASC and to make other incremental improvements to U.S. GAAP. The update represents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changes to the ASC that clarify, correct errors in or make other improvements to a variety of topics that are intended to make it easier to understand and apply. ASU No. 2025-12 is effective for fiscal years beginning after December 15, 2026 and interim periods. The Company is currently evaluating the impact of adopting ASU No. 2024-12 on its consolidated financial statements and related disclosures.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2025-11, Interim Reporting (Topic 270), which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ASU No. 2025-11 is effective for fiscal years beginning after December 15, 2027, including interim periods within those fiscal years. The Company is currently evaluating the impact of adopting ASU No. 2024-11 on its consolidated financial statements and related disclosures.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Other recent accounting pronouncements issued by the FASB (including its Emerging Issues Task Force), the American Institute of Certified Public Accountants, and the SEC did not, or are not believed by management to, have a material impact on the Company’s present or future financial position, results of operations, cash flows or disclosures.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Basic net loss per share of common stock is computed by dividing net loss attributable to common stockholders by the weighted average number of shares of common stock outstanding for the period. The Company uses the if-converted method for assumed conversion of the 2027 Notes to compute the weighted average shares of common stock outstanding for diluted net loss per share. Diluted net loss per share excludes the potential impact of the Company’s common stock options, warrants for the purchase of common stock, unvested shares of restricted stock and the potential shares issuable upon conversion of the 2027 Notes because their effect would be anti-dilutive due to the Company’s net loss. Since the Company had a net loss in each of the periods presented, basic and diluted net loss per common share are the same because the otherwise dilutive potential common shares become anti-dilutive and are therefore excluded.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table below provides potentially dilutive securities not included in the calculation of the diluted net loss per share because to do so would be anti-dilutive (in common stock equivalent shares):</w:t>
      </w:r>
    </w:p>
    <w:tbl>
      <w:tblPr>
        <w:tblW w:w="9042" w:type="dxa"/>
        <w:jc w:val="center"/>
        <w:tblInd w:w="0" w:type="dxa"/>
        <w:tblLayout w:type="fixed"/>
        <w:tblCellMar>
          <w:top w:w="28" w:type="dxa"/>
          <w:left w:w="28" w:type="dxa"/>
          <w:bottom w:w="28" w:type="dxa"/>
          <w:right w:w="28" w:type="dxa"/>
        </w:tblCellMar>
      </w:tblPr>
      <w:tblGrid>
        <w:gridCol w:w="1634"/>
        <w:gridCol w:w="1432"/>
        <w:gridCol w:w="1449"/>
        <w:gridCol w:w="540"/>
        <w:gridCol w:w="541"/>
        <w:gridCol w:w="156"/>
        <w:gridCol w:w="109"/>
        <w:gridCol w:w="109"/>
        <w:gridCol w:w="109"/>
        <w:gridCol w:w="592"/>
        <w:gridCol w:w="594"/>
        <w:gridCol w:w="156"/>
        <w:gridCol w:w="109"/>
        <w:gridCol w:w="109"/>
        <w:gridCol w:w="109"/>
        <w:gridCol w:w="540"/>
        <w:gridCol w:w="541"/>
        <w:gridCol w:w="213"/>
      </w:tblGrid>
      <w:tr>
        <w:trPr/>
        <w:tc>
          <w:tcPr>
            <w:tcW w:w="163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12,321,900 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47,436,953 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34,416,337 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23,626,115 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Chiesi Equity Option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22,433,809 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30,675,537 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32,467,360 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32,467,360 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shares under performance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shares under restricted stock grants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potentially dilutive securities</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94,561,352 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101,639,406 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68,843,073 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3—Accrued Expenses and Other Current Liabilities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tbl>
      <w:tblPr>
        <w:tblW w:w="6713" w:type="dxa"/>
        <w:jc w:val="left"/>
        <w:tblInd w:w="0" w:type="dxa"/>
        <w:tblLayout w:type="fixed"/>
        <w:tblCellMar>
          <w:top w:w="28" w:type="dxa"/>
          <w:left w:w="28" w:type="dxa"/>
          <w:bottom w:w="28" w:type="dxa"/>
          <w:right w:w="28" w:type="dxa"/>
        </w:tblCellMar>
      </w:tblPr>
      <w:tblGrid>
        <w:gridCol w:w="1544"/>
        <w:gridCol w:w="1355"/>
        <w:gridCol w:w="1360"/>
        <w:gridCol w:w="211"/>
        <w:gridCol w:w="721"/>
        <w:gridCol w:w="109"/>
        <w:gridCol w:w="109"/>
        <w:gridCol w:w="109"/>
        <w:gridCol w:w="109"/>
        <w:gridCol w:w="211"/>
        <w:gridCol w:w="721"/>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consulting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accounting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4—Fair Value Measurements and Available for Sale Investments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Level 1: Observable inputs such as quoted prices in active markets;</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Level 2: Inputs, other than the quoted prices in active markets, that are observable either directly or indirectly; and</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Level 3: Unobservable inputs in which there is little or no market data, which require the reporting entity to develop its own assumptions.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cash equivalents and available-for-sale investments within Level 1 or Level 2. The fair value of the Company’s investment grade corporate debt securities and commercial paper classified as Level 2 is determined using proprietary valuation models and analytical tools, which utilize market pricing or prices for similar instruments that are both objective and publicly available, such as matrix pricing or reported trades, benchmark yields, broker/dealer quotes, issuer spreads, two-sided markets, benchmark securities, bids, and offers.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hierarchy for assets measured at fair value on a recurring basis as of December 31, 2025 and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tbl>
      <w:tblPr>
        <w:tblW w:w="8790" w:type="dxa"/>
        <w:jc w:val="left"/>
        <w:tblInd w:w="0" w:type="dxa"/>
        <w:tblLayout w:type="fixed"/>
        <w:tblCellMar>
          <w:top w:w="28" w:type="dxa"/>
          <w:left w:w="28" w:type="dxa"/>
          <w:bottom w:w="28" w:type="dxa"/>
          <w:right w:w="28" w:type="dxa"/>
        </w:tblCellMar>
      </w:tblPr>
      <w:tblGrid>
        <w:gridCol w:w="1079"/>
        <w:gridCol w:w="951"/>
        <w:gridCol w:w="955"/>
        <w:gridCol w:w="211"/>
        <w:gridCol w:w="721"/>
        <w:gridCol w:w="109"/>
        <w:gridCol w:w="109"/>
        <w:gridCol w:w="109"/>
        <w:gridCol w:w="109"/>
        <w:gridCol w:w="249"/>
        <w:gridCol w:w="852"/>
        <w:gridCol w:w="130"/>
        <w:gridCol w:w="109"/>
        <w:gridCol w:w="109"/>
        <w:gridCol w:w="109"/>
        <w:gridCol w:w="410"/>
        <w:gridCol w:w="789"/>
        <w:gridCol w:w="212"/>
        <w:gridCol w:w="109"/>
        <w:gridCol w:w="109"/>
        <w:gridCol w:w="109"/>
        <w:gridCol w:w="312"/>
        <w:gridCol w:w="600"/>
        <w:gridCol w:w="22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End of Period Using:</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Market</w:t>
              <w:br/>
              <w:t>Prices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did not reclassify any investments between levels in the fair value hierarchy during the periods presented.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Fair Value of Other Financial Instruments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carrying amounts of the Company’s financial instruments, which include cash, prepaid and other current assets, interest receivable, accrued research and development expenses, accounts payable and accrued expenses and other current liabilities, approximate fair values because of their short-term maturities.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interest receivable was $0.3 million and $0.2 million, respectively. Interest receivable is recorded as a component of prepaid expenses and other current assets on the consolidated balance sheets.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fair value of the Company's 2027 Notes was $138.3 million and $110.0 million, respectively. The fair value was determined on the basis of market prices observable for similar instruments and is considered Level 2 in the fair value hierarchy (see Note 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Available for Sale Investments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invests its excess cash in U.S. Treasury and agency securities, corporate debt securities, and commercial paper, which are classified as available-for-sale investments. These investments are carried at fair value and are included in the tables below. The Company evaluates securities with unrealized losses to determine whether such losses, if any, are due to credit-related factors. Realized gains and losses are calculated using the specific identification method and recorded in other income, net in the Company's consolidated statements of operations and comprehensive loss. The Company has classified these investments as available-for-sale, as the sale of such investments may be required prior to maturity to implement management strategies, and therefore has classified all investment securities as current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aggregate market value, cost basis, and gross unrealized gains and losses of available-for-sale investments by security type, classified in marketable securities as of December 31, 2025 and 2024 are as follows (in thousands except securities amounts):</w:t>
      </w:r>
    </w:p>
    <w:tbl>
      <w:tblPr>
        <w:tblW w:w="8704" w:type="dxa"/>
        <w:jc w:val="left"/>
        <w:tblInd w:w="0" w:type="dxa"/>
        <w:tblLayout w:type="fixed"/>
        <w:tblCellMar>
          <w:top w:w="28" w:type="dxa"/>
          <w:left w:w="28" w:type="dxa"/>
          <w:bottom w:w="28" w:type="dxa"/>
          <w:right w:w="28" w:type="dxa"/>
        </w:tblCellMar>
      </w:tblPr>
      <w:tblGrid>
        <w:gridCol w:w="1307"/>
        <w:gridCol w:w="1151"/>
        <w:gridCol w:w="1156"/>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securities with unrealized losses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 Treasury and agency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securities with unrealized losses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classified $22.2 million and $25.3 million, respectively, of assets with original maturities of three months or less as cash and cash equivalents.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At each reporting date, the Company performs an evaluation of impairment to determine if any unrealized losses are due to credit-related factors. The Company records an allowance for credit losses when unrealized losses are due to credit-related factors. Factors considered when evaluating available-for-sale investments for impairment include the severity of the impairment, changes in underlying credit ratings, the financial condition of the issuer, the probability that the scheduled cash payments will continue to be made and the Company’s intent and ability to hold the investment until recovery of the amortized cost basis. The Company does not intend to sell these debt securities that are in an unrealized loss position, and it is not more likely than not that the Company will be required to sell these debt securities before recovery of their amortized cost bases, which may be at maturity. Based on the credit quality of the debt securities, and the Company’s estimates of future cash flows to be collected from those securities, the Company believes the unrealized losses are not credit losses. As of December 31, 2025 and 2024, there were no material declines in the market value of the Company's available-for-sale investments due to credit-related factors.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Contractual maturities of available-for-sale debt securities, as of December 31, 2025, were as follows (in thousands):</w:t>
      </w:r>
    </w:p>
    <w:tbl>
      <w:tblPr>
        <w:tblW w:w="3036" w:type="dxa"/>
        <w:jc w:val="left"/>
        <w:tblInd w:w="0" w:type="dxa"/>
        <w:tblLayout w:type="fixed"/>
        <w:tblCellMar>
          <w:top w:w="28" w:type="dxa"/>
          <w:left w:w="28" w:type="dxa"/>
          <w:bottom w:w="28" w:type="dxa"/>
          <w:right w:w="28" w:type="dxa"/>
        </w:tblCellMar>
      </w:tblPr>
      <w:tblGrid>
        <w:gridCol w:w="668"/>
        <w:gridCol w:w="587"/>
        <w:gridCol w:w="590"/>
        <w:gridCol w:w="211"/>
        <w:gridCol w:w="82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one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13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the ability, if necessary, to liquidate any of its cash equivalents and marketable securities to meet its liquidity needs in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5—Indebtedness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On May 2, 2019, the Company entered into a credit, guaranty and security agreement, as amended on September 18, 2019, July 2, 2020, December 7, 2022 and February 14, 2023 (the “Credit Facility”), with MidCap Financial Trust (“MidCap”), as agent and lender, and the additional lenders party thereto from time to time (together with MidCap, the “Lenders”), pursuant to which the Lenders, agreed to make term loans available to the Company for working capital and general business purposes, in a principal amount of up to $150.0 million in term loan commitments, including a $30.0 million term loan that was funded at the closing date, with the ability to access the remaining $120.0 million in two additional tranches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(each $60.0 million), subject to specified availability periods, the achievement of certain clinical development milestones, minimum cash requirements and other customary conditions. On May 3, 2024, the Credit Facility was terminated and the Company recorded a $7.7 million payment of the outstanding debt balance in full and discharged, which released the Company from the obligations under the Credit Facility, and Lenders’ security interests in the Company’s assets and property were released. Unamortized debt discount and issuance costs were written off and recorded in interest expense on the consolidated statements of operations and comprehensive loss. As of December 31, 2025, the Company has no further obligations under the Credit Facility.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5.00% Convertible Senior Notes due 2027</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On May 21, 2020, the Company issued $200.0 million aggregate principal amount of 5.00% convertible senior notes due 2027 in a public offering (the "2027 Notes"). The 2027 Notes were registered pursuant to the Company’s shelf registration statement on Form S-3 filed with the SEC on April 10, 2020. The interest rate on the 2027 Notes is fixed at 5.00% per annum. Interest is payable semi-annually in arrears on June 1 and December 1 of each year, commencing on December 1, 2020. The 2027 Notes will mature on June 1, 2027. The net proceeds from the offering, after deducting the underwriting discounts and commissions and other offering costs, were approximately $193.6 million. The 2027 Notes may be settled in cash, shares of the Company’s common stock, or a combination thereof, solely at the Company’s election. The initial conversion rate of the 2027 Notes is 61.6095 shares per $1,000 principal amount, which is equivalent to a conversion price of approximately $16.23 per share, subject to adjustments. In addition, following certain corporate events that occur prior to the maturity date or if the Company issues a notice of redemption, the Company will increase the conversion rate for a holder who elects to convert its 2027 Notes in connection with such a corporate event during the related redemption period in certain circumstances. </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The 2027 Notes are senior unsecured obligations of the Company, ranking senior in right of payment to any of the Company’s indebtedness that is expressly subordinated in right of payment to the 2027 Notes, and are effectively subordinated to the Company’s existing and future secured indebtedness, to the extent of the value of the collateral securing that indebtedness.</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Holders may convert their notes at their option only in the following circumstances: (1) during any calendar quarter (and only during such calendar quarter) commencing after the calendar quarter ending on September 30, 2020, if the last reported sale price per share of the Company’s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(4) if the Company calls such notes for redemption; and (5) at any time from, and including, March 1, 2027 until the close of business on the scheduled trading day immediately before the maturity date. </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the right to redeem the 2027 Notes prior to June 6, 2024. As of December 31, 2025, the Company has not redeemed the 2027 Notes. On or after June 6, 2024 and on or before the 50th scheduled trading day immediately before the maturity date, the Company may redeem the 2027 Notes, in whole or in part, if the last reported sale price of the Company’s common stock has been at least 130% of the conversion price then in effect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notice. In the case of any optional redemption, the Company will redeem the 2027 Notes at a redemption price equal to 100% of the principal amount of such Notes to be redeemed, plus accrued and unpaid interest to, but excluding, the redemption date. </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If the Company undergoes a fundamental change prior to the maturity date of the 2027 Notes, holders of the 2027 Notes may require the Company to repurchase for cash all or part of their 2027 Notes at a repurchase price equal to 100% of the principal amount of the 2027 Notes to be repurchased, plus accrued and unpaid interest to, but excluding, the fundamental change repurchase date.</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governing the 2027 Notes provides for customary terms and covenants, including that upon certain events of default, either the trustee or the holders of not less than 25% in aggregate principal amount of the 2027 Notes then outstanding may declare the unpaid principal amount of the 2027 Notes and accrued and unpaid interest, if any, thereon immediately due and payable. As of December 31, 2025, the Company was in compliance with these covenants. In the case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events of bankruptcy, insolvency or reorganization, the principal amount of the 2027 Notes together with accrued and unpaid interest, if any, thereon will automatically become and be immediately due and payable. </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there were no events or market conditions that would allow holders to convert the 2027 Notes. When the 2027 Notes become convertible within 12 months of the balance sheet date, the carrying value of the 2027 Notes will be reclassified to short-term.</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The Company accounts for the 2027 Notes as a single liability measured at amortized cost. As the equity component is no longer required to be split into a separate component, the Company recorded an adjustment to reflect this update.</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The Company recorded $0.4 million of the debt issuance costs related to the 2027 Notes as a reduction to the liability and amortizes these costs to interest expense over the term of the 2027 Notes.</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2027 Notes was as follows (in thousands):</w:t>
      </w:r>
    </w:p>
    <w:tbl>
      <w:tblPr>
        <w:tblW w:w="5348" w:type="dxa"/>
        <w:jc w:val="left"/>
        <w:tblInd w:w="0" w:type="dxa"/>
        <w:tblLayout w:type="fixed"/>
        <w:tblCellMar>
          <w:top w:w="28" w:type="dxa"/>
          <w:left w:w="28" w:type="dxa"/>
          <w:bottom w:w="28" w:type="dxa"/>
          <w:right w:w="28" w:type="dxa"/>
        </w:tblCellMar>
      </w:tblPr>
      <w:tblGrid>
        <w:gridCol w:w="973"/>
        <w:gridCol w:w="852"/>
        <w:gridCol w:w="859"/>
        <w:gridCol w:w="211"/>
        <w:gridCol w:w="826"/>
        <w:gridCol w:w="109"/>
        <w:gridCol w:w="109"/>
        <w:gridCol w:w="109"/>
        <w:gridCol w:w="109"/>
        <w:gridCol w:w="211"/>
        <w:gridCol w:w="82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interest expense recognized related to the 2027 Notes (in thousands):</w:t>
      </w:r>
    </w:p>
    <w:tbl>
      <w:tblPr>
        <w:tblW w:w="7812" w:type="dxa"/>
        <w:jc w:val="left"/>
        <w:tblInd w:w="0" w:type="dxa"/>
        <w:tblLayout w:type="fixed"/>
        <w:tblCellMar>
          <w:top w:w="28" w:type="dxa"/>
          <w:left w:w="28" w:type="dxa"/>
          <w:bottom w:w="28" w:type="dxa"/>
          <w:right w:w="28" w:type="dxa"/>
        </w:tblCellMar>
      </w:tblPr>
      <w:tblGrid>
        <w:gridCol w:w="1444"/>
        <w:gridCol w:w="1269"/>
        <w:gridCol w:w="1277"/>
        <w:gridCol w:w="211"/>
        <w:gridCol w:w="721"/>
        <w:gridCol w:w="109"/>
        <w:gridCol w:w="109"/>
        <w:gridCol w:w="109"/>
        <w:gridCol w:w="109"/>
        <w:gridCol w:w="211"/>
        <w:gridCol w:w="721"/>
        <w:gridCol w:w="109"/>
        <w:gridCol w:w="109"/>
        <w:gridCol w:w="109"/>
        <w:gridCol w:w="109"/>
        <w:gridCol w:w="211"/>
        <w:gridCol w:w="721"/>
        <w:gridCol w:w="154"/>
      </w:tblGrid>
      <w:tr>
        <w:trPr/>
        <w:tc>
          <w:tcPr>
            <w:tcW w:w="144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related to the 2027 Notes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6—Licenses, Asset Acquisitions and Contingent Consideration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following purchased assets were accounted for as asset acquisitions as substantially all of the fair value of the assets acquired were concentrated in a group of similar assets and/or the acquired assets were not capable of producing outputs due to the lack of employees and early stage of development. Because the assets had not yet received regulatory approval, the fair value attributable to these assets was recorded as in process research and development (“IPR&amp;D”) expenses in the Company’s consolidated statements of operations and comprehensive loss for the years ended December 31, 2025, 2024, and 2023.</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accounts for contingent consideration payable upon achievement of certain regulatory, development or sales milestones in such asset acquisitions when the underlying contingency is met.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License from Pulmokine, Inc. (Seralutinib)</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 2017, the Company entered into a license agreement with Pulmokine, Inc. under which it was granted an exclusive worldwide license and sublicense to certain intellectual property rights owned or controlled by Pulmokine to develop and commercialize seralutinib and certain backup compounds for the treatment, prevention and diagnosis of any and all disease or conditions. On November 26, 2024, Pulmokine became a wholly-owned subsidiary of XOMA Royalty Corporation. The Company also has the right to sublicense its rights under the license agreement, subject to certain conditions. The assets acquired are in the early stages of the FDA approval process, and the Company intends to further develop the assets acquired through potential FDA approval as evidenced by the milestone arrangement in the contract. The development activities cannot be performed without significant cost and effort by the Company. The agreement will remain in effect from the effective date, unless terminated earlier, until, on a licensed product-by-licensed product and country-by-country basis, the later of 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years from the date of first commercial sale or when there is no longer a valid patent claim covering such licensed product or specified regulatory exclusivity for the licensed product in such country. The Company is obligated to make future development and regulatory milestone payments of up to $48.0 million, which includes a payment of $5.0 million due upon initiation of a Phase 3 clinical trial in a second indication, commercial milestone payments of up to $45.0 million, and sales milestone payments of up to $190.0 million. The Company is also obligated to pay tiered royalties on sales for each licensed product, at percentages ranging from the mid-single digits to the high single-digits. In addition, if the Company chooses to sublicense or assign to any third parties its rights under the agreement with respect to a licensed product, or the Company’s seralutinib operating subsidiary undergoes a change of control, the Company must pay to Pulmokine a specified percentage of all revenue to be received in connection with such transaction. The Company made an upfront payment of $5.5 million in October 2017. The Company made a milestone payment of $5.0 million in connection with the initiation of the first Phase 2 clinical trial of seralutinib in January 2021 and made a milestone payment of $10.0 million, which was accrued in 2023, in connection with the initiation of the Phase 3 clinical trial of seralutinib in January 2024. The Company recognized these milestone payments as research and development expense on its consolidated statements of operations and comprehensive loss. As of December 31, 2025, no other milestones had been accrued as the underlying contingencies had not yet been met.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IPR&amp;D expense on the consolidated statements of operations and comprehensive loss (in thousands):</w:t>
      </w:r>
    </w:p>
    <w:tbl>
      <w:tblPr>
        <w:tblW w:w="4213" w:type="dxa"/>
        <w:jc w:val="left"/>
        <w:tblInd w:w="0" w:type="dxa"/>
        <w:tblLayout w:type="fixed"/>
        <w:tblCellMar>
          <w:top w:w="28" w:type="dxa"/>
          <w:left w:w="28" w:type="dxa"/>
          <w:bottom w:w="28" w:type="dxa"/>
          <w:right w:w="28" w:type="dxa"/>
        </w:tblCellMar>
      </w:tblPr>
      <w:tblGrid>
        <w:gridCol w:w="370"/>
        <w:gridCol w:w="325"/>
        <w:gridCol w:w="326"/>
        <w:gridCol w:w="211"/>
        <w:gridCol w:w="406"/>
        <w:gridCol w:w="109"/>
        <w:gridCol w:w="109"/>
        <w:gridCol w:w="109"/>
        <w:gridCol w:w="109"/>
        <w:gridCol w:w="211"/>
        <w:gridCol w:w="406"/>
        <w:gridCol w:w="109"/>
        <w:gridCol w:w="109"/>
        <w:gridCol w:w="109"/>
        <w:gridCol w:w="109"/>
        <w:gridCol w:w="211"/>
        <w:gridCol w:w="721"/>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Seralutinib</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7—Income Taxes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amount of net loss before taxes for the years ended December 31, 2025, 2024, and 2023 is as follows:</w:t>
      </w:r>
    </w:p>
    <w:tbl>
      <w:tblPr>
        <w:tblW w:w="6161" w:type="dxa"/>
        <w:jc w:val="left"/>
        <w:tblInd w:w="0" w:type="dxa"/>
        <w:tblLayout w:type="fixed"/>
        <w:tblCellMar>
          <w:top w:w="28" w:type="dxa"/>
          <w:left w:w="28" w:type="dxa"/>
          <w:bottom w:w="28" w:type="dxa"/>
          <w:right w:w="28" w:type="dxa"/>
        </w:tblCellMar>
      </w:tblPr>
      <w:tblGrid>
        <w:gridCol w:w="769"/>
        <w:gridCol w:w="678"/>
        <w:gridCol w:w="682"/>
        <w:gridCol w:w="211"/>
        <w:gridCol w:w="826"/>
        <w:gridCol w:w="109"/>
        <w:gridCol w:w="109"/>
        <w:gridCol w:w="109"/>
        <w:gridCol w:w="109"/>
        <w:gridCol w:w="211"/>
        <w:gridCol w:w="721"/>
        <w:gridCol w:w="109"/>
        <w:gridCol w:w="109"/>
        <w:gridCol w:w="109"/>
        <w:gridCol w:w="109"/>
        <w:gridCol w:w="211"/>
        <w:gridCol w:w="826"/>
        <w:gridCol w:w="154"/>
      </w:tblGrid>
      <w:tr>
        <w:trPr/>
        <w:tc>
          <w:tcPr>
            <w:tcW w:w="76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loss before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loss before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1440"/>
        <w:jc w:val="left"/>
        <w:rPr/>
      </w:pPr>
      <w:r>
        <w:rPr/>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reconciliation of income tax expense (benefit) for the years ended December 31, 2025, 2024 and 2023 is as follows:</w:t>
      </w:r>
    </w:p>
    <w:tbl>
      <w:tblPr>
        <w:tblW w:w="5906" w:type="dxa"/>
        <w:jc w:val="left"/>
        <w:tblInd w:w="0" w:type="dxa"/>
        <w:tblLayout w:type="fixed"/>
        <w:tblCellMar>
          <w:top w:w="28" w:type="dxa"/>
          <w:left w:w="28" w:type="dxa"/>
          <w:bottom w:w="28" w:type="dxa"/>
          <w:right w:w="28" w:type="dxa"/>
        </w:tblCellMar>
      </w:tblPr>
      <w:tblGrid>
        <w:gridCol w:w="1062"/>
        <w:gridCol w:w="933"/>
        <w:gridCol w:w="944"/>
        <w:gridCol w:w="211"/>
        <w:gridCol w:w="436"/>
        <w:gridCol w:w="109"/>
        <w:gridCol w:w="109"/>
        <w:gridCol w:w="109"/>
        <w:gridCol w:w="109"/>
        <w:gridCol w:w="211"/>
        <w:gridCol w:w="466"/>
        <w:gridCol w:w="109"/>
        <w:gridCol w:w="109"/>
        <w:gridCol w:w="109"/>
        <w:gridCol w:w="109"/>
        <w:gridCol w:w="211"/>
        <w:gridCol w:w="406"/>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State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effects of temporary differences between the carrying amount of assets and liabilities for financial reporting purposes and the amounts used for income tax purposes. Significant components of the Company’s deferred tax assets and liabilities at December 31, 2025, 2024 and 2023 are shown below. The Company has established a valuation allowance against net deferred tax assets due to the uncertainty that such assets will be realized. The Company periodically evaluates the recoverability of the deferred assets. At such time as it is determined that it is more likely than not that the deferred tax asset will be realized, the valuation allowance will be reduced. The change in the valuation allowance for the year ended December 31, 2025 was an increase of $45.0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tbl>
      <w:tblPr>
        <w:tblW w:w="6882" w:type="dxa"/>
        <w:jc w:val="left"/>
        <w:tblInd w:w="0" w:type="dxa"/>
        <w:tblLayout w:type="fixed"/>
        <w:tblCellMar>
          <w:top w:w="28" w:type="dxa"/>
          <w:left w:w="28" w:type="dxa"/>
          <w:bottom w:w="28" w:type="dxa"/>
          <w:right w:w="28" w:type="dxa"/>
        </w:tblCellMar>
      </w:tblPr>
      <w:tblGrid>
        <w:gridCol w:w="1034"/>
        <w:gridCol w:w="906"/>
        <w:gridCol w:w="910"/>
        <w:gridCol w:w="211"/>
        <w:gridCol w:w="826"/>
        <w:gridCol w:w="109"/>
        <w:gridCol w:w="109"/>
        <w:gridCol w:w="109"/>
        <w:gridCol w:w="109"/>
        <w:gridCol w:w="211"/>
        <w:gridCol w:w="721"/>
        <w:gridCol w:w="109"/>
        <w:gridCol w:w="109"/>
        <w:gridCol w:w="109"/>
        <w:gridCol w:w="109"/>
        <w:gridCol w:w="211"/>
        <w:gridCol w:w="826"/>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174 capitalization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(221,393)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federal and state NOL carryforwards of approximately $540.6 million and $10.2 million, respectively. The majority of the federal NOL carryforwards can be carried forward indefinitely and be available to offset up to 80% of future taxable income each year. The state NOL carryforwards begin to expire in 2036. As of December 31, 2025, the Company also has Irish NOL carryforwards of approximately $143.3 million, which can be carried forward indefinitely.</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also had orphan drug credit and federal research tax credit carryforwards of approximately $65.8 million and California research tax credits of $12.0 million. The federal research tax credit carryforwards begin to expire in 2038, and the California research tax credit carryforward does not expire and can be carried forward indefinitely until utilized.</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Upon adoption of ASU 2023-09, the differences between income taxes expected at the U.S. federal statutory income tax rate of 21% and the reported income tax (benefit) expense are summarized as follows: </w:t>
      </w:r>
    </w:p>
    <w:p>
      <w:pPr>
        <w:pStyle w:val="TextBody"/>
        <w:bidi w:val="0"/>
        <w:spacing w:before="100" w:after="283"/>
        <w:ind w:left="0" w:right="0" w:firstLine="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tbl>
      <w:tblPr>
        <w:tblW w:w="8480" w:type="dxa"/>
        <w:jc w:val="left"/>
        <w:tblInd w:w="0" w:type="dxa"/>
        <w:tblLayout w:type="fixed"/>
        <w:tblCellMar>
          <w:top w:w="28" w:type="dxa"/>
          <w:left w:w="28" w:type="dxa"/>
          <w:bottom w:w="28" w:type="dxa"/>
          <w:right w:w="28" w:type="dxa"/>
        </w:tblCellMar>
      </w:tblPr>
      <w:tblGrid>
        <w:gridCol w:w="2092"/>
        <w:gridCol w:w="1838"/>
        <w:gridCol w:w="1845"/>
        <w:gridCol w:w="253"/>
        <w:gridCol w:w="955"/>
        <w:gridCol w:w="130"/>
        <w:gridCol w:w="130"/>
        <w:gridCol w:w="130"/>
        <w:gridCol w:w="130"/>
        <w:gridCol w:w="263"/>
        <w:gridCol w:w="263"/>
        <w:gridCol w:w="451"/>
      </w:tblGrid>
      <w:tr>
        <w:trPr/>
        <w:tc>
          <w:tcPr>
            <w:tcW w:w="2092"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Federal statutory income tax rate</w:t>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(35,795)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State income taxes, net of federal benefit </w:t>
            </w:r>
            <w:r>
              <w:rPr>
                <w:rFonts w:ascii="Times New Roman;serif" w:hAnsi="Times New Roman;serif"/>
                <w:b/>
                <w:color w:val="000000"/>
                <w:sz w:val="13"/>
              </w:rPr>
              <w:t>(1)</w:t>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Foreign Tax Effects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Ireland</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Statutory tax rate difference between Ireland and United States</w:t>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4,245</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Change in valuation allowance</w:t>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Adjustments</w:t>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Tax Credits</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 credit, net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Orphan Drug Credit, net</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 in valuation allowance</w:t>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41,203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Non-Deductible Interest</w:t>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w:t>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Adjustments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Effective Tax Rate</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Income taxes in California made up the majority (greater than 50 percent) of the tax effect in this category.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reconciliation of the federal statutory income tax rate to the Company's effective income tax rate in accordance with the guidance prior to the adoption of ASU 2023-09 was as follows:</w:t>
      </w:r>
    </w:p>
    <w:p>
      <w:pPr>
        <w:pStyle w:val="TextBody"/>
        <w:bidi w:val="0"/>
        <w:spacing w:before="0" w:after="0"/>
        <w:jc w:val="left"/>
        <w:rPr/>
      </w:pPr>
      <w:r>
        <w:rPr/>
      </w:r>
    </w:p>
    <w:tbl>
      <w:tblPr>
        <w:tblW w:w="6025" w:type="dxa"/>
        <w:jc w:val="left"/>
        <w:tblInd w:w="0" w:type="dxa"/>
        <w:tblLayout w:type="fixed"/>
        <w:tblCellMar>
          <w:top w:w="28" w:type="dxa"/>
          <w:left w:w="28" w:type="dxa"/>
          <w:bottom w:w="28" w:type="dxa"/>
          <w:right w:w="28" w:type="dxa"/>
        </w:tblCellMar>
      </w:tblPr>
      <w:tblGrid>
        <w:gridCol w:w="1205"/>
        <w:gridCol w:w="1060"/>
        <w:gridCol w:w="1064"/>
        <w:gridCol w:w="314"/>
        <w:gridCol w:w="317"/>
        <w:gridCol w:w="459"/>
        <w:gridCol w:w="151"/>
        <w:gridCol w:w="151"/>
        <w:gridCol w:w="151"/>
        <w:gridCol w:w="314"/>
        <w:gridCol w:w="317"/>
        <w:gridCol w:w="522"/>
      </w:tblGrid>
      <w:tr>
        <w:trPr/>
        <w:tc>
          <w:tcPr>
            <w:tcW w:w="120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to U.S. Statutory Rate</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income tax rate</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experimentation credits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GILTI</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interest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Domestic/Foreign Restructuring Impact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NOL carryforward may be subject to an annual limitation under Section 382 and 383 of the Internal Revenue Code of 1986, and similar state provisions if the Company experienced one or more ownership changes which would limit the amount of NOL and tax credit carryforwards that can be utilized to offset future taxable income and tax respectively. In general, an ownership change as defined by Sections 382 and 383, results from the transactions increasing ownership of certain stockholders or public groups in the stock of the corporation of more than 50 percentage points over a three-year period. The Company had an ownership change with the IPO in February of 2019 which resulted in no forfeiture of NOLs or credits. The Company had an additional ownership change in July of 2023, which resulted in a significant limitation on the Company's utilization of its NOLs and is expected to result in forfeiture of some federal net operating losses and all of the pre-change federal credits. Due to the existence of the valuation allowance, limitations created by future ownership changes, if any, will not impact the Company’s effective tax rate.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United States, California, Florida and Ireland. Due to the Company’s losses incurred, the Company is subject to the income tax examination by authorities since inception. The Company’s policy is to recognize interest expense and penalties related to income tax matters as tax expense. For the years ended December 31, 2025, 2024 and 2023 and as of December 31, 2025 and 2024, there were no accruals for interest related to unrecognized tax benefits or tax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for 2025, 2024, and 2023, excluding interest and penalties, is as follows:</w:t>
      </w:r>
    </w:p>
    <w:tbl>
      <w:tblPr>
        <w:tblW w:w="7211" w:type="dxa"/>
        <w:jc w:val="left"/>
        <w:tblInd w:w="0" w:type="dxa"/>
        <w:tblLayout w:type="fixed"/>
        <w:tblCellMar>
          <w:top w:w="28" w:type="dxa"/>
          <w:left w:w="28" w:type="dxa"/>
          <w:bottom w:w="28" w:type="dxa"/>
          <w:right w:w="28" w:type="dxa"/>
        </w:tblCellMar>
      </w:tblPr>
      <w:tblGrid>
        <w:gridCol w:w="1227"/>
        <w:gridCol w:w="1079"/>
        <w:gridCol w:w="1083"/>
        <w:gridCol w:w="211"/>
        <w:gridCol w:w="721"/>
        <w:gridCol w:w="109"/>
        <w:gridCol w:w="109"/>
        <w:gridCol w:w="109"/>
        <w:gridCol w:w="109"/>
        <w:gridCol w:w="211"/>
        <w:gridCol w:w="721"/>
        <w:gridCol w:w="109"/>
        <w:gridCol w:w="109"/>
        <w:gridCol w:w="109"/>
        <w:gridCol w:w="109"/>
        <w:gridCol w:w="211"/>
        <w:gridCol w:w="72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related to prior year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related to current year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Included in the balance of unrecognized tax benefits at December 31, 2025 is $15.5 million that, if recognized, would not impact the Company’s income tax benefit or effective tax rate as long as the Company's deferred tax asset remains subject to a full valuation allowance.</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did not make any material income tax payments for federal, state or foreign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8—Stockholders’ Equity (Deficit)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Each share of common stock is entitled to one vote. Common stock owners are entitled to dividends when funds are legally available and declared by the Company's board of directors.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Private Placement Financing</w:t>
      </w:r>
    </w:p>
    <w:p>
      <w:pPr>
        <w:pStyle w:val="TextBody"/>
        <w:bidi w:val="0"/>
        <w:spacing w:lineRule="auto" w:line="288" w:before="20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On July 24, 2023, the Company completed a private placement of 129,869,440 shares of the Company’s common stock and accompanying warrants to purchase up to 32,467,360 shares of the Company's common stock at a combined purchase price of $1.63125 per share and accompanying warrant, or with respect to any purchaser that was an officer, director, employee or consultant of the Company $1.85125, per share and accompanying warrant. Each warrant has an exercise price per share of $2.04, was immediately exercisable on the date of issuance and will expire five years from the closing of the private placement. The aggregate gross proceeds for the private placement were $212.1 million, before deducting offering expenses, which equaled $10.8 million. On August 18, 2023, the Company filed a registration statement on Form S-3 registering the shares of common stock and shares of common stock issuable upon the exercise of warrants issued in the private placement, which registration statement was declared effective on August 28, 2023.</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Shares of Common Stock Subject to Repurchase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December 3, 2015, the Company issued 9,160,888 shares of common stock as founder shares for services rendered to the Company, valued at $0.0001 par value per share, for a total of approximately $4,100 (the “founder shares”). On January 4, 2018, incremental vesting conditions were placed on the previously issued founder shares. Fifty percent of the previously issued founder shares vested on January 4, 2018, and the remaining founder shares are subject to vesting restrictions over a period of five years. These shares are subject to repurchase by the Company upon a founder's termination of employment or service to the Company.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Pursuant to the employment agreements with the Company’s founders executed January 4, 2018, the Company provided for certain potential additional issuances of common stock (the “anti-dilution shares”) to each of the founders to ensure the total number of shares of common stock held by them and their affiliates (inclusive of any shares subject to equity awards granted by the Company) would represent 15% of the Company’s fully-diluted capitalization until such time as the Company raised $300.0 million in equity capital, including the capital raised in the Series A financing.</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In furtherance of this obligation, on May 21, 2018, the Company issued 251,547 shares of common stock to the founders for services rendered to the Company, valued at $2.61 per share with an additional 251,547 shares of restricted stock subject to the same vesting restrictions and vesting period as the founder shares. In addition, on September 6, 2018, the Company issued 1,795,023 shares of common stock to the founders for services rendered to the Company, valued at $9.63 per share, with an additional 1,795,023 shares of restricted stock subject to the same vesting restrictions and vesting period as the founder shares.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Any shares subject to repurchase by the Company are not deemed, for accounting purposes, to be outstanding until those shares vest. As such, the Company recognizes the measurement date fair value of the restricted stock over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vesting period as compensation expense. As of December 31, 2025, there were no shares of common stock subject to repurchase by the Company. The unvested stock liability related to these awards is immaterial to all periods presented.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Chiesi Equity Option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May 3, 2024, pursuant to the Chiesi Collaboration Agreement (as defined in Note 12 below) the Company granted to Chiesi (as defined in Note 12 below) an option to purchase directly from the Company, on one or more occasions, up to an aggregate number of shares of the Company’s common stock (the "Equity Option") such that immediately following such issuance, Chiesi’s beneficial ownership of the Company’s common stock shall not exceed 9.9% of the total number of issued and outstanding shares of the Company’s common stock. The Equity Option shall be exercisable by Chiesi, in whole or in part, at any time prior to the earliest to occur of the date on which (a) the last patient is last dosed in either (i) the PROSERA Phase 3 study for PAH or (ii) a Phase 3 clinical trial for the PH-ILD Indication, (b) any third party commences a tender offer or exchange offer for more than 50% of the outstanding shares of the Company’s common stock, and (c) the Company publicly announces its intent to consummate a GB002, Inc. change of control. The purchase price of each share the Company’s common stock subject to the Equity Option shall be equal to 107.5% of the daily volume-weighted average per share price of the Company’s common stock on The Nasdaq Stock Market over the 30-trading day period ending on and including the last trading day prior to the date on which Chiesi delivers an exercise notice to the Company; provided that such purchase price shall be no less than $1.63 per share. The shares of the Company’s common stock to be issued will be issued in a private placement in reliance on Section 4(a)(2) of the Securities Act of 1933, as amended, for transactions by an issuer not involving any public offering, pursuant to the terms of a stock issuance agreement to be entered into between the Company and Chiesi in connection with each such exercise of the Equity Option. The Company evaluated the Equity Option granted to Chiesi as consideration payable to a customer and determined it qualified under ASC 718. Due to the market condition included in the Equity Option, the Company used the Geometric Brownian Motion/Monte Carlo model to determine fair market value. The value of the Equity Option is $0.5 million, which is included in additional paid-in capital on the Company's consolidated balance sheets. In November 2025, the Equity Option expired and is no longer exercisable.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9—Equity Incentive Plans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2023 Equity Inducement Incentive Plan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November 2023, the Company approved the 2023 Employment Inducement Incentive Plan (the "2023 Inducement Plan"). The terms of the 2023 Inducement Plan are substantially similar to the terms of the Company’s 2019 Incentive Award Plan (as described below) with the exception that incentive stock options may not be issued under the 2023 Inducement Plan and awards under the 2023 Inducement Plan may only be issued to eligible recipients under the applicable Nasdaq rules. The 2023 Inducement Plan was adopted without stockholder approval pursuant to Rule 5635(c)(4) of the Nasdaq Listing Rules. In accordance with Rule 5635(c)(4) of the Nasdaq Listing Rules, awards under the 2023 Inducement Plan may only be made to an employee who has not previously been an employee or member of the board of directors of the Company or any parent or subsidiary, or following a bona fide period of non-employment by the Company or a parent or subsidiary, if he or she is granted such award in connection with his or her commencement of employment with the Company or a subsidiary and such grant is an inducement material to his or her entering into employment with the Company or such subsidiary. The Company has initially reserved 6,762,279 shares of the Company’s common stock for issuance pursuant to awards granted under the 2023 Inducement Plan. As of December 31, 2025, an aggregate of 1,856,658 shares of common stock were available for issuance under the 2023 Inducement Plan, and 4,811,455 shares of common stock were subject to outstanding awards under the 2023 Inducement Plan.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2019 Equity Incentive Plan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2019, the Company’s board of directors and stockholders approved and adopted the 2019 Incentive Award Plan (the “2019 Plan”). The 2019 Plan became effective on February 6, 2019, the day prior to the effectiveness of the registration statement filed in connection with the IPO. Under the 2019 Plan, the Company may grant stock options, stock appreciation rights, restricted stock, restricted stock units, and other stock or cash-based awards to individuals who are then employees, officers, directors or consultants of the Company, and employees and consultants of the Company’s subsidiaries. A total of 5,750,000 shares of common stock were approved to be initially reserved for issuance under the 2019 Plan. The number of shares that remained available for issuance under the 2017 Plan (as defined below) as of the effective date of the 2019 Plan were, and shares subject to outstanding awards under the 2017 Plan as of the effective date of the 2019 Plan that are subsequently canceled, forfeited or repurchased by the Company will be added to the shares reserved under the 2019 Plan. The Company’s board of directors and stockholders approved an amendment and restatement to the 2019 Plan in 2025 to, among other things, increase the aggregate number of shares of common stock authorized for issuance under the 2019 Plan by 11,350,000 shares of common stock. In addition, the number of shares of common stock available for issuance under the 2019 Plan will be automatically increased on the first day of each calendar year during the ten-year term of the 2019 Plan, beginning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with January 1, 2026 and ending with January 1, 2035, by an amount equal to 5% of the outstanding number of shares of the Company’s common stock on December 31 of the preceding calendar year or such lesser amount as determined by the Company’s board of directors. As of December 31, 2025, an aggregate of 8,445,734 shares of common stock were available for issuance under the 2019 Plan and 44,796,989 shares of common stock were subject to outstanding awards under the 2019 Plan.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2019 Employee Stock Purchase Plan</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January 2019, the Company’s board of directors and stockholders approved and adopted the 2019 Employee Stock Purchase Plan (the "ESPP"). The ESPP became effective as of February 6, 2019, the day prior to the effectiveness of the registration statement filed in connection with the IPO. The ESPP permits participants to purchase common stock through payroll deductions of up to 20% of their eligible compensation. A total of 700,000 shares of common stock were approved to be initially reserved for issuance under the ESPP. In addition, the number of shares of common stock available for issuance under the ESPP will be automatically increased on the first day of each calendar year during the first ten years of the term of the ESPP, beginning with January 1, 2020 and ending with January 1, 2029, by an amount equal to 1% of the outstanding number of shares of the Company’s common stock on December 31 of the preceding calendar year or such lesser amount as determined by the Company’s board of directors. During the years ended December 31, 2025 and 2024, 1,089,883 shares and 767,125 shares were issued pursuant to the ESPP, respectively. As of December 31, 2025, an aggregate of 5,721,970 shares of common stock were available for issuance under the ESPP.</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2017 Equity Incentive Plan</w:t>
      </w:r>
    </w:p>
    <w:p>
      <w:pPr>
        <w:pStyle w:val="TextBody"/>
        <w:bidi w:val="0"/>
        <w:spacing w:lineRule="auto" w:line="288" w:before="200" w:after="283"/>
        <w:ind w:left="0" w:right="0" w:firstLine="1440"/>
        <w:jc w:val="left"/>
        <w:rPr/>
      </w:pPr>
      <w:r>
        <w:rPr>
          <w:rFonts w:ascii="Times New Roman;serif" w:hAnsi="Times New Roman;serif"/>
          <w:b w:val="false"/>
          <w:color w:val="000000"/>
          <w:sz w:val="20"/>
        </w:rPr>
        <w:t>The Company’s 2017 Equity Incentive Plan (the “2017 Plan”) permitted the granting of incentive stock options, non-statutory stock options, restricted stock, restricted stock units and other stock-based awards. Subsequent to the adoption of the 2019 Plan, no additional equity awards can be made under the 2017 Plan. As of December 31, 2025, 1,955,471 shares of common stock were subject to outstanding options under the 2017 Plan, and no shares of restricted stock awards granted under the 2017 Plan were unvested.</w:t>
      </w:r>
      <w:r>
        <w:rPr>
          <w:color w:val="000000"/>
        </w:rPr>
        <w:t>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fair value of each employee and non-employee time-vested stock option grant is estimated on the date of grant using the Black-Scholes option-pricing model. The Company uses its own volatility to the extent it has sufficient trading history, and for awards in which sufficient trading history is not available, a peer group is used to calculate the expected volatility. Due to the lack of historical exercise history, the expected term of the Company’s stock options for employees has been determined utilizing the “simplified” method for awards.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On May 5, 2023, the Company granted to its Chairman and Chief Executive Officer 750,000 options with an exercise price of $1.36 per share. This grant contains both service and market based vesting conditions. The awards vest on the later of the date of achievement and the one-year anniversary of the grant date. The market condition becomes satisfied in 50%, 25% and 25% tranches upon achieving the average per-share closing price of the Company's common stock over any 30 consecutive calendar days following the grant date equal to or exceeding $5.00, $7.50 and $10.00, respectively. In the event a stock price tranche has not vested prior to the fourth anniversary of the grant date, any portion of the option attributable to such tranche will be forfeited. Due to the market condition included in this grant, the Company used the Geometric Brownian Motion/Monte Carlo model to value this award. The total stock-based compensation expense related to this award is $0.4 million, which is included in general and administrative expense on the consolidated statements of operations and comprehensive loss. The Company expects to recognize this expense over a weighted average period of approximately 2.2 years.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Effective May 5, 2023, and in accordance with the terms of the 2019 Plan, the Company's board of directors approved a stock option repricing (the “Option Repricing”) whereby the exercise price of each Eligible Option (as defined below) was immediately reduced to $1.36 per share, the closing stock price on May 5, 2023. For purposes of the Option Repricing, “Eligible Options” are 6,817,057 outstanding stock options as of May 5, 2023 (vested or unvested) granted under the 2019 Plan prior to November 30, 2022 and held by those eligible employees of the Company identified by the Company's board of directors, including the Company’s executive officers, except for the Company’s Chairman and Chief Executive Officer.</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 participation of the executive officers of the Company in the Option Repricing was subject to their agreement to cancel a portion of their Eligible Options effective immediately (the “Cancelled Options”). Each executive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required to agree to cancel one-third of his or her Eligible Options, on a grant-by-grant basis. The Cancelled Options were deducted proportionately from the vested and unvested portions of each Repriced Option grant.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To the extent an Eligible Option is exercised prior to the Premium End Date (as defined below), or the eligible employee’s employment terminates prior to the Premium End Date, the eligible employee will be required to pay the original exercise price per share of the Eligible Options in connection with any exercise of the Eligible Option. The “Premium End Date” means the earliest of (i) May 5, 2024, (ii) the date of a change in control, (iii) the eligible employee’s death or disability, or (iv) if an eligible employee is an executive subject to the cancellation of a portion of Eligible Options and is terminated under circumstances giving rise to severance under his or her employment agreement, the date of such termination. Except for the reduction in the exercise prices of the Eligible Options as described above, the Eligible Options will retain their existing terms and conditions as set forth in the 2019 Plan and the applicable award agreements.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repricing resulted in $3.4 million of incremental cost, which was calculated using the Black-Scholes option-pricing model, of which $2.0 million of the incremental cost was recognized immediately, and $1.4 million of the incremental cost will be recognized on the straight-line basis over the remaining vesting period of the repriced options. The incremental cost is included in general and administrative expense and research and development expense on the consolidated statements of operations and comprehensive loss.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following assumptions were used to estimate the fair value of stock option awards granted to employees under the Company’s equity incentive plans and the shares purchasable under the ESPP during the periods presented:</w:t>
      </w:r>
    </w:p>
    <w:tbl>
      <w:tblPr>
        <w:tblW w:w="8547" w:type="dxa"/>
        <w:jc w:val="left"/>
        <w:tblInd w:w="0" w:type="dxa"/>
        <w:tblLayout w:type="fixed"/>
        <w:tblCellMar>
          <w:top w:w="28" w:type="dxa"/>
          <w:left w:w="28" w:type="dxa"/>
          <w:bottom w:w="28" w:type="dxa"/>
          <w:right w:w="28" w:type="dxa"/>
        </w:tblCellMar>
      </w:tblPr>
      <w:tblGrid>
        <w:gridCol w:w="993"/>
        <w:gridCol w:w="875"/>
        <w:gridCol w:w="877"/>
        <w:gridCol w:w="539"/>
        <w:gridCol w:w="539"/>
        <w:gridCol w:w="542"/>
        <w:gridCol w:w="132"/>
        <w:gridCol w:w="132"/>
        <w:gridCol w:w="132"/>
        <w:gridCol w:w="574"/>
        <w:gridCol w:w="574"/>
        <w:gridCol w:w="577"/>
        <w:gridCol w:w="132"/>
        <w:gridCol w:w="132"/>
        <w:gridCol w:w="132"/>
        <w:gridCol w:w="485"/>
        <w:gridCol w:w="485"/>
        <w:gridCol w:w="695"/>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Employee Stock Options</w:t>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4.6 - 6.1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4.6 - 6.1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1.0 - 7.0</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3.70% - 4.47%</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3.59% - 4.50%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3.36% - 4.73%</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98.10% - 105.73%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100.72% - 104.51%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70.01% - 170.69%</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Employee Stock Purchase Plan</w:t>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0.5 - 2.0</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0.5 - 2.0</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0.5 - 2.0</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3.66% -4.31%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3.88% - 5.27%</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3.88% - 5.27%</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75.01% - 92.92%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83.96% - 151.54%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83.96% - 151.54%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1713"/>
        <w:gridCol w:w="1493"/>
        <w:gridCol w:w="1503"/>
        <w:gridCol w:w="573"/>
        <w:gridCol w:w="576"/>
        <w:gridCol w:w="196"/>
        <w:gridCol w:w="111"/>
        <w:gridCol w:w="111"/>
        <w:gridCol w:w="111"/>
        <w:gridCol w:w="215"/>
        <w:gridCol w:w="628"/>
        <w:gridCol w:w="112"/>
        <w:gridCol w:w="109"/>
        <w:gridCol w:w="109"/>
        <w:gridCol w:w="109"/>
        <w:gridCol w:w="330"/>
        <w:gridCol w:w="330"/>
        <w:gridCol w:w="331"/>
        <w:gridCol w:w="109"/>
        <w:gridCol w:w="109"/>
        <w:gridCol w:w="109"/>
        <w:gridCol w:w="236"/>
        <w:gridCol w:w="807"/>
        <w:gridCol w:w="175"/>
      </w:tblGrid>
      <w:tr>
        <w:trPr/>
        <w:tc>
          <w:tcPr>
            <w:tcW w:w="171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 Subject to</w:t>
              <w:b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2022</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17,487,165 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17,159,617 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forfeited/cancelled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(11,020,667)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2023</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23,626,115 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13,006,228 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forfeited/cancelled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(2,216,006)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34,416,337 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15,988,420 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(1,691,213)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forfeited/cancelled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(1,276,591)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47,436,953 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84,257 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as of December 31, 2025</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47,436,953 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 as of December 31, 2025</w:t>
            </w:r>
          </w:p>
        </w:tc>
        <w:tc>
          <w:tcPr>
            <w:tcW w:w="114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21,205,852 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32,775 </w:t>
            </w:r>
          </w:p>
        </w:tc>
        <w:tc>
          <w:tcPr>
            <w:tcW w:w="1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per share for the stock options granted during the year ended December 31, 2025, 2024 and 2023 was $0.98, $0.78 and $3.88, respectively.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aggregate fair value of stock options that vested during the years ended December 31, 2025, 2024 and 2023 was $9.3 million, $15.7 million and $22.7 million, respectively.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above table is calculated as the difference between fair value of the Company’s common stock price and the exercise price of the stock options. There were no options exercised during the years ended December 31, 2024 and 2023. The aggregate intrinsic value of stock options exercised during the year ended December 31, 2025 was $2.7 million.</w:t>
      </w:r>
    </w:p>
    <w:p>
      <w:pPr>
        <w:pStyle w:val="TextBody"/>
        <w:bidi w:val="0"/>
        <w:spacing w:lineRule="auto" w:line="288" w:before="260" w:after="283"/>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On July 24, 2023, the Company completed a private placement of 129,869,440 shares of the Company’s common stock and accompanying warrants to purchase up to 32,467,360 shares of the Company's common stock at a combined purchase price of $1.63125 per share and accompanying warrant, or with respect to any purchaser that was an officer, director, employee or consultant of the Company, $1.85125 per share and accompanying warrant. Each warrant has an exercise price per share of $2.04, was immediately exercisable on the date of issuance and will expire five years from the closing of the private placement. </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Given that the warrants are indexed to the Company's shares of common stock (and otherwise meet the requirements to be classified in equity), the Company recorded the consideration received from the issuance of the warrants as additional paid-in capital on the Company's consolidated balance sheets. During the year ended December 31, 2025, 1,791,823 warrants were exercised. As of December 31, 2025, there were 30,675,537 warrants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There was no restricted stock outstanding during the year ended December 31, 2025. The summary of the Company’s restricted stock activity during the years ended December 31, 2024 and 2023 is as follows: </w:t>
      </w:r>
    </w:p>
    <w:tbl>
      <w:tblPr>
        <w:tblW w:w="5433" w:type="dxa"/>
        <w:jc w:val="left"/>
        <w:tblInd w:w="0" w:type="dxa"/>
        <w:tblLayout w:type="fixed"/>
        <w:tblCellMar>
          <w:top w:w="28" w:type="dxa"/>
          <w:left w:w="28" w:type="dxa"/>
          <w:bottom w:w="28" w:type="dxa"/>
          <w:right w:w="28" w:type="dxa"/>
        </w:tblCellMar>
      </w:tblPr>
      <w:tblGrid>
        <w:gridCol w:w="1016"/>
        <w:gridCol w:w="891"/>
        <w:gridCol w:w="897"/>
        <w:gridCol w:w="488"/>
        <w:gridCol w:w="488"/>
        <w:gridCol w:w="336"/>
        <w:gridCol w:w="109"/>
        <w:gridCol w:w="109"/>
        <w:gridCol w:w="109"/>
        <w:gridCol w:w="213"/>
        <w:gridCol w:w="622"/>
        <w:gridCol w:w="155"/>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Restricted</w:t>
              <w:br/>
              <w:t>Stock Units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1,350,035 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(779,900)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 cancelled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(142,437)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427,698 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(427,698)</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 cancelled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was no unrecognized stock-based compensation expense related to the unvested restricted stock awards.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performance stock units ("PSUs") is determined based on the closing market price of the Company's common stock on the grant date. Compensation expense for PSUs is recognized if and when the Company concludes that it is probable that the performance conditions will be achieved. The Company reassesses the probability of vesting at each reporting period for awards with performance conditions and adjusts compensation expense based on its probability assessment.</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PSUs vest in full upon the earlier of (i) the approval of an NDA for seralutinib or (ii) a Change in Control (as defined in the 2019 Plan), in either case on or prior to the fourth anniversary of the grant date, and subject to the participant not experiencing a termination of service prior to the applicable vesting date. In the event the PSUs have not vested on or prior to the fourth anniversary of the grant date due to the failure of either of the above events to occur, the PSUs will be forfeited on such date. As of December 31, 2025, the Company determined that the achievement of the performance condition of the PSUs is not probable, and therefore no compensation expense was recorded during the year ended December 31, 2025.</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performance stock units outstanding during the years ended December 31, 2024 and 2023. The summary of the Company’s performance stock units activity during the year ended December 31, 2025 is as follows:</w:t>
      </w:r>
    </w:p>
    <w:tbl>
      <w:tblPr>
        <w:tblW w:w="5447" w:type="dxa"/>
        <w:jc w:val="left"/>
        <w:tblInd w:w="0" w:type="dxa"/>
        <w:tblLayout w:type="fixed"/>
        <w:tblCellMar>
          <w:top w:w="28" w:type="dxa"/>
          <w:left w:w="28" w:type="dxa"/>
          <w:bottom w:w="28" w:type="dxa"/>
          <w:right w:w="28" w:type="dxa"/>
        </w:tblCellMar>
      </w:tblPr>
      <w:tblGrid>
        <w:gridCol w:w="1016"/>
        <w:gridCol w:w="891"/>
        <w:gridCol w:w="897"/>
        <w:gridCol w:w="488"/>
        <w:gridCol w:w="488"/>
        <w:gridCol w:w="351"/>
        <w:gridCol w:w="109"/>
        <w:gridCol w:w="109"/>
        <w:gridCol w:w="109"/>
        <w:gridCol w:w="238"/>
        <w:gridCol w:w="577"/>
        <w:gridCol w:w="174"/>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Performance</w:t>
              <w:br/>
              <w:t>Stock Units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4,191,337 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 cancelled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(64,375)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4,126,962 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has been reported in the Company’s consolidated statements of operations and comprehensive loss as follows (in thousands):</w:t>
      </w:r>
    </w:p>
    <w:tbl>
      <w:tblPr>
        <w:tblW w:w="7272" w:type="dxa"/>
        <w:jc w:val="left"/>
        <w:tblInd w:w="0" w:type="dxa"/>
        <w:tblLayout w:type="fixed"/>
        <w:tblCellMar>
          <w:top w:w="28" w:type="dxa"/>
          <w:left w:w="28" w:type="dxa"/>
          <w:bottom w:w="28" w:type="dxa"/>
          <w:right w:w="28" w:type="dxa"/>
        </w:tblCellMar>
      </w:tblPr>
      <w:tblGrid>
        <w:gridCol w:w="1250"/>
        <w:gridCol w:w="1097"/>
        <w:gridCol w:w="1103"/>
        <w:gridCol w:w="211"/>
        <w:gridCol w:w="721"/>
        <w:gridCol w:w="109"/>
        <w:gridCol w:w="109"/>
        <w:gridCol w:w="109"/>
        <w:gridCol w:w="109"/>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At December 31, 2025, the total unrecognized stock-based compensation expense related to the unvested stock option awards granted was $19.4 million, which the Company expects to recognize over a weighted-average period of approximately 2.5 years.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total unrecognized stock-based compensation expense related to the unvested performance stock units granted was $7.1 million, which the Company expects to recognize over a weighted-average period of approximately 1.1 years.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total unrecognized compensation expense related to the ESPP was $0.6 million, which the Company expects to recognize over a weighted-average period of approximately 0.8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10—Property and Equipment, Net</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Company’s property and equipment, net consisted of the following (in thousands):</w:t>
      </w:r>
    </w:p>
    <w:tbl>
      <w:tblPr>
        <w:tblW w:w="6456" w:type="dxa"/>
        <w:jc w:val="left"/>
        <w:tblInd w:w="0" w:type="dxa"/>
        <w:tblLayout w:type="fixed"/>
        <w:tblCellMar>
          <w:top w:w="28" w:type="dxa"/>
          <w:left w:w="28" w:type="dxa"/>
          <w:bottom w:w="28" w:type="dxa"/>
          <w:right w:w="28" w:type="dxa"/>
        </w:tblCellMar>
      </w:tblPr>
      <w:tblGrid>
        <w:gridCol w:w="972"/>
        <w:gridCol w:w="853"/>
        <w:gridCol w:w="859"/>
        <w:gridCol w:w="294"/>
        <w:gridCol w:w="294"/>
        <w:gridCol w:w="296"/>
        <w:gridCol w:w="109"/>
        <w:gridCol w:w="109"/>
        <w:gridCol w:w="109"/>
        <w:gridCol w:w="338"/>
        <w:gridCol w:w="579"/>
        <w:gridCol w:w="177"/>
        <w:gridCol w:w="109"/>
        <w:gridCol w:w="109"/>
        <w:gridCol w:w="109"/>
        <w:gridCol w:w="331"/>
        <w:gridCol w:w="567"/>
        <w:gridCol w:w="242"/>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Depreciation expense for the years ended December 31, 2024 and 2023 was approximately $0.8 million and $1.6 million, respectively, and was recorded in general and administrative expense and research and development expense, respectively, on the consolidated statements of operations and comprehensive loss. The depreciation expense for the year ended December 31, 2025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11—Commitments and Contingencies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previously leased certain office and laboratory space under a non-cancelable operating lease which expired in January 2025.</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July 9, 2024, the Company entered into a lease agreement for office space located at 3115 Merryfield Row, Suite 120, San Diego, CA 92121, consisting of approximately 18,421 square feet. The term of the lease is 63 months commencing on August 1, 2024. The base rent is $109,605 per month effective October 1, 2024, and it is subject to a 3% annual increase every October. The lease expires on October 31, 2029 with an option for a one-year extension and an option to terminate on December 1, 2027 with the payment of a termination fee equal to four months of the then-current base rent upon the termination date. As of December 31, 2025, the Company was not reasonably certain that it would exercise the extension options, and therefore did not include these options in the determination of the total operating lease term for accounting purposes.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Monthly rent expense is recognized on a straight-line basis over the term of the leases. The operating leases are included in the consolidated balance sheets at the present value of the lease payments at an incremental borrowing rate of 7% for each of the initial leased space and expansion space expiring in January 2025 and 12.4% for the office lease commenced on August 1, 2024 using the rate of interest that the Company would have to pay to borrow on a collateralized basis over a similar term an amount equal to the lease payments in a similar economic environment as the leases do not provide an implicit rate. As of December 31, 2025, the weighted average remaining lease term was 3.8 years, and weighted-average discount rate was 12.4%.</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Lease costs were comprised of the following (in thousands):</w:t>
      </w:r>
    </w:p>
    <w:tbl>
      <w:tblPr>
        <w:tblW w:w="5306"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 as of December 31, 2025, 2024 and 2023 was $1.8 million, $3.8 million and $3.3 million, respectively.</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Gross future minimum annual rental commitments as of December 31, 2025, were as follows (in thousands):</w:t>
      </w:r>
    </w:p>
    <w:tbl>
      <w:tblPr>
        <w:tblW w:w="10205" w:type="dxa"/>
        <w:jc w:val="left"/>
        <w:tblInd w:w="0" w:type="dxa"/>
        <w:tblLayout w:type="fixed"/>
        <w:tblCellMar>
          <w:top w:w="28" w:type="dxa"/>
          <w:left w:w="28" w:type="dxa"/>
          <w:bottom w:w="28" w:type="dxa"/>
          <w:right w:w="28" w:type="dxa"/>
        </w:tblCellMar>
      </w:tblPr>
      <w:tblGrid>
        <w:gridCol w:w="3171"/>
        <w:gridCol w:w="2750"/>
        <w:gridCol w:w="2767"/>
        <w:gridCol w:w="326"/>
        <w:gridCol w:w="951"/>
        <w:gridCol w:w="240"/>
      </w:tblGrid>
      <w:tr>
        <w:trPr/>
        <w:tc>
          <w:tcPr>
            <w:tcW w:w="3171"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Undiscounted Rent</w:t>
              <w:br/>
              <w:t>Payments</w:t>
            </w:r>
          </w:p>
        </w:tc>
      </w:tr>
      <w:tr>
        <w:trPr/>
        <w:tc>
          <w:tcPr>
            <w:tcW w:w="8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rent payments</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discount</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 (included as a component of accrued expenses and other current liabilities)</w:t>
            </w:r>
          </w:p>
        </w:tc>
        <w:tc>
          <w:tcPr>
            <w:tcW w:w="12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long-term</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liability</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12 - Significant Agreements and Contracts</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May 3, 2024, the Company, GB002, Inc., a Delaware corporation and wholly-owned subsidiary of the Company and Gossamer Bio 002 Ltd., a corporation organized and existing under the laws of Ireland and indirect wholly-owned subsidiary of the Company, entered into a global collaboration and license agreement (the “Chiesi Collaboration Agreement”) with Chiesi Farmaceutici S.p.A and Chiesi USA, Inc. (collectively, “Chiesi”). The Company concluded that there were four distinct performance obligations under the Chiesi Collaboration Agreement: the U.S. Territory license (as defined below), the ROW Territory license (as defined below), the research and development services of PAH clinical development and the research and development services of PH-ILD clinical development. Revenue associated with the licenses was recognized upon delivery in May 2024. In addition, the Company granted to Chiesi an option to purchase the Equity Option, as described in Note 8, "Stockholders Equity."</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collaboration is focused on the development and commercialization of seralutinib and licensed products including seralutinib and related licensed compounds (“Licensed Products”) in the U.S. (“U.S. Territory”) and the rest of the world (“ROW Territory”), for therapeutic, prophylactic and diagnostic uses in humans and animals, for the treatment of PAH and PH-ILD and other indications, as may be permitted under the Chiesi Collaboration Agreement.</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Pursuant to the Chiesi Collaboration Agreement, the Company granted two exclusive, sublicensable (with the Company’s consent required in the U.S. Territory for third party sublicenses) licenses to Chiesi under intellectual property rights controlled by the Company relating to seralutinib and Licensed Products, for the worldwide development, manufacture and commercialization of seralutinib and Licensed Products. The licenses granted to Chiesi are subject to retained rights of the Company for the worldwide development and manufacture of seralutinib and Licensed Products, commercialization of Licensed Products in the U.S. Territory, and performance of its obligations and exercise of its rights that may be set forth in the global development plan and U.S. commercialization plan, in each case in accordance with the Chiesi Collaboration Agreement.</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 parties agreed to use commercially reasonable efforts to conduct development and commercialization activities in relation to seralutinib and Licensed Products, under the global development plan and U.S. commercialization plan in accordance with the timelines therein. The Company will continue to lead global development of seralutinib in PAH and PH-ILD, and the parties will equally share the costs for the activities included in the global development plan for all Licensed Products, with the exception of the PROSERA Phase 3 study, which the Company will be solely responsible for conducting at the Company’s own cost and expense. With respect to each country in the ROW Territory, such obligation to equally share such development costs shall end when regulatory approval is received for a Licensed Product in such country. With respect to U.S. Territory, the development costs incurred following regulatory approval shall continue to be shared equally. The Company will lead potential commercialization for PAH and PH-ILD in the U.S. Territory, with both parties contributing 50 percent of commercial efforts, including performing 50 percent of the commercialization activities. Chiesi will lead potential commercialization in the U.S. Territory in any additional indications, and Chiesi will have the exclusive right to commercialize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Licensed Products in the ROW Territory. Chiesi further agreed to use commercially reasonable efforts to commercialize Licensed Products in certain specified countries in the ROW Territory following receipt of regulatory approvals. Generally, the Company will have the right to lead in manufacturing commercial supply of seralutinib and Licensed Products for the U.S. Territory for PAH and PH-ILD, and, subject to any existing obligations of the Company to third party manufacturers, Chiesi will have the right to lead in manufacturing commercial supply of seralutinib and Licensed Products in the ROW Territory, in each case in accordance with the Chiesi Collaboration Agreement.</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Pursuant to the Chiesi Collaboration Agreement, neither party nor its affiliates is permitted to develop or commercialize any compound or product throughout the term whose primary mechanism of action is inhibition of a tyrosine kinase for the treatment of PAH or PH-ILD in the U.S. Territory or ROW Territory, subject to certain restrictions for the European Union and United Kingdom.</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consideration and as reimbursement for the Company’s development costs, Chiesi agreed to pay the Company an up-front, nonrefundable payment of $160 million. Additionally, the Company will be eligible to receive up to $146 million in regulatory milestones and $180 million in sales milestones. In the U.S. Territory, the parties agreed to share commercial profits and losses equally. In the ROW Territory, Chiesi will pay the Company an escalating mid-to-high teens percentage royalty on net sales of Licensed Product for PAH and additional indications on a Licensed Product-by-Licensed Product and country-by-country basis with such payment obligations beginning on the first commercial sale of Licensed Product in such country and expiring on a country-by-country basis on the latest of (a) the expiration of a valid claim to a the Company patent right in such country, (b) the expiration of regulatory exclusivity, and (c) the date that is 10 years after the first commercial sale of such Licensed Product in such country.</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Potential future payments for variable consideration, such as regulatory and commercial milestones, development costs, and profit sharing U.S. Territory will be recognized when it is probable that, if recorded, a significant reversal will not take place. Potential future royalty payments will be recorded as revenue when the associated sales occur.</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Unless earlier terminated, the Chiesi Collaboration Agreement will remain in force until no Licensed Products are being developed or commercialized in the U.S. Territory and in the ROW Territory, on a country-by-country basis, until no royalty terms are in effect for all countries. Either party may terminate the Chiesi Collaboration Agreement for the other party’s material breach, subject to a specified notice and cure periods, or due to an insolvency event of the other party. In lieu of termination upon a party’s material breach due to non-payment of development costs within a specified time the non-breaching party may elect an alternative remedy which may involve modifications to their performance and payment obligations. The Company has the right to terminate by providing written notice in the event Chiesi or its affiliates or sublicensee brings a patent challenge and Chiesi does not take certain steps to withdraw from or cease supporting such challenge. Chiesi may terminate the Chiesi Collaboration Agreement without cause upon prior written notice to the Company, subject to a notice period in which all rights to Licensed Products will revert back to the Company.</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concluded that progress towards completion of the research and development services performance obligation related to the Chiesi Collaboration Agreement is best measured in an amount proportional to the collaboration expenses incurred and the total estimated collaboration expenses. The Company periodically reviews and updates the estimated collaboration expenses, when appropriate, which may adjust revenue recognized for the period. While such changes to the Company’s estimates have no impact on the Company’s reported cash flows, the amount of revenue recorded in the period could be materially impacted. The transaction price to be recognized as revenue from sale of licenses and revenue from contracts with collaborators under the Chiesi Collaboration Agreement consists of the one-time non-refundable and non-creditable development cost reimbursement payment and research and development costs. The transaction price was reduced by the fair value of the Equity Option. </w:t>
      </w:r>
    </w:p>
    <w:p>
      <w:pPr>
        <w:pStyle w:val="TextBody"/>
        <w:bidi w:val="0"/>
        <w:spacing w:lineRule="auto" w:line="288" w:before="22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determined the transaction price pursuant to the Chiesi Collaboration Agreement is equal to the one-time development cost reimbursement payment of $160.0 million less the fair market value of the Equity Option of $0.5 million. The price allocated for the Equity Option was determined to be at fair market value utilizing the Geometric Brownian Motion/Monte Carlo model and was considered a reduction in the transaction price. The transaction price was allocated to the performance obligations on the basis of the relative stand-alone selling price estimated for each distinct performance obligation. In estimating the stand-alone selling price for each distinct performance obligation, the Company developed assumptions that require judgment and included forecasted revenues or costs, expected development timelines, discount rates and probabilities of technical and regulatory success. A description of the distinct performance obligations identified under the Chiesi Collaboration Agreement, as well as the amount of revenue allocated to each distinct significant performance obligation, is as follows:</w:t>
      </w:r>
    </w:p>
    <w:p>
      <w:pPr>
        <w:pStyle w:val="TextBody"/>
        <w:bidi w:val="0"/>
        <w:spacing w:lineRule="auto" w:line="288" w:before="100" w:after="283"/>
        <w:jc w:val="left"/>
        <w:rPr/>
      </w:pPr>
      <w:r>
        <w:rPr>
          <w:rFonts w:ascii="Times New Roman;serif" w:hAnsi="Times New Roman;serif"/>
          <w:b w:val="false"/>
          <w:i/>
          <w:color w:val="000000"/>
          <w:sz w:val="20"/>
        </w:rPr>
        <w:t>Licenses of Intellectual Property</w:t>
      </w:r>
      <w:r>
        <w:rPr>
          <w:rFonts w:ascii="Times New Roman;serif" w:hAnsi="Times New Roman;serif"/>
          <w:b w:val="false"/>
          <w:color w:val="000000"/>
          <w:sz w:val="20"/>
        </w:rPr>
        <w:t xml:space="preserve">. The licenses to the Company’s intellectual property, bundled with the associated know-how, represents two distinct performance obligations. The licenses and associated know-how were transferred to Chiesi in June 2024, therefore the Company recognized the full revenue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distinct performance obligations in the amount of $90.7 million during the year ended December 31, 2024 as revenue from sale of licenses on its consolidated statements of operations and comprehensive loss. </w:t>
      </w:r>
    </w:p>
    <w:p>
      <w:pPr>
        <w:pStyle w:val="TextBody"/>
        <w:bidi w:val="0"/>
        <w:spacing w:lineRule="auto" w:line="288" w:before="100" w:after="283"/>
        <w:jc w:val="left"/>
        <w:rPr/>
      </w:pPr>
      <w:r>
        <w:rPr>
          <w:rFonts w:ascii="Times New Roman;serif" w:hAnsi="Times New Roman;serif"/>
          <w:b w:val="false"/>
          <w:i/>
          <w:color w:val="000000"/>
          <w:sz w:val="20"/>
        </w:rPr>
        <w:t>Research and Development Services</w:t>
      </w:r>
      <w:r>
        <w:rPr>
          <w:rFonts w:ascii="Times New Roman;serif" w:hAnsi="Times New Roman;serif"/>
          <w:b w:val="false"/>
          <w:color w:val="000000"/>
          <w:sz w:val="20"/>
        </w:rPr>
        <w:t>. The progress towards completion of two distinct performance obligations related to PAH and PH-ILD research and development services for the Licensed Products is measured in an amount proportional to the research and development expenses incurred and the total estimated PAH and PH-ILD research and development expenses. In addition, the Company and Chiesi share equally in the costs of ongoing global seralutinib clinical development, with the exception of the PROSERA Phase 3 study, and the costs of commercialization in the US. The Company records the revenue from performing research and development services and the cost-sharing payments due from Chiesi as revenue from contracts with collaborators on its consolidated statements of operations and comprehensive loss. For the years ended December 31, 2025 and 2024, the Company recognized $42.3 million and $23.5 million, respectively, for the PAH and PH-ILD research and development performance obligations. For the years ended December 31, 2025 and 2024, the Company recognized $6.2 million and $0.7 million, respectively, for the PAH and PH-ILD commercial planning activities.</w:t>
      </w:r>
    </w:p>
    <w:p>
      <w:pPr>
        <w:pStyle w:val="TextBody"/>
        <w:bidi w:val="0"/>
        <w:spacing w:lineRule="auto" w:line="288" w:before="100" w:after="283"/>
        <w:jc w:val="left"/>
        <w:rPr/>
      </w:pPr>
      <w:r>
        <w:rPr>
          <w:rFonts w:ascii="Times New Roman;serif" w:hAnsi="Times New Roman;serif"/>
          <w:b w:val="false"/>
          <w:i/>
          <w:color w:val="000000"/>
          <w:sz w:val="20"/>
        </w:rPr>
        <w:t>Milestone Payments</w:t>
      </w:r>
      <w:r>
        <w:rPr>
          <w:rFonts w:ascii="Times New Roman;serif" w:hAnsi="Times New Roman;serif"/>
          <w:b w:val="false"/>
          <w:color w:val="000000"/>
          <w:sz w:val="20"/>
        </w:rPr>
        <w:t>. The Company determined that as of December 31, 2025, it is not probable that a significant revenue reversal will not occur related to the potential milestone payments as their achievement is highly dependent on factors outside the Company's control or are otherwise constrained under the sales and usage based royalty exception. Therefore, these payments have been fully constrained and are therefore not included in the transaction price. At the end of each subsequent reporting period, the Company will re-evaluate the probability of achievement of each milestone and any related constraint. No milestone payments were recognized during the year ended December 31, 2025.</w:t>
      </w:r>
    </w:p>
    <w:p>
      <w:pPr>
        <w:pStyle w:val="TextBody"/>
        <w:bidi w:val="0"/>
        <w:spacing w:lineRule="auto" w:line="288" w:before="100" w:after="283"/>
        <w:jc w:val="left"/>
        <w:rPr/>
      </w:pPr>
      <w:r>
        <w:rPr>
          <w:rFonts w:ascii="Times New Roman;serif" w:hAnsi="Times New Roman;serif"/>
          <w:b w:val="false"/>
          <w:i/>
          <w:color w:val="000000"/>
          <w:sz w:val="20"/>
        </w:rPr>
        <w:t>Royalties</w:t>
      </w:r>
      <w:r>
        <w:rPr>
          <w:rFonts w:ascii="Times New Roman;serif" w:hAnsi="Times New Roman;serif"/>
          <w:b w:val="false"/>
          <w:color w:val="000000"/>
          <w:sz w:val="20"/>
        </w:rPr>
        <w:t>. As the licenses are deemed to be the predominant item to which sales-based royalties relate, the Company will recognize revenue when the related sales occur. No royalty revenue was recognized during the year ended December 31, 2025.</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activity in the Company's contract liabilities related to the Chiesi Collaboration Agreement (recorded as contract liabilities on the balance sheet) during the year ended December 31, 2025 and 2024 (in thousands):</w:t>
      </w:r>
    </w:p>
    <w:tbl>
      <w:tblPr>
        <w:tblW w:w="10205" w:type="dxa"/>
        <w:jc w:val="left"/>
        <w:tblInd w:w="0" w:type="dxa"/>
        <w:tblLayout w:type="fixed"/>
        <w:tblCellMar>
          <w:top w:w="28" w:type="dxa"/>
          <w:left w:w="28" w:type="dxa"/>
          <w:bottom w:w="28" w:type="dxa"/>
          <w:right w:w="28" w:type="dxa"/>
        </w:tblCellMar>
      </w:tblPr>
      <w:tblGrid>
        <w:gridCol w:w="3310"/>
        <w:gridCol w:w="2899"/>
        <w:gridCol w:w="2908"/>
        <w:gridCol w:w="211"/>
        <w:gridCol w:w="721"/>
        <w:gridCol w:w="156"/>
      </w:tblGrid>
      <w:tr>
        <w:trPr/>
        <w:tc>
          <w:tcPr>
            <w:tcW w:w="3310"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received in advance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sale of US 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sale of ROW license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PAH research and development service performance obligations satisfied during reporting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PH-ILD research and development service performance obligations satisfied during reporting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911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911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PAH research and development service performance obligations satisfied during reporting period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PH-ILD research and development service performance obligations satisfied during reporting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49,593 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contract liability amount of $49.6 million represents the aggregate transaction price allocated to performance obligations that are unsatisfied under the Chiesi Collaboration Agreement. This amount is expected to be recognized over 3.0 years, which represents the remaining research period under the Chiesi Collaboration Agreement. As of December 31, 2025, the current contract liability balance of $20.0 million is classified as a current liability since the rights to the research and development service are expected to be satisfied within one year, and the remaining contract liability balance of $29.6 million is classified as a long-term liability.</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recorded $12.2 million in accounts receivable associated with the Chiesi Collaboration Agreement. The payments are typically due 30 days after quarterly invoices are issued.</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contract revenues from the Chiesi Collaboration Agreement disaggregated by timing of revenue recognition and excluding royalty revenue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96"/>
        <w:gridCol w:w="2531"/>
        <w:gridCol w:w="2545"/>
        <w:gridCol w:w="211"/>
        <w:gridCol w:w="721"/>
        <w:gridCol w:w="109"/>
        <w:gridCol w:w="211"/>
        <w:gridCol w:w="826"/>
        <w:gridCol w:w="155"/>
      </w:tblGrid>
      <w:tr>
        <w:trPr/>
        <w:tc>
          <w:tcPr>
            <w:tcW w:w="289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7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Chiesi Collaboration Agreement: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Point in Time: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License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ROW License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Over Time: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PAH research and development service performance obligation satisfied during reporting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PH-ILD research and development service performance obligation satisfied during reporting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PAH research and development costs subject to reimbursement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PH-ILD research and development costs subject to reimbursement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PAH commercial costs subject to reimbursement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PH-ILD commercial costs subject to reimbursement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Chiesi Collaboration Agreement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13 - Segment Information</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for which separate discrete financial information is available for evaluation by the CODM in making decisions regarding the allocation of resources and assessing performance. The Company's CODM is its chief executive officer. The Company views its operations and manages its business as one operating segment. The Company's operating segment derives its revenues from the Chiesi Collaboration Agreement. The CODM assesses performance for the Company's single operating segment and decides how to allocate resources based on research and development expenses incurred, which is a component of the Company's consolidated net loss as reported on the consolidated statement of operations and comprehensive loss. The measure of segment assets is reported on the balance sheet as total consolidated assets. Further, segment depreciation expense and segment asset additions are consistent with consolidated amounts reported within the consolidated statement of cash flows given the Company's operations are aggregated within a single reportable segment. The CODM uses research and development expenses and results of clinical trial activities completed to date to evaluate how to allocate the Company's resources to advance seralutinib.</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segment expenses which are regularly reported to the CODM for purposes of making decisions regarding the allocation of resources are included within the table below and are reconciled to consolidated net loss: </w:t>
      </w:r>
    </w:p>
    <w:tbl>
      <w:tblPr>
        <w:tblW w:w="6372" w:type="dxa"/>
        <w:jc w:val="left"/>
        <w:tblInd w:w="0" w:type="dxa"/>
        <w:tblLayout w:type="fixed"/>
        <w:tblCellMar>
          <w:top w:w="28" w:type="dxa"/>
          <w:left w:w="28" w:type="dxa"/>
          <w:bottom w:w="28" w:type="dxa"/>
          <w:right w:w="28" w:type="dxa"/>
        </w:tblCellMar>
      </w:tblPr>
      <w:tblGrid>
        <w:gridCol w:w="754"/>
        <w:gridCol w:w="664"/>
        <w:gridCol w:w="667"/>
        <w:gridCol w:w="211"/>
        <w:gridCol w:w="901"/>
        <w:gridCol w:w="109"/>
        <w:gridCol w:w="109"/>
        <w:gridCol w:w="109"/>
        <w:gridCol w:w="109"/>
        <w:gridCol w:w="211"/>
        <w:gridCol w:w="826"/>
        <w:gridCol w:w="109"/>
        <w:gridCol w:w="109"/>
        <w:gridCol w:w="109"/>
        <w:gridCol w:w="109"/>
        <w:gridCol w:w="211"/>
        <w:gridCol w:w="901"/>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Seralutinib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tax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(179,817)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Other segment items include general and administrative expenses, which are provided to the CODM regularly, but are included within other segment items as they are not utilized as part of the decision making process as it relates to the allocation of resources. Further, R&amp;D expenses for other terminated programs are also provided to the CODM. These costs include employee expenses, as well as allocations of consolidated overhead and stock compensation. Other segment items also include IPR&amp;D expense related to the acquisition of the Respira Merger Option.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c847212dae704ad3b44bc459151636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14 - Investments in Variable Interest Entities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reviews its investments in other entities to determine whether the Company is the primary beneficiary of a variable interest entity ("VIE"). The Company would be the primary beneficiary of the VIE and would be required to consolidate the VIE, if it has the power to direct the significant activities of the entity and the obligation to absorb losses or receive benefits from the entity that may be significant to the VIE.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24, 2025, the Company entered into an option agreement with Prana Bio, Inc. (“Prana”) to acquire Prana and its wholly-owned subsidiary, Respira Therapeutics, Inc. The Company identified Prana as a VIE but does not consolidate Prana as the Company lacks the power to direct the activities that significantly impact the economic success of Prana. Pursuant to the agreement, the Company issued 2,500,000 shares of its common stock as consideration for the option grant and agreed to issue up to an additional 1,500,000 shares of common stock following the exercise of the option. Concurrent with the option agreement, the Company entered into a research funding agreement with Prana whereas the Company agreed to provide up to a total of $7.8 million to Respira to carry out chemistry, manufacturing, and controls (“CMC”) activities related to Respira’s RT234 drug program.</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Merger Option was valued at $7.5 million based on the value of the 2,500,000 shares of common stock issued using the Company's share price as of September 24, 2025, which was $2.99 per share of common stock. The option value was recognized as IPR&amp;D expense in the Company's consolidated statements of operations and comprehensive loss.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consolidate Respira as the Company lacks the power to direct the activities that significantly impact the economic success of Respira. The Company's maximum loss exposure to Prana, prior to the exercise of the option to acquire, is limited to the Merger Option and cost reimbursements for certain research and development activities, which will be recognized as research and development expenses in the Company's consolidated statements of operations and comprehensive loss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15 - Subsequent events</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Company has evaluated all subsequent events and transactions through the filing date.</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March 15, 2026, and in accordance with the terms of the 2019 Plan, the Company's board of directors (the "Board") approved a stock option repricing (the “2026 Option Repricing”) whereby the exercise price of each Eligible Option (as defined below) will be immediately reduced to the closing stock price on March 19, 2026. For purposes of the 2026 Option Repricing, “Eligible Options” with respect to the 2026 Option Repricing are 48,725,528 outstanding stock options as of March 17, 2026 (vested or unvested) granted under the 2019 Plan and held by those eligible employees of the Company identified by the Board, including the Company’s executive officers. Except for the reduction in the exercise prices of the Eligible Options as described above, the Eligible Options will retain their existing terms and conditions as set forth in the 2019 Plan and the applicable award agreements.</w:t>
      </w:r>
    </w:p>
    <w:p>
      <w:pPr>
        <w:pStyle w:val="TextBody"/>
        <w:bidi w:val="0"/>
        <w:spacing w:lineRule="auto" w:line="288" w:before="1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On March 16, 2026, we commenced a workforce reduction of 77 individuals, constituting approximately 48% of our workforce, to reduce our operating expenses. Our remaining management and employees will continue the development of seralutinib and explore potential regulatory paths forward. This workforce reduction is expected to be substantially completed by the end of May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760"/>
        <w:gridCol w:w="1544"/>
        <w:gridCol w:w="1551"/>
        <w:gridCol w:w="109"/>
        <w:gridCol w:w="109"/>
        <w:gridCol w:w="109"/>
        <w:gridCol w:w="194"/>
        <w:gridCol w:w="194"/>
        <w:gridCol w:w="195"/>
        <w:gridCol w:w="137"/>
        <w:gridCol w:w="137"/>
        <w:gridCol w:w="137"/>
        <w:gridCol w:w="190"/>
        <w:gridCol w:w="190"/>
        <w:gridCol w:w="195"/>
        <w:gridCol w:w="137"/>
        <w:gridCol w:w="137"/>
        <w:gridCol w:w="137"/>
        <w:gridCol w:w="282"/>
        <w:gridCol w:w="282"/>
        <w:gridCol w:w="289"/>
        <w:gridCol w:w="109"/>
        <w:gridCol w:w="109"/>
        <w:gridCol w:w="109"/>
        <w:gridCol w:w="242"/>
        <w:gridCol w:w="242"/>
        <w:gridCol w:w="3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8/8/2023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18"/>
                  <w:u w:val="single"/>
                </w:rPr>
                <w:t xml:space="preserve">Amended and Restated </w:t>
              </w:r>
            </w:hyperlink>
            <w:hyperlink r:id="rId5">
              <w:r>
                <w:rPr>
                  <w:rStyle w:val="InternetLink"/>
                  <w:rFonts w:ascii="Times New Roman;serif" w:hAnsi="Times New Roman;serif"/>
                  <w:b w:val="false"/>
                  <w:color w:val="000080"/>
                  <w:sz w:val="18"/>
                  <w:u w:val="single"/>
                </w:rPr>
                <w:t>By laws</w:t>
              </w:r>
            </w:hyperlink>
            <w:hyperlink r:id="rId6">
              <w:r>
                <w:rPr>
                  <w:rStyle w:val="InternetLink"/>
                  <w:rFonts w:ascii="Times New Roman;serif" w:hAnsi="Times New Roman;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11/27/2023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1/23/2019</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Description of Securities Registered under Section 12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2/26/2021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Indenture, dated as of May 21, 2020, by and between the Registrant and Wilmington Trust, National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5/21/2020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First Supplemental Indenture, dated May 21, 2020, by and between the Registrant and Wilmington Trust, National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5/21/2020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Form of Global Note representing 5.00% Convertible Senior Notes due 2027 (included as part of Exhibit 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5/21/2020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Form of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7/20/2023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Gossamer Bio, Inc. 2017 Equity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12/21/2018</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Form of stock option grant notice and stock option agreement under Gossamer Bio, Inc. 2017 Equity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12/21/2018</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Form of restricted stock grant notice and restricted stock agreement under Gossamer Bio, Inc. 2017 Equity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12/21/2018</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Form of Founder restricted stock grant notice and restricted stock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12/21/2018</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Times New Roman;serif" w:hAnsi="Times New Roman;serif"/>
                <w:color w:val="000080"/>
              </w:rPr>
              <w:instrText xml:space="preserve"> HYPERLINK "https://www.sec.gov/Archives/edgar/data/1728117/000172811725000029/goss-20250429.htm" \l "i3ecfd236875e4be88bb6ea403f3a7f82_220"</w:instrText>
            </w:r>
            <w:r>
              <w:rPr>
                <w:rStyle w:val="InternetLink"/>
                <w:sz w:val="18"/>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18"/>
                <w:u w:val="single"/>
              </w:rPr>
              <w:t>Gossamer Bio, Inc. 2019 Incentive Award Plan</w:t>
            </w:r>
            <w:r>
              <w:rPr>
                <w:rStyle w:val="InternetLink"/>
                <w:sz w:val="18"/>
                <w:u w:val="single"/>
                <w:b w:val="false"/>
                <w:rFonts w:ascii="Times New Roman;serif" w:hAnsi="Times New Roman;serif"/>
                <w:color w:val="000080"/>
              </w:rPr>
              <w:fldChar w:fldCharType="end"/>
            </w:r>
            <w:r>
              <w:fldChar w:fldCharType="begin"/>
            </w:r>
            <w:r>
              <w:rPr>
                <w:rStyle w:val="InternetLink"/>
                <w:sz w:val="18"/>
                <w:u w:val="single"/>
                <w:b w:val="false"/>
                <w:rFonts w:ascii="Times New Roman;serif" w:hAnsi="Times New Roman;serif"/>
                <w:color w:val="000080"/>
              </w:rPr>
              <w:instrText xml:space="preserve"> HYPERLINK "https://www.sec.gov/Archives/edgar/data/1728117/000172811725000029/goss-20250429.htm" \l "i3ecfd236875e4be88bb6ea403f3a7f82_220"</w:instrText>
            </w:r>
            <w:r>
              <w:rPr>
                <w:rStyle w:val="InternetLink"/>
                <w:sz w:val="18"/>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18"/>
                <w:u w:val="single"/>
              </w:rPr>
              <w:t>, as amended and restated</w:t>
            </w:r>
            <w:r>
              <w:rPr>
                <w:rStyle w:val="InternetLink"/>
                <w:sz w:val="18"/>
                <w:u w:val="single"/>
                <w:b w:val="false"/>
                <w:rFonts w:ascii="Times New Roman;serif" w:hAnsi="Times New Roman;serif"/>
                <w:color w:val="000080"/>
              </w:rPr>
              <w:fldChar w:fldCharType="end"/>
            </w:r>
            <w:r>
              <w:fldChar w:fldCharType="begin"/>
            </w:r>
            <w:r>
              <w:rPr>
                <w:rStyle w:val="InternetLink"/>
                <w:sz w:val="18"/>
                <w:u w:val="single"/>
                <w:b w:val="false"/>
                <w:rFonts w:ascii="Times New Roman;serif" w:hAnsi="Times New Roman;serif"/>
                <w:color w:val="000080"/>
              </w:rPr>
              <w:instrText xml:space="preserve"> HYPERLINK "https://www.sec.gov/Archives/edgar/data/1728117/000172811725000029/goss-20250429.htm" \l "i3ecfd236875e4be88bb6ea403f3a7f82_220"</w:instrText>
            </w:r>
            <w:r>
              <w:rPr>
                <w:rStyle w:val="InternetLink"/>
                <w:sz w:val="18"/>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18"/>
                <w:u w:val="single"/>
              </w:rPr>
              <w:t>.</w:t>
            </w:r>
            <w:r>
              <w:rPr>
                <w:rStyle w:val="InternetLink"/>
                <w:sz w:val="18"/>
                <w:u w:val="single"/>
                <w:b w:val="false"/>
                <w:rFonts w:ascii="Times New Roman;serif" w:hAnsi="Times New Roman;serif"/>
                <w:color w:val="000080"/>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 14A</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4/29/2025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Appendix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Gossamer Bio, Inc. Performance Stock Unit Agreement under the 2019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Gossamer Bio, Inc. 2019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1/23/2019</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Gossamer Bio, Inc. Non-Employee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3/13/2025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Gossamer Bio, Inc. Restricted Stock Unit Agreement under the 2019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5/12/2020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Gossamer Bio, Inc. 2023 Employment Inducement Incentive Award Plan and Form of Stock Option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11/27/2023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Letter Agreement, dated November 16, 2020, by and between Faheem Hasnain and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2/26/2021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Employment Letter, dated December 4, 2018, by and between Bryan Giraudo and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12/21/2018</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Employment Letter, dated December 4, 2018, by and between Christian Waage and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12/21/2018</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8"/>
                  <w:u w:val="single"/>
                </w:rPr>
                <w:t>Employment Letter, dated April 16, 2021, by and between Caryn Peterson and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8/9/2021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8"/>
                  <w:u w:val="single"/>
                </w:rPr>
                <w:t>Employment Letter, dated June 21, 2021, by and between Richard Aranda and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8/9/2021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8"/>
                  <w:u w:val="single"/>
                </w:rPr>
                <w:t>Employment Letter, dated November 25, 2023, by and between Robert Smith and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3/5/2024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18"/>
                  <w:u w:val="single"/>
                </w:rPr>
                <w:t>Form of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12/21/2018</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18"/>
                  <w:u w:val="single"/>
                </w:rPr>
                <w:t>Exclusive License Agreement, dated October 2, 2017, by and between GB002, Inc., the Registrant and Pulmokine,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12/21/2018</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18"/>
                  <w:u w:val="single"/>
                </w:rPr>
                <w:t>Stock Purchase Agreement, dated July 12, 2022, by and among the Registrant and the Purchasers named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7/13/2022</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18"/>
                  <w:u w:val="single"/>
                </w:rPr>
                <w:t>Securities Purchase Agreement, dated July 19, 2023, by and among the Registrant and the Purchasers named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7/20/2023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18"/>
                  <w:u w:val="single"/>
                </w:rPr>
                <w:t>Form of Option Repricing and Cancellation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8/8/2023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10.22</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18"/>
                  <w:u w:val="single"/>
                </w:rPr>
                <w:t>Collaboration and License Agreement dated May 3, 2024 by and among GB002, Inc., Gossamer Bio 002 Ltd. and Gossamer Bio, Inc. on the one hand and CHIESI Farmaceutici S.p.A and CHIESI USA, Inc. on the other hand.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8/12/2024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18"/>
                  <w:u w:val="single"/>
                </w:rPr>
                <w:t>Gossamer Bio, Inc. Insider Trading Compliance Policy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3/13/2025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825"/>
        <w:gridCol w:w="1622"/>
        <w:gridCol w:w="1627"/>
        <w:gridCol w:w="109"/>
        <w:gridCol w:w="109"/>
        <w:gridCol w:w="109"/>
        <w:gridCol w:w="170"/>
        <w:gridCol w:w="170"/>
        <w:gridCol w:w="171"/>
        <w:gridCol w:w="137"/>
        <w:gridCol w:w="137"/>
        <w:gridCol w:w="137"/>
        <w:gridCol w:w="185"/>
        <w:gridCol w:w="185"/>
        <w:gridCol w:w="190"/>
        <w:gridCol w:w="137"/>
        <w:gridCol w:w="137"/>
        <w:gridCol w:w="137"/>
        <w:gridCol w:w="229"/>
        <w:gridCol w:w="229"/>
        <w:gridCol w:w="233"/>
        <w:gridCol w:w="109"/>
        <w:gridCol w:w="109"/>
        <w:gridCol w:w="109"/>
        <w:gridCol w:w="242"/>
        <w:gridCol w:w="242"/>
        <w:gridCol w:w="34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ss-20251231xexx211xlisto.htm">
              <w:r>
                <w:rPr>
                  <w:rStyle w:val="InternetLink"/>
                  <w:rFonts w:ascii="Times New Roman;serif" w:hAnsi="Times New Roman;serif"/>
                  <w:b w:val="false"/>
                  <w:color w:val="0000FF"/>
                  <w:sz w:val="18"/>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ss-20251231xexx231xeycon.htm">
              <w:r>
                <w:rPr>
                  <w:rStyle w:val="InternetLink"/>
                  <w:rFonts w:ascii="Times New Roman;serif" w:hAnsi="Times New Roman;serif"/>
                  <w:b w:val="false"/>
                  <w:color w:val="000080"/>
                  <w:sz w:val="18"/>
                  <w:u w:val="single"/>
                </w:rPr>
                <w:t xml:space="preserve">Consent of </w:t>
              </w:r>
            </w:hyperlink>
            <w:hyperlink w:anchor="goss-20251231xexx231xeycon.htm">
              <w:r>
                <w:rPr>
                  <w:rStyle w:val="InternetLink"/>
                  <w:rFonts w:ascii="Times New Roman;serif" w:hAnsi="Times New Roman;serif"/>
                  <w:b w:val="false"/>
                  <w:color w:val="000080"/>
                  <w:sz w:val="18"/>
                  <w:u w:val="single"/>
                </w:rPr>
                <w:t>I</w:t>
              </w:r>
            </w:hyperlink>
            <w:hyperlink w:anchor="goss-20251231xexx231xeycon.htm">
              <w:r>
                <w:rPr>
                  <w:rStyle w:val="InternetLink"/>
                  <w:rFonts w:ascii="Times New Roman;serif" w:hAnsi="Times New Roman;serif"/>
                  <w:b w:val="false"/>
                  <w:color w:val="000080"/>
                  <w:sz w:val="18"/>
                  <w:u w:val="single"/>
                </w:rPr>
                <w:t xml:space="preserve">ndependent </w:t>
              </w:r>
            </w:hyperlink>
            <w:hyperlink w:anchor="goss-20251231xexx231xeycon.htm">
              <w:r>
                <w:rPr>
                  <w:rStyle w:val="InternetLink"/>
                  <w:rFonts w:ascii="Times New Roman;serif" w:hAnsi="Times New Roman;serif"/>
                  <w:b w:val="false"/>
                  <w:color w:val="000080"/>
                  <w:sz w:val="18"/>
                  <w:u w:val="single"/>
                </w:rPr>
                <w:t>R</w:t>
              </w:r>
            </w:hyperlink>
            <w:hyperlink w:anchor="goss-20251231xexx231xeycon.htm">
              <w:r>
                <w:rPr>
                  <w:rStyle w:val="InternetLink"/>
                  <w:rFonts w:ascii="Times New Roman;serif" w:hAnsi="Times New Roman;serif"/>
                  <w:b w:val="false"/>
                  <w:color w:val="000080"/>
                  <w:sz w:val="18"/>
                  <w:u w:val="single"/>
                </w:rPr>
                <w:t xml:space="preserve">egistered </w:t>
              </w:r>
            </w:hyperlink>
            <w:hyperlink w:anchor="goss-20251231xexx231xeycon.htm">
              <w:r>
                <w:rPr>
                  <w:rStyle w:val="InternetLink"/>
                  <w:rFonts w:ascii="Times New Roman;serif" w:hAnsi="Times New Roman;serif"/>
                  <w:b w:val="false"/>
                  <w:color w:val="000080"/>
                  <w:sz w:val="18"/>
                  <w:u w:val="single"/>
                </w:rPr>
                <w:t>P</w:t>
              </w:r>
            </w:hyperlink>
            <w:hyperlink w:anchor="goss-20251231xexx231xeycon.htm">
              <w:r>
                <w:rPr>
                  <w:rStyle w:val="InternetLink"/>
                  <w:rFonts w:ascii="Times New Roman;serif" w:hAnsi="Times New Roman;serif"/>
                  <w:b w:val="false"/>
                  <w:color w:val="000080"/>
                  <w:sz w:val="18"/>
                  <w:u w:val="single"/>
                </w:rPr>
                <w:t xml:space="preserve">ublic </w:t>
              </w:r>
            </w:hyperlink>
            <w:hyperlink w:anchor="goss-20251231xexx231xeycon.htm">
              <w:r>
                <w:rPr>
                  <w:rStyle w:val="InternetLink"/>
                  <w:rFonts w:ascii="Times New Roman;serif" w:hAnsi="Times New Roman;serif"/>
                  <w:b w:val="false"/>
                  <w:color w:val="000080"/>
                  <w:sz w:val="18"/>
                  <w:u w:val="single"/>
                </w:rPr>
                <w:t>A</w:t>
              </w:r>
            </w:hyperlink>
            <w:hyperlink w:anchor="goss-20251231xexx231xeycon.htm">
              <w:r>
                <w:rPr>
                  <w:rStyle w:val="InternetLink"/>
                  <w:rFonts w:ascii="Times New Roman;serif" w:hAnsi="Times New Roman;serif"/>
                  <w:b w:val="false"/>
                  <w:color w:val="000080"/>
                  <w:sz w:val="18"/>
                  <w:u w:val="single"/>
                </w:rPr>
                <w:t xml:space="preserve">ccounting </w:t>
              </w:r>
            </w:hyperlink>
            <w:hyperlink w:anchor="goss-20251231xexx231xeycon.htm">
              <w:r>
                <w:rPr>
                  <w:rStyle w:val="InternetLink"/>
                  <w:rFonts w:ascii="Times New Roman;serif" w:hAnsi="Times New Roman;serif"/>
                  <w:b w:val="false"/>
                  <w:color w:val="000080"/>
                  <w:sz w:val="18"/>
                  <w:u w:val="single"/>
                </w:rPr>
                <w:t>F</w:t>
              </w:r>
            </w:hyperlink>
            <w:hyperlink w:anchor="goss-20251231xexx231xeycon.htm">
              <w:r>
                <w:rPr>
                  <w:rStyle w:val="InternetLink"/>
                  <w:rFonts w:ascii="Times New Roman;serif" w:hAnsi="Times New Roman;serif"/>
                  <w:b w:val="false"/>
                  <w:color w:val="000080"/>
                  <w:sz w:val="18"/>
                  <w:u w:val="single"/>
                </w:rPr>
                <w:t>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ss-20251231x10kexx311.htm">
              <w:r>
                <w:rPr>
                  <w:rStyle w:val="InternetLink"/>
                  <w:rFonts w:ascii="Times New Roman;serif" w:hAnsi="Times New Roman;serif"/>
                  <w:b w:val="false"/>
                  <w:color w:val="0000FF"/>
                  <w:sz w:val="18"/>
                  <w:u w:val="single"/>
                </w:rPr>
                <w:t>Certification of Chief Executive Officer of Gossamer Bio, Inc., as required by Rule 13a-14(a) or Rule 15d-14(a)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ss-20251231x10kexx312.htm">
              <w:r>
                <w:rPr>
                  <w:rStyle w:val="InternetLink"/>
                  <w:rFonts w:ascii="Times New Roman;serif" w:hAnsi="Times New Roman;serif"/>
                  <w:b w:val="false"/>
                  <w:color w:val="0000FF"/>
                  <w:sz w:val="18"/>
                  <w:u w:val="single"/>
                </w:rPr>
                <w:t>Certification of Chief Financial Officer of Gossamer Bio, Inc., as required by Rule 13a-14(a) or Rule 15d-14(a)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ss-20251231x10kexx321.htm">
              <w:r>
                <w:rPr>
                  <w:rStyle w:val="InternetLink"/>
                  <w:rFonts w:ascii="Times New Roman;serif" w:hAnsi="Times New Roman;serif"/>
                  <w:b w:val="false"/>
                  <w:color w:val="0000FF"/>
                  <w:sz w:val="18"/>
                  <w:u w:val="single"/>
                </w:rPr>
                <w:t>Certification of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ss-20251231x10kexx322.htm">
              <w:r>
                <w:rPr>
                  <w:rStyle w:val="InternetLink"/>
                  <w:rFonts w:ascii="Times New Roman;serif" w:hAnsi="Times New Roman;serif"/>
                  <w:b w:val="false"/>
                  <w:color w:val="0000FF"/>
                  <w:sz w:val="18"/>
                  <w:u w:val="single"/>
                </w:rPr>
                <w:t>Certification of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18"/>
                  <w:u w:val="single"/>
                </w:rPr>
                <w:t>Policy for Recovery of Erroneously Awarded Compensation</w:t>
              </w:r>
            </w:hyperlink>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3/5/2024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Report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26"/>
        <w:gridCol w:w="2872"/>
        <w:gridCol w:w="4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Portions of this exhibit (indicated by asterisks) have been omitted for confidentiality purposes pursuant to Item 601(b)(10)(iv) of Regulation S-K.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231F20"/>
          <w:sz w:val="20"/>
        </w:rPr>
      </w:pPr>
      <w:r>
        <w:rPr>
          <w:rFonts w:ascii="Times New Roman;serif" w:hAnsi="Times New Roman;serif"/>
          <w:b/>
          <w:color w:val="231F20"/>
          <w:sz w:val="20"/>
        </w:rPr>
        <w:t>SIGNATURES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GOSSAMER BIO, INC.</w:t>
      </w:r>
    </w:p>
    <w:tbl>
      <w:tblPr>
        <w:tblW w:w="4360" w:type="dxa"/>
        <w:jc w:val="left"/>
        <w:tblInd w:w="0" w:type="dxa"/>
        <w:tblLayout w:type="fixed"/>
        <w:tblCellMar>
          <w:top w:w="28" w:type="dxa"/>
          <w:left w:w="28" w:type="dxa"/>
          <w:bottom w:w="28" w:type="dxa"/>
          <w:right w:w="28" w:type="dxa"/>
        </w:tblCellMar>
      </w:tblPr>
      <w:tblGrid>
        <w:gridCol w:w="124"/>
        <w:gridCol w:w="109"/>
        <w:gridCol w:w="109"/>
        <w:gridCol w:w="159"/>
        <w:gridCol w:w="159"/>
        <w:gridCol w:w="163"/>
        <w:gridCol w:w="1054"/>
        <w:gridCol w:w="1054"/>
        <w:gridCol w:w="10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Faheem Hasnain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Faheem Hasnain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231F20"/>
          <w:sz w:val="20"/>
        </w:rPr>
      </w:pPr>
      <w:r>
        <w:rPr>
          <w:rFonts w:ascii="Times New Roman;serif" w:hAnsi="Times New Roman;serif"/>
          <w:b/>
          <w:color w:val="231F20"/>
          <w:sz w:val="20"/>
        </w:rPr>
        <w:t>SIGNATURES AND POWER OF ATTORNEY</w:t>
      </w:r>
    </w:p>
    <w:p>
      <w:pPr>
        <w:pStyle w:val="TextBody"/>
        <w:bidi w:val="0"/>
        <w:spacing w:lineRule="auto" w:line="288" w:before="200" w:after="283"/>
        <w:ind w:left="0" w:right="0" w:firstLine="1440"/>
        <w:jc w:val="left"/>
        <w:rPr>
          <w:rFonts w:ascii="Times New Roman;serif" w:hAnsi="Times New Roman;serif"/>
          <w:b w:val="false"/>
          <w:color w:val="231F20"/>
          <w:sz w:val="20"/>
        </w:rPr>
      </w:pPr>
      <w:r>
        <w:rPr>
          <w:rFonts w:ascii="Times New Roman;serif" w:hAnsi="Times New Roman;serif"/>
          <w:b w:val="false"/>
          <w:color w:val="231F2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884"/>
        <w:gridCol w:w="777"/>
        <w:gridCol w:w="784"/>
        <w:gridCol w:w="109"/>
        <w:gridCol w:w="109"/>
        <w:gridCol w:w="109"/>
        <w:gridCol w:w="1903"/>
        <w:gridCol w:w="1896"/>
        <w:gridCol w:w="1921"/>
        <w:gridCol w:w="109"/>
        <w:gridCol w:w="109"/>
        <w:gridCol w:w="109"/>
        <w:gridCol w:w="402"/>
        <w:gridCol w:w="402"/>
        <w:gridCol w:w="582"/>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Faheem Hasnain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 of the Board of Directors</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Faheem Hasnain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Giraudo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 and Chief Financial Officer</w:t>
              <w:br/>
              <w:t>(principal financial and</w:t>
              <w:br/>
              <w:t>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Giraudo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0" w:type="dxa"/>
            <w:gridSpan w:val="3"/>
            <w:tcBorders/>
            <w:vAlign w:val="center"/>
          </w:tcPr>
          <w:p>
            <w:pPr>
              <w:pStyle w:val="TableContents"/>
              <w:bidi w:val="0"/>
              <w:spacing w:before="0" w:after="283"/>
              <w:jc w:val="left"/>
              <w:rPr>
                <w:sz w:val="4"/>
                <w:szCs w:val="4"/>
              </w:rPr>
            </w:pPr>
            <w:r>
              <w:rPr>
                <w:sz w:val="4"/>
                <w:szCs w:val="4"/>
              </w:rPr>
            </w:r>
          </w:p>
        </w:tc>
        <w:tc>
          <w:tcPr>
            <w:tcW w:w="1713" w:type="dxa"/>
            <w:gridSpan w:val="6"/>
            <w:tcBorders/>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Russell Cox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Cox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Daniel,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Daniel,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Sky Drynan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 Drynan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Sandra Milligan, M.D., J.D.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Sandra Milligan, M.D., J.D.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Nathan,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Nathan,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Quisel, J.D.,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Quisel, J.D.,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2"/>
        </w:rPr>
      </w:pPr>
      <w:r>
        <w:rPr>
          <w:rFonts w:ascii="Times New Roman;serif" w:hAnsi="Times New Roman;serif"/>
          <w:b/>
          <w:color w:val="000000"/>
          <w:sz w:val="22"/>
        </w:rPr>
        <w:t>Exhibit 21.1</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List of Subsidiaries of</w:t>
      </w:r>
    </w:p>
    <w:p>
      <w:pPr>
        <w:pStyle w:val="TextBody"/>
        <w:bidi w:val="0"/>
        <w:spacing w:lineRule="auto" w:line="319" w:before="0" w:after="2"/>
        <w:jc w:val="center"/>
        <w:rPr>
          <w:rFonts w:ascii="Times New Roman;serif" w:hAnsi="Times New Roman;serif"/>
          <w:b/>
          <w:color w:val="000000"/>
          <w:sz w:val="22"/>
        </w:rPr>
      </w:pPr>
      <w:r>
        <w:rPr>
          <w:rFonts w:ascii="Times New Roman;serif" w:hAnsi="Times New Roman;serif"/>
          <w:b/>
          <w:color w:val="000000"/>
          <w:sz w:val="22"/>
        </w:rPr>
        <w:t>Gossamer Bio, Inc.</w:t>
      </w:r>
    </w:p>
    <w:p>
      <w:pPr>
        <w:pStyle w:val="TextBody"/>
        <w:bidi w:val="0"/>
        <w:spacing w:before="0" w:after="2"/>
        <w:jc w:val="left"/>
        <w:rPr/>
      </w:pPr>
      <w:r>
        <w:rPr/>
      </w:r>
    </w:p>
    <w:p>
      <w:pPr>
        <w:pStyle w:val="TextBody"/>
        <w:bidi w:val="0"/>
        <w:spacing w:before="0" w:after="0"/>
        <w:jc w:val="left"/>
        <w:rPr/>
      </w:pPr>
      <w:r>
        <w:rPr/>
      </w:r>
    </w:p>
    <w:tbl>
      <w:tblPr>
        <w:tblW w:w="9760" w:type="dxa"/>
        <w:jc w:val="left"/>
        <w:tblInd w:w="0" w:type="dxa"/>
        <w:tblLayout w:type="fixed"/>
        <w:tblCellMar>
          <w:top w:w="28" w:type="dxa"/>
          <w:left w:w="28" w:type="dxa"/>
          <w:bottom w:w="28" w:type="dxa"/>
          <w:right w:w="28" w:type="dxa"/>
        </w:tblCellMar>
      </w:tblPr>
      <w:tblGrid>
        <w:gridCol w:w="1204"/>
        <w:gridCol w:w="1059"/>
        <w:gridCol w:w="1066"/>
        <w:gridCol w:w="109"/>
        <w:gridCol w:w="109"/>
        <w:gridCol w:w="109"/>
        <w:gridCol w:w="1788"/>
        <w:gridCol w:w="1788"/>
        <w:gridCol w:w="2528"/>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sans-serif" w:hAnsi="sans-serif"/>
                <w:b/>
                <w:color w:val="000000"/>
                <w:sz w:val="24"/>
              </w:rPr>
            </w:pPr>
            <w:r>
              <w:rPr>
                <w:rFonts w:ascii="sans-serif" w:hAnsi="sans-serif"/>
                <w:b/>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sans-serif" w:hAnsi="sans-serif"/>
                <w:b/>
                <w:color w:val="000000"/>
                <w:sz w:val="24"/>
              </w:rPr>
            </w:pPr>
            <w:r>
              <w:rPr>
                <w:rFonts w:ascii="sans-serif" w:hAnsi="sans-serif"/>
                <w:b/>
                <w:color w:val="000000"/>
                <w:sz w:val="24"/>
              </w:rPr>
              <w:t>Jurisdiction of Incorporation or Organization</w:t>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000000"/>
                <w:sz w:val="22"/>
              </w:rPr>
            </w:pPr>
            <w:r>
              <w:rPr>
                <w:rFonts w:ascii="sans-serif" w:hAnsi="sans-serif"/>
                <w:b w:val="false"/>
                <w:color w:val="000000"/>
                <w:sz w:val="22"/>
              </w:rPr>
              <w:t>Gossamer Bio 002,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000000"/>
                <w:sz w:val="22"/>
              </w:rPr>
            </w:pPr>
            <w:r>
              <w:rPr>
                <w:rFonts w:ascii="sans-serif" w:hAnsi="sans-serif"/>
                <w:b w:val="false"/>
                <w:color w:val="000000"/>
                <w:sz w:val="22"/>
              </w:rPr>
              <w:t>Delaware</w:t>
            </w:r>
          </w:p>
        </w:tc>
      </w:tr>
      <w:tr>
        <w:trPr/>
        <w:tc>
          <w:tcPr>
            <w:tcW w:w="332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000000"/>
                <w:sz w:val="22"/>
              </w:rPr>
            </w:pPr>
            <w:r>
              <w:rPr>
                <w:rFonts w:ascii="sans-serif" w:hAnsi="sans-serif"/>
                <w:b w:val="false"/>
                <w:color w:val="000000"/>
                <w:sz w:val="22"/>
              </w:rPr>
              <w:t>Gossamer Bio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000000"/>
                <w:sz w:val="22"/>
              </w:rPr>
            </w:pPr>
            <w:r>
              <w:rPr>
                <w:rFonts w:ascii="sans-serif" w:hAnsi="sans-serif"/>
                <w:b w:val="false"/>
                <w:color w:val="000000"/>
                <w:sz w:val="22"/>
              </w:rPr>
              <w:t>Delaware</w:t>
            </w:r>
          </w:p>
        </w:tc>
      </w:tr>
      <w:tr>
        <w:trPr/>
        <w:tc>
          <w:tcPr>
            <w:tcW w:w="332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000000"/>
                <w:sz w:val="22"/>
              </w:rPr>
            </w:pPr>
            <w:r>
              <w:rPr>
                <w:rFonts w:ascii="sans-serif" w:hAnsi="sans-serif"/>
                <w:b w:val="false"/>
                <w:color w:val="000000"/>
                <w:sz w:val="22"/>
              </w:rPr>
              <w:t>Gossamer Bio Holdings,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000000"/>
                <w:sz w:val="22"/>
              </w:rPr>
            </w:pPr>
            <w:r>
              <w:rPr>
                <w:rFonts w:ascii="sans-serif" w:hAnsi="sans-serif"/>
                <w:b w:val="false"/>
                <w:color w:val="000000"/>
                <w:sz w:val="22"/>
              </w:rPr>
              <w:t>Ireland</w:t>
            </w:r>
          </w:p>
        </w:tc>
      </w:tr>
      <w:tr>
        <w:trPr/>
        <w:tc>
          <w:tcPr>
            <w:tcW w:w="332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000000"/>
                <w:sz w:val="22"/>
              </w:rPr>
            </w:pPr>
            <w:r>
              <w:rPr>
                <w:rFonts w:ascii="sans-serif" w:hAnsi="sans-serif"/>
                <w:b w:val="false"/>
                <w:color w:val="000000"/>
                <w:sz w:val="22"/>
              </w:rPr>
              <w:t>Gossamer Bio 002,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000000"/>
                <w:sz w:val="22"/>
              </w:rPr>
            </w:pPr>
            <w:r>
              <w:rPr>
                <w:rFonts w:ascii="sans-serif" w:hAnsi="sans-serif"/>
                <w:b w:val="false"/>
                <w:color w:val="000000"/>
                <w:sz w:val="22"/>
              </w:rPr>
              <w:t>Ireland</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68" w:before="0" w:after="180"/>
        <w:jc w:val="left"/>
        <w:rPr>
          <w:rFonts w:ascii="Times New Roman;serif" w:hAnsi="Times New Roman;serif"/>
          <w:b w:val="false"/>
          <w:color w:val="333333"/>
          <w:sz w:val="20"/>
        </w:rPr>
      </w:pPr>
      <w:r>
        <w:rPr>
          <w:rFonts w:ascii="Times New Roman;serif" w:hAnsi="Times New Roman;serif"/>
          <w:b w:val="false"/>
          <w:color w:val="333333"/>
          <w:sz w:val="20"/>
        </w:rPr>
        <w:t>We consent to the incorporation by reference in the following Registration Statements:</w:t>
      </w:r>
    </w:p>
    <w:p>
      <w:pPr>
        <w:pStyle w:val="TextBody"/>
        <w:bidi w:val="0"/>
        <w:spacing w:lineRule="auto" w:line="319" w:before="0" w:after="2"/>
        <w:jc w:val="left"/>
        <w:rPr>
          <w:rFonts w:ascii="Times New Roman;serif" w:hAnsi="Times New Roman;serif"/>
          <w:b w:val="false"/>
          <w:color w:val="333333"/>
          <w:sz w:val="20"/>
        </w:rPr>
      </w:pPr>
      <w:r>
        <w:rPr>
          <w:rFonts w:ascii="Times New Roman;serif" w:hAnsi="Times New Roman;serif"/>
          <w:b w:val="false"/>
          <w:color w:val="333333"/>
          <w:sz w:val="20"/>
        </w:rPr>
        <w:t xml:space="preserve">(1)    Registration Statement (Form S-3 Nos. 333-274056 and 333-293009) of Gossamer Bio, Inc., </w:t>
      </w:r>
    </w:p>
    <w:p>
      <w:pPr>
        <w:pStyle w:val="TextBody"/>
        <w:bidi w:val="0"/>
        <w:spacing w:lineRule="auto" w:line="319" w:before="0" w:after="2"/>
        <w:ind w:left="0" w:right="0" w:hanging="720"/>
        <w:jc w:val="left"/>
        <w:rPr>
          <w:rFonts w:ascii="Times New Roman;serif" w:hAnsi="Times New Roman;serif"/>
          <w:b w:val="false"/>
          <w:color w:val="333333"/>
          <w:sz w:val="20"/>
        </w:rPr>
      </w:pPr>
      <w:r>
        <w:rPr>
          <w:rFonts w:ascii="Times New Roman;serif" w:hAnsi="Times New Roman;serif"/>
          <w:b w:val="false"/>
          <w:color w:val="333333"/>
          <w:sz w:val="20"/>
        </w:rPr>
        <w:t>(2)    Registration Statement (Form S-8 No. 333-285779) pertaining to the Gossamer Bio, Inc. 2019 Incentive Award Plan and Gossamer Bio, Inc. 2019 Employee Stock Purchase Plan,</w:t>
      </w:r>
    </w:p>
    <w:p>
      <w:pPr>
        <w:pStyle w:val="TextBody"/>
        <w:bidi w:val="0"/>
        <w:spacing w:lineRule="auto" w:line="319" w:before="0" w:after="2"/>
        <w:ind w:left="0" w:right="0" w:hanging="720"/>
        <w:jc w:val="left"/>
        <w:rPr>
          <w:rFonts w:ascii="Times New Roman;serif" w:hAnsi="Times New Roman;serif"/>
          <w:b w:val="false"/>
          <w:color w:val="333333"/>
          <w:sz w:val="20"/>
        </w:rPr>
      </w:pPr>
      <w:r>
        <w:rPr>
          <w:rFonts w:ascii="Times New Roman;serif" w:hAnsi="Times New Roman;serif"/>
          <w:b w:val="false"/>
          <w:color w:val="333333"/>
          <w:sz w:val="20"/>
        </w:rPr>
        <w:t>(3)    Registration Statement (Form S-8 No. 333-277653) pertaining to the Gossamer Bio, Inc. 2019 Incentive Award Plan and Gossamer Bio, Inc. 2023 Employment Inducement Incentive Award Plan,</w:t>
      </w:r>
    </w:p>
    <w:p>
      <w:pPr>
        <w:pStyle w:val="TextBody"/>
        <w:bidi w:val="0"/>
        <w:spacing w:lineRule="auto" w:line="319" w:before="0" w:after="2"/>
        <w:ind w:left="0" w:right="0" w:hanging="720"/>
        <w:jc w:val="left"/>
        <w:rPr>
          <w:rFonts w:ascii="Times New Roman;serif" w:hAnsi="Times New Roman;serif"/>
          <w:b w:val="false"/>
          <w:color w:val="333333"/>
          <w:sz w:val="20"/>
        </w:rPr>
      </w:pPr>
      <w:r>
        <w:rPr>
          <w:rFonts w:ascii="Times New Roman;serif" w:hAnsi="Times New Roman;serif"/>
          <w:b w:val="false"/>
          <w:color w:val="333333"/>
          <w:sz w:val="20"/>
        </w:rPr>
        <w:t>(4)    Registration Statement (Form S-8 No. 333-229586) pertaining to the Gossamer Bio, Inc. 2017 Equity Incentive Plan, Gossamer Bio, Inc. 2019 Incentive Award Plan, and Gossamer Bio, Inc. 2019 Employee Stock Purchase Plan, and</w:t>
      </w:r>
    </w:p>
    <w:p>
      <w:pPr>
        <w:pStyle w:val="TextBody"/>
        <w:bidi w:val="0"/>
        <w:spacing w:lineRule="auto" w:line="319" w:before="0" w:after="2"/>
        <w:ind w:left="0" w:right="0" w:hanging="720"/>
        <w:jc w:val="left"/>
        <w:rPr>
          <w:rFonts w:ascii="Times New Roman;serif" w:hAnsi="Times New Roman;serif"/>
          <w:b w:val="false"/>
          <w:color w:val="333333"/>
          <w:sz w:val="20"/>
        </w:rPr>
      </w:pPr>
      <w:r>
        <w:rPr>
          <w:rFonts w:ascii="Times New Roman;serif" w:hAnsi="Times New Roman;serif"/>
          <w:b w:val="false"/>
          <w:color w:val="333333"/>
          <w:sz w:val="20"/>
        </w:rPr>
        <w:t>(5)    Registration Statement (Form S-8 No. 333-263260) pertaining to the Gossamer Bio, Inc. 2019 Incentive Award Plan;</w:t>
      </w:r>
    </w:p>
    <w:p>
      <w:pPr>
        <w:pStyle w:val="TextBody"/>
        <w:bidi w:val="0"/>
        <w:spacing w:before="0" w:after="2"/>
        <w:jc w:val="left"/>
        <w:rPr/>
      </w:pPr>
      <w:r>
        <w:rPr/>
      </w:r>
    </w:p>
    <w:p>
      <w:pPr>
        <w:pStyle w:val="TextBody"/>
        <w:bidi w:val="0"/>
        <w:spacing w:lineRule="auto" w:line="319" w:before="0" w:after="2"/>
        <w:jc w:val="left"/>
        <w:rPr>
          <w:rFonts w:ascii="Times New Roman;serif" w:hAnsi="Times New Roman;serif"/>
          <w:b w:val="false"/>
          <w:color w:val="333333"/>
          <w:sz w:val="20"/>
        </w:rPr>
      </w:pPr>
      <w:r>
        <w:rPr>
          <w:rFonts w:ascii="Times New Roman;serif" w:hAnsi="Times New Roman;serif"/>
          <w:b w:val="false"/>
          <w:color w:val="333333"/>
          <w:sz w:val="20"/>
        </w:rPr>
        <w:t>of our report dated March 17, 2026, with respect to the consolidated financial statements of Gossamer Bio, Inc. included in this Annual Report (Form 10-K) for the year ended December 31, 2025.</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 Diego, California </w:t>
      </w:r>
    </w:p>
    <w:p>
      <w:pPr>
        <w:pStyle w:val="TextBody"/>
        <w:bidi w:val="0"/>
        <w:spacing w:lineRule="auto" w:line="333"/>
        <w:jc w:val="left"/>
        <w:rPr>
          <w:rFonts w:ascii="Times New Roman;serif" w:hAnsi="Times New Roman;serif"/>
          <w:b w:val="false"/>
          <w:color w:val="000000"/>
          <w:sz w:val="20"/>
        </w:rPr>
      </w:pPr>
      <w:r>
        <w:rPr>
          <w:rFonts w:ascii="Times New Roman;serif" w:hAnsi="Times New Roman;serif"/>
          <w:b w:val="false"/>
          <w:color w:val="000000"/>
          <w:sz w:val="20"/>
        </w:rPr>
        <w:t>March 17,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Faheem Hasnain, certify that:</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Gossamer Bio, Inc.;</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426"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938"/>
        <w:gridCol w:w="938"/>
        <w:gridCol w:w="133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Faheem Hasnain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Faheem Hasnain</w:t>
              <w:b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Bryan Giraudo, certify that:</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Gossamer Bio, Inc.;</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521"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257"/>
        <w:gridCol w:w="1257"/>
        <w:gridCol w:w="179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Giraudo</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Giraudo</w:t>
              <w:br/>
              <w:t>Chief Operating Officer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12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the undersigned officer of Gossamer Bio, Inc. (the “Company”) hereby certifies, to his knowledge, that:</w:t>
      </w:r>
    </w:p>
    <w:p>
      <w:pPr>
        <w:pStyle w:val="TextBody"/>
        <w:bidi w:val="0"/>
        <w:spacing w:lineRule="auto" w:line="288" w:before="12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 the accompanying Annual Report on Form 10-K of the Company for the fiscal year ended December 31, 2025 (the “Report”) fully complies with the requirements of Section 13(a) or Section 15(d), as applicable, of the Securities Exchange Act of 1934, as amended; and</w:t>
      </w:r>
    </w:p>
    <w:p>
      <w:pPr>
        <w:pStyle w:val="TextBody"/>
        <w:bidi w:val="0"/>
        <w:spacing w:lineRule="auto" w:line="288" w:before="12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tbl>
      <w:tblPr>
        <w:tblW w:w="3552" w:type="dxa"/>
        <w:jc w:val="left"/>
        <w:tblInd w:w="0" w:type="dxa"/>
        <w:tblLayout w:type="fixed"/>
        <w:tblCellMar>
          <w:top w:w="28" w:type="dxa"/>
          <w:left w:w="28" w:type="dxa"/>
          <w:bottom w:w="28" w:type="dxa"/>
          <w:right w:w="28" w:type="dxa"/>
        </w:tblCellMar>
      </w:tblPr>
      <w:tblGrid>
        <w:gridCol w:w="124"/>
        <w:gridCol w:w="109"/>
        <w:gridCol w:w="109"/>
        <w:gridCol w:w="938"/>
        <w:gridCol w:w="938"/>
        <w:gridCol w:w="1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Faheem Hasnain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Faheem Hasnain</w:t>
              <w:br/>
              <w:t>President and Chief Executive Officer</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March 17,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12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the undersigned officer of Gossamer Bio, Inc. (the “Company”) hereby certifies, to his knowledge, that:</w:t>
      </w:r>
    </w:p>
    <w:p>
      <w:pPr>
        <w:pStyle w:val="TextBody"/>
        <w:bidi w:val="0"/>
        <w:spacing w:lineRule="auto" w:line="288" w:before="12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 the accompanying Annual Report on Form 10-K of the Company for the fiscal year ended December 31, 2025 (the “Report”) fully complies with the requirements of Section 13(a) or Section 15(d), as applicable, of the Securities Exchange Act of 1934, as amended; and</w:t>
      </w:r>
    </w:p>
    <w:p>
      <w:pPr>
        <w:pStyle w:val="TextBody"/>
        <w:bidi w:val="0"/>
        <w:spacing w:lineRule="auto" w:line="288" w:before="12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tbl>
      <w:tblPr>
        <w:tblW w:w="4647" w:type="dxa"/>
        <w:jc w:val="left"/>
        <w:tblInd w:w="0" w:type="dxa"/>
        <w:tblLayout w:type="fixed"/>
        <w:tblCellMar>
          <w:top w:w="28" w:type="dxa"/>
          <w:left w:w="28" w:type="dxa"/>
          <w:bottom w:w="28" w:type="dxa"/>
          <w:right w:w="28" w:type="dxa"/>
        </w:tblCellMar>
      </w:tblPr>
      <w:tblGrid>
        <w:gridCol w:w="124"/>
        <w:gridCol w:w="109"/>
        <w:gridCol w:w="109"/>
        <w:gridCol w:w="1257"/>
        <w:gridCol w:w="1257"/>
        <w:gridCol w:w="17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Giraudo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Giraudo</w:t>
              <w:br/>
              <w:t>Chief Operating Officer and Chief Financial Officer</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March 17,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728117/000172811725000021/goss-20241231.htm" TargetMode="External"/><Relationship Id="rId3" Type="http://schemas.openxmlformats.org/officeDocument/2006/relationships/hyperlink" Target="https://www.sec.gov/Archives/edgar/data/1728117/000172811723000108/goss-20230630xex31.htm" TargetMode="External"/><Relationship Id="rId4" Type="http://schemas.openxmlformats.org/officeDocument/2006/relationships/hyperlink" Target="https://www.sec.gov/Archives/edgar/data/1728117/000172811723000151/goss-xex31xamendedandresta.htm" TargetMode="External"/><Relationship Id="rId5" Type="http://schemas.openxmlformats.org/officeDocument/2006/relationships/hyperlink" Target="https://www.sec.gov/Archives/edgar/data/1728117/000172811723000151/goss-xex31xamendedandresta.htm" TargetMode="External"/><Relationship Id="rId6" Type="http://schemas.openxmlformats.org/officeDocument/2006/relationships/hyperlink" Target="https://www.sec.gov/Archives/edgar/data/1728117/000172811723000151/goss-xex31xamendedandresta.htm" TargetMode="External"/><Relationship Id="rId7" Type="http://schemas.openxmlformats.org/officeDocument/2006/relationships/hyperlink" Target="https://www.sec.gov/Archives/edgar/data/1728117/000119312519014857/d690055dex41.htm" TargetMode="External"/><Relationship Id="rId8" Type="http://schemas.openxmlformats.org/officeDocument/2006/relationships/hyperlink" Target="https://www.sec.gov/Archives/edgar/data/1728117/000172811721000019/exhibit43.htm" TargetMode="External"/><Relationship Id="rId9" Type="http://schemas.openxmlformats.org/officeDocument/2006/relationships/hyperlink" Target="https://www.sec.gov/Archives/edgar/data/1728117/000156459020026546/goss-ex41_10.htm" TargetMode="External"/><Relationship Id="rId10" Type="http://schemas.openxmlformats.org/officeDocument/2006/relationships/hyperlink" Target="https://www.sec.gov/Archives/edgar/data/1728117/000156459020026546/goss-ex42_11.htm" TargetMode="External"/><Relationship Id="rId11" Type="http://schemas.openxmlformats.org/officeDocument/2006/relationships/hyperlink" Target="https://www.sec.gov/Archives/edgar/data/1728117/000156459020026546/goss-ex42_11.htm" TargetMode="External"/><Relationship Id="rId12" Type="http://schemas.openxmlformats.org/officeDocument/2006/relationships/hyperlink" Target="https://www.sec.gov/Archives/edgar/data/1728117/000172811723000094/goss-2023x07x19exx41.htm" TargetMode="External"/><Relationship Id="rId13" Type="http://schemas.openxmlformats.org/officeDocument/2006/relationships/hyperlink" Target="https://www.sec.gov/Archives/edgar/data/1728117/000119312518356444/d626950dex101.htm" TargetMode="External"/><Relationship Id="rId14" Type="http://schemas.openxmlformats.org/officeDocument/2006/relationships/hyperlink" Target="https://www.sec.gov/Archives/edgar/data/1728117/000119312518356444/d626950dex102.htm" TargetMode="External"/><Relationship Id="rId15" Type="http://schemas.openxmlformats.org/officeDocument/2006/relationships/hyperlink" Target="https://www.sec.gov/Archives/edgar/data/1728117/000119312518356444/d626950dex103.htm" TargetMode="External"/><Relationship Id="rId16" Type="http://schemas.openxmlformats.org/officeDocument/2006/relationships/hyperlink" Target="https://www.sec.gov/Archives/edgar/data/1728117/000119312518356444/d626950dex104.htm" TargetMode="External"/><Relationship Id="rId17" Type="http://schemas.openxmlformats.org/officeDocument/2006/relationships/hyperlink" Target="https://www.sec.gov/Archives/edgar/data/1728117/000172811725000081/goss-20250930xxexx101xpsua.htm" TargetMode="External"/><Relationship Id="rId18" Type="http://schemas.openxmlformats.org/officeDocument/2006/relationships/hyperlink" Target="https://www.sec.gov/Archives/edgar/data/1728117/000119312519014857/d690055dex106.htm" TargetMode="External"/><Relationship Id="rId19" Type="http://schemas.openxmlformats.org/officeDocument/2006/relationships/hyperlink" Target="https://www.sec.gov/Archives/edgar/data/1728117/000172811725000021/goss-20241231xexx107xdirec.htm" TargetMode="External"/><Relationship Id="rId20" Type="http://schemas.openxmlformats.org/officeDocument/2006/relationships/hyperlink" Target="https://www.sec.gov/Archives/edgar/data/1728117/000156459020024690/goss-ex101_13.htm" TargetMode="External"/><Relationship Id="rId21" Type="http://schemas.openxmlformats.org/officeDocument/2006/relationships/hyperlink" Target="https://www.sec.gov/Archives/edgar/data/1728117/000172811723000151/goss-xex101xemploymentindu.htm" TargetMode="External"/><Relationship Id="rId22" Type="http://schemas.openxmlformats.org/officeDocument/2006/relationships/hyperlink" Target="https://www.sec.gov/Archives/edgar/data/1728117/000172811721000019/exhibit1011.htm" TargetMode="External"/><Relationship Id="rId23" Type="http://schemas.openxmlformats.org/officeDocument/2006/relationships/hyperlink" Target="https://www.sec.gov/Archives/edgar/data/1728117/000119312518356444/d626950dex1010.htm" TargetMode="External"/><Relationship Id="rId24" Type="http://schemas.openxmlformats.org/officeDocument/2006/relationships/hyperlink" Target="https://www.sec.gov/Archives/edgar/data/1728117/000119312518356444/d626950dex1011.htm" TargetMode="External"/><Relationship Id="rId25" Type="http://schemas.openxmlformats.org/officeDocument/2006/relationships/hyperlink" Target="https://www.sec.gov/Archives/edgar/data/1728117/000172811721000087/exhibit101.htm" TargetMode="External"/><Relationship Id="rId26" Type="http://schemas.openxmlformats.org/officeDocument/2006/relationships/hyperlink" Target="https://www.sec.gov/Archives/edgar/data/1728117/000172811721000087/exhibit103.htm" TargetMode="External"/><Relationship Id="rId27" Type="http://schemas.openxmlformats.org/officeDocument/2006/relationships/hyperlink" Target="https://www.sec.gov/Archives/edgar/data/1728117/000172811724000019/goss-20231231xexx1015xempl.htm" TargetMode="External"/><Relationship Id="rId28" Type="http://schemas.openxmlformats.org/officeDocument/2006/relationships/hyperlink" Target="https://www.sec.gov/Archives/edgar/data/1728117/000119312518356444/d626950dex1014.htm" TargetMode="External"/><Relationship Id="rId29" Type="http://schemas.openxmlformats.org/officeDocument/2006/relationships/hyperlink" Target="https://www.sec.gov/Archives/edgar/data/1728117/000119312518356444/d626950dex1017.htm" TargetMode="External"/><Relationship Id="rId30" Type="http://schemas.openxmlformats.org/officeDocument/2006/relationships/hyperlink" Target="https://www.sec.gov/Archives/edgar/data/1728117/000172811722000057/goss-202207x13xexx101.htm" TargetMode="External"/><Relationship Id="rId31" Type="http://schemas.openxmlformats.org/officeDocument/2006/relationships/hyperlink" Target="https://www.sec.gov/Archives/edgar/data/1728117/000172811723000094/goss-2023x0719xexx101.htm" TargetMode="External"/><Relationship Id="rId32" Type="http://schemas.openxmlformats.org/officeDocument/2006/relationships/hyperlink" Target="https://www.sec.gov/Archives/edgar/data/1728117/000172811723000108/goss-20230630xexx101.htm" TargetMode="External"/><Relationship Id="rId33" Type="http://schemas.openxmlformats.org/officeDocument/2006/relationships/hyperlink" Target="https://www.sec.gov/Archives/edgar/data/1728117/000172811724000085/goss-20240630x10xqxexx101.htm" TargetMode="External"/><Relationship Id="rId34" Type="http://schemas.openxmlformats.org/officeDocument/2006/relationships/hyperlink" Target="https://www.sec.gov/Archives/edgar/data/1728117/000172811725000021/goss-20241231xexx191xinsid.htm" TargetMode="External"/><Relationship Id="rId35" Type="http://schemas.openxmlformats.org/officeDocument/2006/relationships/hyperlink" Target="https://www.sec.gov/Archives/edgar/data/1728117/000172811724000019/goss-20231231xexx97xclawba.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92530</Words>
  <Characters>521051</Characters>
  <CharactersWithSpaces>611123</CharactersWithSpaces>
  <Paragraphs>3633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