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370246.xml.htm"/>
      <w:bookmarkStart w:id="1" w:name="kswkform4_179037024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Daniel Thomas 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3115 MERRYFIELD ROW, SUITE 120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Gossamer Bio, Inc.</w:t>
              </w:r>
            </w:hyperlink>
            <w:r>
              <w:rPr/>
              <w:t xml:space="preserve"> [ </w:t>
            </w:r>
            <w:r>
              <w:rPr>
                <w:rFonts w:ascii="Times;serif" w:hAnsi="Times;serif"/>
                <w:color w:val="0000FF"/>
                <w:sz w:val="24"/>
                <w:shd w:fill="FFFFFF" w:val="clear"/>
              </w:rPr>
              <w:t>GOSS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10.99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entire number of shares subject to this option becomes fully vested and exercisable on the first anniversary of the grant date, subject to the Reporting Person's continued service on the board of directors of the Issuer through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Christian Waage,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38894" TargetMode="External"/><Relationship Id="rId5" Type="http://schemas.openxmlformats.org/officeDocument/2006/relationships/hyperlink" Target="http://www.sec.gov/cgi-bin/browse-edgar?action=getcompany&amp;CIK=000172811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613</Words>
  <Characters>3320</Characters>
  <CharactersWithSpaces>3862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