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25,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48"/>
        </w:rPr>
      </w:pPr>
      <w:r>
        <w:rPr>
          <w:rFonts w:ascii="Times New Roman;serif" w:hAnsi="Times New Roman;serif"/>
          <w:b/>
          <w:color w:val="000000"/>
          <w:sz w:val="48"/>
        </w:rPr>
        <w:t>GOSSAMER BIO,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5667" w:type="dxa"/>
        <w:jc w:val="left"/>
        <w:tblInd w:w="0" w:type="dxa"/>
        <w:tblLayout w:type="fixed"/>
        <w:tblCellMar>
          <w:top w:w="28" w:type="dxa"/>
          <w:left w:w="28" w:type="dxa"/>
          <w:bottom w:w="28" w:type="dxa"/>
          <w:right w:w="28" w:type="dxa"/>
        </w:tblCellMar>
      </w:tblPr>
      <w:tblGrid>
        <w:gridCol w:w="776"/>
        <w:gridCol w:w="680"/>
        <w:gridCol w:w="688"/>
        <w:gridCol w:w="677"/>
        <w:gridCol w:w="677"/>
        <w:gridCol w:w="685"/>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001-38796</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47-5461709</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3115 Merryfield Row, Suite 120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San Diego, California 92121</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(858) 684-1300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97" w:type="dxa"/>
        <w:jc w:val="left"/>
        <w:tblInd w:w="0" w:type="dxa"/>
        <w:tblLayout w:type="fixed"/>
        <w:tblCellMar>
          <w:top w:w="28" w:type="dxa"/>
          <w:left w:w="28" w:type="dxa"/>
          <w:bottom w:w="28" w:type="dxa"/>
          <w:right w:w="28" w:type="dxa"/>
        </w:tblCellMar>
      </w:tblPr>
      <w:tblGrid>
        <w:gridCol w:w="1339"/>
        <w:gridCol w:w="1175"/>
        <w:gridCol w:w="1191"/>
        <w:gridCol w:w="109"/>
        <w:gridCol w:w="109"/>
        <w:gridCol w:w="109"/>
        <w:gridCol w:w="274"/>
        <w:gridCol w:w="274"/>
        <w:gridCol w:w="276"/>
        <w:gridCol w:w="109"/>
        <w:gridCol w:w="109"/>
        <w:gridCol w:w="109"/>
        <w:gridCol w:w="970"/>
        <w:gridCol w:w="970"/>
        <w:gridCol w:w="1374"/>
      </w:tblGrid>
      <w:tr>
        <w:trPr/>
        <w:tc>
          <w:tcPr>
            <w:tcW w:w="133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8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180"/>
        <w:jc w:val="left"/>
        <w:rPr/>
      </w:pPr>
      <w:r>
        <w:rPr/>
      </w:r>
    </w:p>
    <w:p>
      <w:pPr>
        <w:pStyle w:val="TextBody"/>
        <w:bidi w:val="0"/>
        <w:spacing w:lineRule="auto" w:line="333" w:before="24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On September 25, 2026, Gossamer Bio, Inc. (the “Company”) received a letter from the Listing Qualifications Department of The Nasdaq Stock Market LLC (“Nasdaq”) stating that the Company has regained compliance with the minimum bid price requirement for continued listing on the Nasdaq Global Select Market under Nasdaq Listing Rule 5450(a)(1), and the minimum bid price matter is now closed. The letter was pursuant to a previous letter received on April 8, 2026 from the Listing Qualifications Department of Nasdaq, indicating, as previously reported, that the Company was not then in compliance with the minimum bid price requirement because its common stock had failed to maintain a minimum bid price of $1.00 or more for 30 consecutive business days. As previously disclosed, on September 10, 2026, the Company effected a 1-for-80 reverse stock split of its common stock, and the Company’s common stock began trading on a split-adjusted basis on the Nasdaq Global Select Market on September 11,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333" w:before="0" w:after="100"/>
        <w:jc w:val="left"/>
        <w:rPr>
          <w:color w:val="000000"/>
        </w:rPr>
      </w:pPr>
      <w:r>
        <w:rPr>
          <w:color w:val="000000"/>
        </w:rPr>
        <w:t> </w:t>
      </w:r>
    </w:p>
    <w:tbl>
      <w:tblPr>
        <w:tblW w:w="7427" w:type="dxa"/>
        <w:jc w:val="left"/>
        <w:tblInd w:w="0" w:type="dxa"/>
        <w:tblLayout w:type="fixed"/>
        <w:tblCellMar>
          <w:top w:w="28" w:type="dxa"/>
          <w:left w:w="28" w:type="dxa"/>
          <w:bottom w:w="28" w:type="dxa"/>
          <w:right w:w="28" w:type="dxa"/>
        </w:tblCellMar>
      </w:tblPr>
      <w:tblGrid>
        <w:gridCol w:w="802"/>
        <w:gridCol w:w="707"/>
        <w:gridCol w:w="711"/>
        <w:gridCol w:w="109"/>
        <w:gridCol w:w="109"/>
        <w:gridCol w:w="109"/>
        <w:gridCol w:w="317"/>
        <w:gridCol w:w="317"/>
        <w:gridCol w:w="317"/>
        <w:gridCol w:w="1147"/>
        <w:gridCol w:w="1147"/>
        <w:gridCol w:w="1635"/>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GOSSAMER BIO,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Christian Waage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left"/>
              <w:rPr>
                <w:rFonts w:ascii="Times New Roman;serif" w:hAnsi="Times New Roman;serif"/>
                <w:b w:val="false"/>
                <w:color w:val="000000"/>
                <w:sz w:val="20"/>
              </w:rPr>
            </w:pPr>
            <w:r>
              <w:rPr>
                <w:rFonts w:ascii="Times New Roman;serif" w:hAnsi="Times New Roman;serif"/>
                <w:b w:val="false"/>
                <w:color w:val="000000"/>
                <w:sz w:val="20"/>
              </w:rPr>
              <w:t>Christian Waage</w:t>
            </w:r>
          </w:p>
          <w:p>
            <w:pPr>
              <w:pStyle w:val="TableContents"/>
              <w:bidi w:val="0"/>
              <w:spacing w:lineRule="auto" w:line="288" w:before="33" w:after="3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General Counsel</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516</Words>
  <Characters>2820</Characters>
  <CharactersWithSpaces>3288</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